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B869AE" w:rsidRDefault="00B869AE" w:rsidP="00B869AE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B869A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Flexibility Analysis and Economic Assessment of a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Distillation Train</w:t>
      </w:r>
    </w:p>
    <w:p w:rsidR="00B869AE" w:rsidRDefault="00B869AE" w:rsidP="00B869AE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Martina Raymo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Alessandro Di Pretoro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1,2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Ludovic Montastruc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Flavio Manenti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Xavier Joulia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>
        <w:rPr>
          <w:rFonts w:eastAsia="SimSun"/>
          <w:color w:val="000000"/>
          <w:lang w:val="it-IT" w:eastAsia="zh-CN"/>
        </w:rPr>
        <w:t xml:space="preserve"> </w:t>
      </w:r>
    </w:p>
    <w:p w:rsidR="00B869AE" w:rsidRDefault="00B869AE" w:rsidP="00B869AE">
      <w:pPr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>
        <w:rPr>
          <w:rFonts w:eastAsia="MS PGothic"/>
          <w:i/>
          <w:iCs/>
          <w:color w:val="000000"/>
          <w:sz w:val="20"/>
          <w:lang w:val="fr-FR"/>
        </w:rPr>
        <w:t>1.</w:t>
      </w:r>
      <w:r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Laboratoire de Génie Chimique, Université de Toulouse, CNRS/INP/UPS, Toulouse, France.</w:t>
      </w:r>
    </w:p>
    <w:p w:rsidR="00B869AE" w:rsidRDefault="00B869AE" w:rsidP="00B869AE">
      <w:pPr>
        <w:jc w:val="center"/>
        <w:rPr>
          <w:rFonts w:asciiTheme="minorHAnsi" w:eastAsia="MS PGothic" w:hAnsiTheme="minorHAnsi"/>
          <w:i/>
          <w:iCs/>
          <w:color w:val="000000"/>
          <w:sz w:val="20"/>
          <w:lang w:val="it-IT"/>
        </w:rPr>
      </w:pPr>
      <w:r w:rsidRPr="00B869AE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2.</w:t>
      </w:r>
      <w:r w:rsidRPr="00B869AE">
        <w:rPr>
          <w:i/>
          <w:vertAlign w:val="superscript"/>
          <w:lang w:val="it-IT"/>
        </w:rPr>
        <w:t xml:space="preserve"> </w:t>
      </w:r>
      <w:r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Politecnico di Milano, Dipartimento di Chimica, Materiali e Ingegneria Chimica “Giulio Natta”, Piazza Leonardo da Vinci 32, 20133 Milano</w:t>
      </w:r>
      <w:r>
        <w:rPr>
          <w:i/>
          <w:lang w:val="it-IT"/>
        </w:rPr>
        <w:t>;</w:t>
      </w:r>
    </w:p>
    <w:p w:rsidR="00B869AE" w:rsidRDefault="00B869AE" w:rsidP="00B869AE">
      <w:pPr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* ludovic.montastruc@ensiacet.fr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53435F" w:rsidRPr="0053435F" w:rsidRDefault="0053435F" w:rsidP="0053435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3435F">
        <w:rPr>
          <w:rFonts w:asciiTheme="minorHAnsi" w:hAnsiTheme="minorHAnsi"/>
        </w:rPr>
        <w:t>Under perturbated conditions the flexibility analysis assesses the system performance.</w:t>
      </w:r>
    </w:p>
    <w:p w:rsidR="0053435F" w:rsidRPr="0053435F" w:rsidRDefault="0053435F" w:rsidP="0053435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3435F">
        <w:rPr>
          <w:rFonts w:asciiTheme="minorHAnsi" w:hAnsiTheme="minorHAnsi"/>
        </w:rPr>
        <w:t>The price of an higher flexibility is a system oversizing.</w:t>
      </w:r>
    </w:p>
    <w:p w:rsidR="00704BDF" w:rsidRPr="00EC66CC" w:rsidRDefault="0053435F" w:rsidP="0053435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3435F">
        <w:rPr>
          <w:rFonts w:asciiTheme="minorHAnsi" w:hAnsiTheme="minorHAnsi"/>
        </w:rPr>
        <w:t>The total cost vs flexibility trend helps the engineer decision making.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53435F" w:rsidRPr="0053435F" w:rsidRDefault="0053435F" w:rsidP="0053435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343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process engineering the leading separation process is distillation. The standard procedure for distillation columns design is based on the economic and operational aspects. </w:t>
      </w:r>
      <w:r w:rsidR="004C0BB2"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However, t</w:t>
      </w:r>
      <w:r w:rsidRPr="0053435F">
        <w:rPr>
          <w:rFonts w:asciiTheme="minorHAnsi" w:eastAsia="MS PGothic" w:hAnsiTheme="minorHAnsi"/>
          <w:color w:val="000000"/>
          <w:sz w:val="22"/>
          <w:szCs w:val="22"/>
          <w:lang w:val="en-US"/>
        </w:rPr>
        <w:t>his optimal design is strictly related to the operating conditions, i.e. perturbations, when present, can seriously turn the tables.</w:t>
      </w:r>
    </w:p>
    <w:p w:rsidR="0053435F" w:rsidRPr="0053435F" w:rsidRDefault="0053435F" w:rsidP="0053435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3435F">
        <w:rPr>
          <w:rFonts w:asciiTheme="minorHAnsi" w:eastAsia="MS PGothic" w:hAnsiTheme="minorHAnsi"/>
          <w:color w:val="000000"/>
          <w:sz w:val="22"/>
          <w:szCs w:val="22"/>
          <w:lang w:val="en-US"/>
        </w:rPr>
        <w:t>Flexibility analysis is an important part of process design seldom included in the standard procedure. Even if sometimes a sensitivity analysis is performed afterwards, there are some differences between the two that can’t be neglected.</w:t>
      </w:r>
    </w:p>
    <w:p w:rsidR="00C867B1" w:rsidRPr="008D0BEB" w:rsidRDefault="0053435F" w:rsidP="0053435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3435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flexibility, for a chemical plant, is defined as the ability of the system to cope with any change of the operating conditions. To achieve higher values of flexibility it is necessary to perform a structured analysis. The analysis can be applied to existing plants and to plants in the design phase</w:t>
      </w:r>
      <w:r w:rsidR="004C0B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Pr="005343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These higher values guarantee a reduction of the risk of money losses and of the stand-by period. 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53435F" w:rsidRPr="0053435F" w:rsidRDefault="0053435F" w:rsidP="0053435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3435F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 the available literature about this topic it is clear that the flexibility analysis has been deeply studied and</w:t>
      </w:r>
      <w:bookmarkStart w:id="0" w:name="_GoBack"/>
      <w:bookmarkEnd w:id="0"/>
      <w:r w:rsidRPr="005343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well defined as well as the resulting economic considerations. </w:t>
      </w:r>
    </w:p>
    <w:p w:rsidR="0053435F" w:rsidRPr="0053435F" w:rsidRDefault="0053435F" w:rsidP="0053435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3435F">
        <w:rPr>
          <w:rFonts w:asciiTheme="minorHAnsi" w:eastAsia="MS PGothic" w:hAnsiTheme="minorHAnsi"/>
          <w:b/>
          <w:noProof/>
          <w:color w:val="000000"/>
          <w:sz w:val="22"/>
          <w:szCs w:val="22"/>
          <w:lang w:val="it-IT"/>
        </w:rPr>
        <w:drawing>
          <wp:inline distT="0" distB="0" distL="0" distR="0">
            <wp:extent cx="2412133" cy="15163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56" cy="156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5F" w:rsidRPr="0053435F" w:rsidRDefault="0053435F" w:rsidP="0053435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53435F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1: </w:t>
      </w:r>
      <w:r w:rsidR="004C0BB2">
        <w:rPr>
          <w:rFonts w:asciiTheme="minorHAnsi" w:eastAsia="MS PGothic" w:hAnsiTheme="minorHAnsi"/>
          <w:color w:val="000000"/>
          <w:szCs w:val="18"/>
          <w:lang w:val="en-US"/>
        </w:rPr>
        <w:t>D</w:t>
      </w:r>
      <w:r w:rsidRPr="0053435F">
        <w:rPr>
          <w:rFonts w:asciiTheme="minorHAnsi" w:eastAsia="MS PGothic" w:hAnsiTheme="minorHAnsi"/>
          <w:color w:val="000000"/>
          <w:szCs w:val="18"/>
          <w:lang w:val="en-US"/>
        </w:rPr>
        <w:t>istillation</w:t>
      </w:r>
      <w:r w:rsidR="004C0BB2">
        <w:rPr>
          <w:rFonts w:asciiTheme="minorHAnsi" w:eastAsia="MS PGothic" w:hAnsiTheme="minorHAnsi"/>
          <w:color w:val="000000"/>
          <w:szCs w:val="18"/>
          <w:lang w:val="en-US"/>
        </w:rPr>
        <w:t xml:space="preserve"> columns in a midsplit configuration</w:t>
      </w:r>
    </w:p>
    <w:p w:rsidR="0053435F" w:rsidRPr="0053435F" w:rsidRDefault="0053435F" w:rsidP="0053435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3435F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The mathematical procedure used to assess the flexibility of the selected case study system is the one developed by Saboo and Morari</w:t>
      </w:r>
      <w:r w:rsidR="004C0B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Pr="0053435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i.e. the Resilience Index (RI). It is assessed by calculating the largest total disturbance load, independent from the direction of disturbance, a system is able to withstand without becoming unfeasible. The RI is then defined as the lowest of the aforementioned withstood perturbations so that every parameter value can change within the +/- RI range without compromising the system operation. This index has been applied to a complex system made of three distillation columns in</w:t>
      </w:r>
      <w:r w:rsidR="004C0B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midsplit configuration</w:t>
      </w:r>
      <w:r w:rsidRPr="005343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used to separate a water, ethanol, n-butanol and acetone mixture. Figure </w:t>
      </w:r>
      <w:r w:rsidR="004C0BB2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Pr="005343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shows the system under study.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A46C48" w:rsidRPr="00A46C48" w:rsidRDefault="00A46C48" w:rsidP="00A46C4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A46C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flexibility analysis has been carried out and the maximum withstood load for each variable has been assessed. The most constraining parameters result to be </w:t>
      </w:r>
      <w:r w:rsidRPr="00A46C48">
        <w:rPr>
          <w:rFonts w:asciiTheme="minorHAnsi" w:eastAsia="MS PGothic" w:hAnsiTheme="minorHAnsi"/>
          <w:color w:val="000000"/>
          <w:sz w:val="22"/>
          <w:szCs w:val="22"/>
        </w:rPr>
        <w:t xml:space="preserve">water (8%) and butanol (13%), while ethanol and acetone flexibility limits can be neglected, since they are 32% and 45%. The price for a higher flexibility is linked to </w:t>
      </w:r>
      <w:r w:rsidR="004C0BB2">
        <w:rPr>
          <w:rFonts w:asciiTheme="minorHAnsi" w:eastAsia="MS PGothic" w:hAnsiTheme="minorHAnsi"/>
          <w:color w:val="000000"/>
          <w:sz w:val="22"/>
          <w:szCs w:val="22"/>
        </w:rPr>
        <w:t>a</w:t>
      </w:r>
      <w:r w:rsidRPr="00A46C48">
        <w:rPr>
          <w:rFonts w:asciiTheme="minorHAnsi" w:eastAsia="MS PGothic" w:hAnsiTheme="minorHAnsi"/>
          <w:color w:val="000000"/>
          <w:sz w:val="22"/>
          <w:szCs w:val="22"/>
        </w:rPr>
        <w:t xml:space="preserve"> system </w:t>
      </w:r>
      <w:r w:rsidR="004C0BB2">
        <w:rPr>
          <w:rFonts w:asciiTheme="minorHAnsi" w:eastAsia="MS PGothic" w:hAnsiTheme="minorHAnsi"/>
          <w:color w:val="000000"/>
          <w:sz w:val="22"/>
          <w:szCs w:val="22"/>
        </w:rPr>
        <w:t>oversizing</w:t>
      </w:r>
      <w:r w:rsidRPr="00A46C48">
        <w:rPr>
          <w:rFonts w:asciiTheme="minorHAnsi" w:eastAsia="MS PGothic" w:hAnsiTheme="minorHAnsi"/>
          <w:color w:val="000000"/>
          <w:sz w:val="22"/>
          <w:szCs w:val="22"/>
        </w:rPr>
        <w:t xml:space="preserve"> (column diameter, condenser and reboiler exchanger surface). The economic assessment has been performed and the corresponding total cost vs flexibility trend is plotted in Figure 2</w:t>
      </w:r>
      <w:r w:rsidR="004C0BB2">
        <w:rPr>
          <w:rFonts w:asciiTheme="minorHAnsi" w:eastAsia="MS PGothic" w:hAnsiTheme="minorHAnsi"/>
          <w:color w:val="000000"/>
          <w:sz w:val="22"/>
          <w:szCs w:val="22"/>
        </w:rPr>
        <w:t xml:space="preserve"> as suggested by Di Pretoro et al (2019) [3]</w:t>
      </w:r>
      <w:r w:rsidRPr="00A46C48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A46C48" w:rsidRPr="00A46C48" w:rsidRDefault="00A46C48" w:rsidP="00A46C48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</w:rPr>
      </w:pPr>
      <w:r w:rsidRPr="00A46C48">
        <w:rPr>
          <w:rFonts w:asciiTheme="minorHAnsi" w:eastAsia="MS PGothic" w:hAnsiTheme="minorHAnsi"/>
          <w:noProof/>
          <w:color w:val="000000"/>
          <w:sz w:val="22"/>
          <w:szCs w:val="22"/>
          <w:lang w:val="it-IT"/>
        </w:rPr>
        <w:drawing>
          <wp:inline distT="0" distB="0" distL="0" distR="0">
            <wp:extent cx="3238500" cy="21717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6C48" w:rsidRPr="00A46C48" w:rsidRDefault="00A46C48" w:rsidP="00A46C48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A46C48">
        <w:rPr>
          <w:rFonts w:asciiTheme="minorHAnsi" w:eastAsia="MS PGothic" w:hAnsiTheme="minorHAnsi"/>
          <w:b/>
          <w:color w:val="000000"/>
          <w:szCs w:val="18"/>
          <w:lang w:val="en-US"/>
        </w:rPr>
        <w:t>Figure 2.</w:t>
      </w:r>
      <w:r w:rsidRPr="00A46C48">
        <w:rPr>
          <w:rFonts w:asciiTheme="minorHAnsi" w:eastAsia="MS PGothic" w:hAnsiTheme="minorHAnsi"/>
          <w:color w:val="000000"/>
          <w:szCs w:val="18"/>
          <w:lang w:val="en-US"/>
        </w:rPr>
        <w:t xml:space="preserve">  Total Cost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1D5B7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D5B7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article shows that an a priori flexibility analysis can lead the designer engineer to the optimal compromise between a flexible plant and an affordable investment.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[Calibri 10]</w:t>
      </w:r>
    </w:p>
    <w:p w:rsidR="004C0BB2" w:rsidRDefault="004C0BB2" w:rsidP="00D035CD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[1] </w:t>
      </w:r>
      <w:r w:rsidRPr="004C0BB2">
        <w:rPr>
          <w:rFonts w:asciiTheme="minorHAnsi" w:hAnsiTheme="minorHAnsi"/>
          <w:color w:val="000000"/>
        </w:rPr>
        <w:t>I</w:t>
      </w:r>
      <w:r>
        <w:rPr>
          <w:rFonts w:asciiTheme="minorHAnsi" w:hAnsiTheme="minorHAnsi"/>
          <w:color w:val="000000"/>
        </w:rPr>
        <w:t>. E.</w:t>
      </w:r>
      <w:r w:rsidRPr="004C0BB2">
        <w:rPr>
          <w:rFonts w:asciiTheme="minorHAnsi" w:hAnsiTheme="minorHAnsi"/>
          <w:color w:val="000000"/>
        </w:rPr>
        <w:t xml:space="preserve"> Grossmann and M. Morari, ‘Operability, Resiliency, and Flexibility: Process Design Objectives for a Changing World’, Department of Chemical Engineering, </w:t>
      </w:r>
      <w:r>
        <w:rPr>
          <w:rFonts w:asciiTheme="minorHAnsi" w:hAnsiTheme="minorHAnsi"/>
          <w:color w:val="000000"/>
        </w:rPr>
        <w:t>(</w:t>
      </w:r>
      <w:r w:rsidRPr="004C0BB2">
        <w:rPr>
          <w:rFonts w:asciiTheme="minorHAnsi" w:hAnsiTheme="minorHAnsi"/>
          <w:color w:val="000000"/>
        </w:rPr>
        <w:t>1983</w:t>
      </w:r>
      <w:r>
        <w:rPr>
          <w:rFonts w:asciiTheme="minorHAnsi" w:hAnsiTheme="minorHAnsi"/>
          <w:color w:val="000000"/>
        </w:rPr>
        <w:t>)</w:t>
      </w:r>
      <w:r w:rsidRPr="004C0BB2">
        <w:rPr>
          <w:rFonts w:asciiTheme="minorHAnsi" w:hAnsiTheme="minorHAnsi"/>
          <w:color w:val="000000"/>
        </w:rPr>
        <w:t>.</w:t>
      </w:r>
    </w:p>
    <w:p w:rsidR="00D035CD" w:rsidRPr="00D035CD" w:rsidRDefault="00D035CD" w:rsidP="00D035CD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D035CD">
        <w:rPr>
          <w:rFonts w:asciiTheme="minorHAnsi" w:hAnsiTheme="minorHAnsi"/>
          <w:color w:val="000000"/>
        </w:rPr>
        <w:t>[</w:t>
      </w:r>
      <w:r w:rsidR="004C0BB2">
        <w:rPr>
          <w:rFonts w:asciiTheme="minorHAnsi" w:hAnsiTheme="minorHAnsi"/>
          <w:color w:val="000000"/>
        </w:rPr>
        <w:t>2</w:t>
      </w:r>
      <w:r w:rsidRPr="00D035CD">
        <w:rPr>
          <w:rFonts w:asciiTheme="minorHAnsi" w:hAnsiTheme="minorHAnsi"/>
          <w:color w:val="000000"/>
        </w:rPr>
        <w:t>] A</w:t>
      </w:r>
      <w:r w:rsidR="004C0BB2">
        <w:rPr>
          <w:rFonts w:asciiTheme="minorHAnsi" w:hAnsiTheme="minorHAnsi"/>
          <w:color w:val="000000"/>
        </w:rPr>
        <w:t>. K.</w:t>
      </w:r>
      <w:r w:rsidRPr="00D035CD">
        <w:rPr>
          <w:rFonts w:asciiTheme="minorHAnsi" w:hAnsiTheme="minorHAnsi"/>
          <w:color w:val="000000"/>
        </w:rPr>
        <w:t xml:space="preserve"> Saboo, M. Morari, and D</w:t>
      </w:r>
      <w:r w:rsidR="004C0BB2">
        <w:rPr>
          <w:rFonts w:asciiTheme="minorHAnsi" w:hAnsiTheme="minorHAnsi"/>
          <w:color w:val="000000"/>
        </w:rPr>
        <w:t>. C.</w:t>
      </w:r>
      <w:r w:rsidRPr="00D035CD">
        <w:rPr>
          <w:rFonts w:asciiTheme="minorHAnsi" w:hAnsiTheme="minorHAnsi"/>
          <w:color w:val="000000"/>
        </w:rPr>
        <w:t xml:space="preserve"> Woodcock, `Design of Resilient Processing Plants .8. a Resilience Index for Heat-Exchanger Networks', Chemical Engineering Science, 40.8 (1985), 1553</w:t>
      </w:r>
      <w:r w:rsidR="004C0BB2">
        <w:rPr>
          <w:rFonts w:asciiTheme="minorHAnsi" w:hAnsiTheme="minorHAnsi"/>
          <w:color w:val="000000"/>
        </w:rPr>
        <w:t>-</w:t>
      </w:r>
      <w:r w:rsidRPr="00D035CD">
        <w:rPr>
          <w:rFonts w:asciiTheme="minorHAnsi" w:hAnsiTheme="minorHAnsi"/>
          <w:color w:val="000000"/>
        </w:rPr>
        <w:t>65</w:t>
      </w:r>
      <w:r w:rsidR="004C0BB2">
        <w:rPr>
          <w:rFonts w:asciiTheme="minorHAnsi" w:hAnsiTheme="minorHAnsi"/>
          <w:color w:val="000000"/>
        </w:rPr>
        <w:t>.</w:t>
      </w:r>
    </w:p>
    <w:p w:rsidR="00704BDF" w:rsidRPr="00704BDF" w:rsidRDefault="00D035CD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D035CD">
        <w:rPr>
          <w:rFonts w:asciiTheme="minorHAnsi" w:hAnsiTheme="minorHAnsi"/>
          <w:color w:val="000000"/>
        </w:rPr>
        <w:t>[</w:t>
      </w:r>
      <w:r w:rsidR="004C0BB2">
        <w:rPr>
          <w:rFonts w:asciiTheme="minorHAnsi" w:hAnsiTheme="minorHAnsi"/>
          <w:color w:val="000000"/>
        </w:rPr>
        <w:t>3</w:t>
      </w:r>
      <w:r w:rsidRPr="00D035CD">
        <w:rPr>
          <w:rFonts w:asciiTheme="minorHAnsi" w:hAnsiTheme="minorHAnsi"/>
          <w:color w:val="000000"/>
        </w:rPr>
        <w:t>] A. Di Pretoro , L. Montastruc, F. Manenti, X. Joulia, 2019, ‘Flexibility analysis of a distillation column: indexes comparison and economic assessment’, Submitted to Computers and Chemical Engineering.</w:t>
      </w: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899" w:rsidRDefault="00357899" w:rsidP="004F5E36">
      <w:r>
        <w:separator/>
      </w:r>
    </w:p>
  </w:endnote>
  <w:endnote w:type="continuationSeparator" w:id="0">
    <w:p w:rsidR="00357899" w:rsidRDefault="00357899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899" w:rsidRDefault="00357899" w:rsidP="004F5E36">
      <w:r>
        <w:separator/>
      </w:r>
    </w:p>
  </w:footnote>
  <w:footnote w:type="continuationSeparator" w:id="0">
    <w:p w:rsidR="00357899" w:rsidRDefault="00357899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11121"/>
    <w:rsid w:val="0013121F"/>
    <w:rsid w:val="00134DE4"/>
    <w:rsid w:val="00150E59"/>
    <w:rsid w:val="00184AD6"/>
    <w:rsid w:val="001B65C1"/>
    <w:rsid w:val="001C3F69"/>
    <w:rsid w:val="001C684B"/>
    <w:rsid w:val="001D53FC"/>
    <w:rsid w:val="001D5B7B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57899"/>
    <w:rsid w:val="003723D4"/>
    <w:rsid w:val="003A7D1C"/>
    <w:rsid w:val="0046164A"/>
    <w:rsid w:val="00462DCD"/>
    <w:rsid w:val="004C0BB2"/>
    <w:rsid w:val="004D1162"/>
    <w:rsid w:val="004E4DD6"/>
    <w:rsid w:val="004F5E36"/>
    <w:rsid w:val="005119A5"/>
    <w:rsid w:val="005278B7"/>
    <w:rsid w:val="0053435F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46C48"/>
    <w:rsid w:val="00A76EFC"/>
    <w:rsid w:val="00A9626B"/>
    <w:rsid w:val="00A97F29"/>
    <w:rsid w:val="00AB0964"/>
    <w:rsid w:val="00AE377D"/>
    <w:rsid w:val="00B61DBF"/>
    <w:rsid w:val="00B869AE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035CD"/>
    <w:rsid w:val="00D84576"/>
    <w:rsid w:val="00DE0019"/>
    <w:rsid w:val="00DE264A"/>
    <w:rsid w:val="00E041E7"/>
    <w:rsid w:val="00E23CA1"/>
    <w:rsid w:val="00E409A8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33E74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4C0BB2"/>
    <w:rPr>
      <w:vertAlign w:val="superscript"/>
    </w:rPr>
  </w:style>
  <w:style w:type="character" w:styleId="Hyperlink">
    <w:name w:val="Hyperlink"/>
    <w:basedOn w:val="DefaultParagraphFont"/>
    <w:uiPriority w:val="99"/>
    <w:unhideWhenUsed/>
    <w:locked/>
    <w:rsid w:val="004C0B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artinaraymo\Documents\analisi%20economic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Total Cost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total cost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'riepilogo dimensioni'!$S$55:$S$59</c:f>
              <c:numCache>
                <c:formatCode>0%</c:formatCode>
                <c:ptCount val="5"/>
                <c:pt idx="0">
                  <c:v>0</c:v>
                </c:pt>
                <c:pt idx="1">
                  <c:v>0.05</c:v>
                </c:pt>
                <c:pt idx="2">
                  <c:v>8.1299999999999997E-2</c:v>
                </c:pt>
                <c:pt idx="3">
                  <c:v>0.13</c:v>
                </c:pt>
                <c:pt idx="4">
                  <c:v>0.14000000000000001</c:v>
                </c:pt>
              </c:numCache>
            </c:numRef>
          </c:xVal>
          <c:yVal>
            <c:numRef>
              <c:f>'riepilogo dimensioni'!$W$55:$W$59</c:f>
              <c:numCache>
                <c:formatCode>0.00</c:formatCode>
                <c:ptCount val="5"/>
                <c:pt idx="0">
                  <c:v>1425867.39531415</c:v>
                </c:pt>
                <c:pt idx="1">
                  <c:v>1516160.2348406699</c:v>
                </c:pt>
                <c:pt idx="2">
                  <c:v>1563769.4481774</c:v>
                </c:pt>
                <c:pt idx="3">
                  <c:v>4306744.8958690204</c:v>
                </c:pt>
                <c:pt idx="4">
                  <c:v>4347064.5926641095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59B-4C54-81E8-32580B7AE4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090995104"/>
        <c:axId val="-2090998352"/>
      </c:scatterChart>
      <c:valAx>
        <c:axId val="-2090995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Disturbances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90998352"/>
        <c:crosses val="autoZero"/>
        <c:crossBetween val="midCat"/>
      </c:valAx>
      <c:valAx>
        <c:axId val="-209099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Costs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909951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7751-6EAB-4219-94A1-E5B413C5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Alessandro Di Pretoro</cp:lastModifiedBy>
  <cp:revision>10</cp:revision>
  <cp:lastPrinted>2015-05-12T18:31:00Z</cp:lastPrinted>
  <dcterms:created xsi:type="dcterms:W3CDTF">2018-05-26T08:49:00Z</dcterms:created>
  <dcterms:modified xsi:type="dcterms:W3CDTF">2019-06-10T10:47:00Z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zotero-version="5.0.55"&gt;&lt;session id="S3IVBm7d"/&gt;&lt;style id="http://www.zotero.org/styles/chicago-fullnote-bibliography" locale="en-GB" hasBibliography="1" bibliographyStyleHasBeenSet="0"/&gt;&lt;prefs&gt;&lt;pref name="fieldType" value="Field"/&gt;</vt:lpwstr>
  </property>
  <property fmtid="{D5CDD505-2E9C-101B-9397-08002B2CF9AE}" pid="3" name="ZOTERO_PREF_2">
    <vt:lpwstr>&lt;pref name="automaticJournalAbbreviations" value="true"/&gt;&lt;pref name="noteType" value="1"/&gt;&lt;/prefs&gt;&lt;/data&gt;</vt:lpwstr>
  </property>
</Properties>
</file>