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B1122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Impact of oxygenation and glucose</w:t>
      </w:r>
      <w:r w:rsidR="00D0345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concentration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on succinate production by </w:t>
      </w:r>
      <w:r w:rsidRPr="00B11221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Corynebacterium glutamicum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DE0019" w:rsidRPr="00814C6A" w:rsidRDefault="00C07BA5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proofErr w:type="spellStart"/>
      <w:r w:rsidRPr="00814C6A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Amani</w:t>
      </w:r>
      <w:proofErr w:type="spellEnd"/>
      <w:r w:rsidR="00704BDF" w:rsidRPr="00814C6A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 </w:t>
      </w:r>
      <w:r w:rsidRPr="00814C6A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Briki</w:t>
      </w:r>
      <w:r w:rsidR="00874EA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1,2</w:t>
      </w:r>
      <w:r w:rsidR="00736B13"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proofErr w:type="spellStart"/>
      <w:r w:rsidR="007031E0"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E</w:t>
      </w:r>
      <w:r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ric</w:t>
      </w:r>
      <w:proofErr w:type="spellEnd"/>
      <w:r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Olmos</w:t>
      </w:r>
      <w:r w:rsidR="007031E0" w:rsidRPr="00814C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1,2</w:t>
      </w:r>
      <w:r w:rsidR="00874EA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*</w:t>
      </w:r>
      <w:bookmarkStart w:id="0" w:name="_GoBack"/>
      <w:bookmarkEnd w:id="0"/>
      <w:r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6223EC"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Sabine Bosselaar</w:t>
      </w:r>
      <w:r w:rsidR="006223EC" w:rsidRPr="00814C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1,2</w:t>
      </w:r>
      <w:r w:rsidR="006223EC"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Frantz Fournier</w:t>
      </w:r>
      <w:r w:rsidR="007031E0" w:rsidRPr="00814C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1,2</w:t>
      </w:r>
      <w:r w:rsidRPr="00814C6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Stéphane Delaunay</w:t>
      </w:r>
      <w:r w:rsidR="007031E0" w:rsidRPr="00814C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1,2</w:t>
      </w:r>
      <w:r w:rsidR="00DE0019" w:rsidRPr="00814C6A">
        <w:rPr>
          <w:rFonts w:eastAsia="SimSun"/>
          <w:color w:val="000000"/>
          <w:lang w:val="fr-FR" w:eastAsia="zh-CN"/>
        </w:rPr>
        <w:t xml:space="preserve"> </w:t>
      </w:r>
    </w:p>
    <w:p w:rsidR="00704BDF" w:rsidRPr="007031E0" w:rsidRDefault="00704BDF" w:rsidP="00493082">
      <w:pPr>
        <w:pStyle w:val="CHISA"/>
        <w:spacing w:after="120" w:line="264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0"/>
          <w:vertAlign w:val="superscript"/>
          <w:lang w:val="fr-FR"/>
        </w:rPr>
      </w:pPr>
      <w:r w:rsidRPr="00814C6A">
        <w:rPr>
          <w:rFonts w:eastAsia="MS PGothic"/>
          <w:i/>
          <w:iCs/>
          <w:color w:val="000000"/>
          <w:sz w:val="20"/>
          <w:lang w:val="fr-FR"/>
        </w:rPr>
        <w:t>1</w:t>
      </w:r>
      <w:r w:rsidRPr="00814C6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7031E0" w:rsidRPr="007031E0">
        <w:rPr>
          <w:rFonts w:asciiTheme="minorHAnsi" w:hAnsiTheme="minorHAnsi" w:cstheme="minorHAnsi"/>
          <w:i/>
          <w:sz w:val="20"/>
          <w:lang w:val="fr-FR"/>
        </w:rPr>
        <w:t>CNRS, Laboratoire Réactions et Génie des P</w:t>
      </w:r>
      <w:r w:rsidR="00F216E1">
        <w:rPr>
          <w:rFonts w:asciiTheme="minorHAnsi" w:hAnsiTheme="minorHAnsi" w:cstheme="minorHAnsi"/>
          <w:i/>
          <w:sz w:val="20"/>
          <w:lang w:val="fr-FR"/>
        </w:rPr>
        <w:t>rocédés, UMR 7274</w:t>
      </w:r>
      <w:r w:rsidRPr="00814C6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2 </w:t>
      </w:r>
      <w:r w:rsidR="007031E0" w:rsidRPr="007031E0">
        <w:rPr>
          <w:rFonts w:ascii="Calibri" w:hAnsi="Calibri" w:cs="Calibri"/>
          <w:i/>
          <w:sz w:val="20"/>
          <w:lang w:val="fr-FR"/>
        </w:rPr>
        <w:t>Université de Lorraine, LRGP, UMR 7274, 2 avenue de la forêt de Haye, TSA 40602, Vandœuvre-lès-Nancy, F-54518, France</w:t>
      </w:r>
      <w:r w:rsidR="007031E0">
        <w:rPr>
          <w:rFonts w:ascii="Times New Roman" w:hAnsi="Times New Roman" w:cs="Times New Roman"/>
          <w:sz w:val="20"/>
          <w:lang w:val="fr-FR"/>
        </w:rPr>
        <w:t>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93082">
        <w:rPr>
          <w:rFonts w:asciiTheme="minorHAnsi" w:eastAsia="MS PGothic" w:hAnsiTheme="minorHAnsi"/>
          <w:bCs/>
          <w:i/>
          <w:iCs/>
          <w:sz w:val="20"/>
          <w:lang w:val="en-US"/>
        </w:rPr>
        <w:t>eric.olmos</w:t>
      </w:r>
      <w:r w:rsidR="007031E0">
        <w:rPr>
          <w:rFonts w:asciiTheme="minorHAnsi" w:eastAsia="MS PGothic" w:hAnsiTheme="minorHAnsi"/>
          <w:bCs/>
          <w:i/>
          <w:iCs/>
          <w:sz w:val="20"/>
          <w:lang w:val="en-US"/>
        </w:rPr>
        <w:t>@univ-lorraine.fr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031E0" w:rsidP="00781A5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Sequential</w:t>
      </w:r>
      <w:r w:rsidR="00904873">
        <w:rPr>
          <w:rFonts w:asciiTheme="minorHAnsi" w:hAnsiTheme="minorHAnsi"/>
        </w:rPr>
        <w:t xml:space="preserve"> production of organic acid</w:t>
      </w:r>
      <w:r>
        <w:rPr>
          <w:rFonts w:asciiTheme="minorHAnsi" w:hAnsiTheme="minorHAnsi"/>
        </w:rPr>
        <w:t>s</w:t>
      </w:r>
      <w:r w:rsidR="00904873">
        <w:rPr>
          <w:rFonts w:asciiTheme="minorHAnsi" w:hAnsiTheme="minorHAnsi"/>
        </w:rPr>
        <w:t xml:space="preserve"> </w:t>
      </w:r>
      <w:r w:rsidR="00781A5A">
        <w:rPr>
          <w:rFonts w:asciiTheme="minorHAnsi" w:hAnsiTheme="minorHAnsi"/>
        </w:rPr>
        <w:t xml:space="preserve">according to </w:t>
      </w:r>
      <w:r w:rsidR="002332CF">
        <w:rPr>
          <w:rFonts w:asciiTheme="minorHAnsi" w:hAnsiTheme="minorHAnsi"/>
        </w:rPr>
        <w:t>the oxygen uptake rate</w:t>
      </w:r>
    </w:p>
    <w:p w:rsidR="00704BDF" w:rsidRPr="00EC66CC" w:rsidRDefault="0090487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succinate </w:t>
      </w:r>
      <w:r w:rsidR="00EA13CA">
        <w:rPr>
          <w:rFonts w:asciiTheme="minorHAnsi" w:hAnsiTheme="minorHAnsi"/>
        </w:rPr>
        <w:t>re-</w:t>
      </w:r>
      <w:r>
        <w:rPr>
          <w:rFonts w:asciiTheme="minorHAnsi" w:hAnsiTheme="minorHAnsi"/>
        </w:rPr>
        <w:t>consumption depend</w:t>
      </w:r>
      <w:r w:rsidR="007031E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on the glucose concentration </w:t>
      </w:r>
    </w:p>
    <w:p w:rsidR="00704BDF" w:rsidRPr="00B11221" w:rsidRDefault="00493082" w:rsidP="00B1122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Kinetic modelling of succinate </w:t>
      </w:r>
      <w:r w:rsidR="002332CF">
        <w:rPr>
          <w:rFonts w:asciiTheme="minorHAnsi" w:hAnsiTheme="minorHAnsi"/>
        </w:rPr>
        <w:t>production/consumption</w:t>
      </w:r>
      <w:r>
        <w:rPr>
          <w:rFonts w:asciiTheme="minorHAnsi" w:hAnsiTheme="minorHAnsi"/>
        </w:rPr>
        <w:t xml:space="preserve">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3909BB" w:rsidRPr="00B5756F" w:rsidRDefault="003D13A5" w:rsidP="00046D64">
      <w:pPr>
        <w:snapToGrid w:val="0"/>
        <w:spacing w:after="120"/>
        <w:rPr>
          <w:rFonts w:asciiTheme="minorHAnsi" w:eastAsia="MS PGothic" w:hAnsiTheme="minorHAnsi"/>
          <w:color w:val="808080" w:themeColor="background1" w:themeShade="80"/>
          <w:sz w:val="22"/>
          <w:szCs w:val="22"/>
          <w:lang w:val="en-US"/>
        </w:rPr>
      </w:pPr>
      <w:r w:rsidRPr="003D13A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Corynebacterium glutamicum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widely used in industry fo</w:t>
      </w:r>
      <w:r w:rsidR="002332CF">
        <w:rPr>
          <w:rFonts w:asciiTheme="minorHAnsi" w:eastAsia="MS PGothic" w:hAnsiTheme="minorHAnsi"/>
          <w:color w:val="000000"/>
          <w:sz w:val="22"/>
          <w:szCs w:val="22"/>
          <w:lang w:val="en-US"/>
        </w:rPr>
        <w:t>r the production of amino acids and 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a few years, it </w:t>
      </w:r>
      <w:proofErr w:type="gramStart"/>
      <w:r w:rsidR="00430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known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 w:rsidRPr="003D13A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glutamicum </w:t>
      </w:r>
      <w:r w:rsidRPr="00430D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2332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Pr="00430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capable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2332C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producing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organic acids under oxygen-limited and anaerobic conditions</w:t>
      </w:r>
      <w:r w:rsidR="006223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909BB" w:rsidRPr="00046D64">
        <w:rPr>
          <w:rFonts w:asciiTheme="minorHAnsi" w:eastAsia="MS PGothic" w:hAnsiTheme="minorHAnsi"/>
          <w:sz w:val="22"/>
          <w:szCs w:val="22"/>
          <w:lang w:val="en-US"/>
        </w:rPr>
        <w:t xml:space="preserve">Therefore, this work aimed to </w:t>
      </w:r>
      <w:r w:rsidR="001079E6">
        <w:rPr>
          <w:rFonts w:asciiTheme="minorHAnsi" w:eastAsia="MS PGothic" w:hAnsiTheme="minorHAnsi"/>
          <w:sz w:val="22"/>
          <w:szCs w:val="22"/>
          <w:lang w:val="en-US"/>
        </w:rPr>
        <w:t xml:space="preserve">understand the </w:t>
      </w:r>
      <w:r w:rsidR="00616509">
        <w:rPr>
          <w:rFonts w:asciiTheme="minorHAnsi" w:eastAsia="MS PGothic" w:hAnsiTheme="minorHAnsi"/>
          <w:sz w:val="22"/>
          <w:szCs w:val="22"/>
          <w:lang w:val="en-US"/>
        </w:rPr>
        <w:t xml:space="preserve">physiological </w:t>
      </w:r>
      <w:r w:rsidR="001079E6">
        <w:rPr>
          <w:rFonts w:asciiTheme="minorHAnsi" w:eastAsia="MS PGothic" w:hAnsiTheme="minorHAnsi"/>
          <w:sz w:val="22"/>
          <w:szCs w:val="22"/>
          <w:lang w:val="en-US"/>
        </w:rPr>
        <w:t>behavior</w:t>
      </w:r>
      <w:r w:rsidR="003909BB" w:rsidRPr="00046D64">
        <w:rPr>
          <w:rFonts w:asciiTheme="minorHAnsi" w:eastAsia="MS PGothic" w:hAnsiTheme="minorHAnsi"/>
          <w:sz w:val="22"/>
          <w:szCs w:val="22"/>
          <w:lang w:val="en-US"/>
        </w:rPr>
        <w:t xml:space="preserve"> of </w:t>
      </w:r>
      <w:r w:rsidR="003909BB" w:rsidRPr="00046D64">
        <w:rPr>
          <w:rFonts w:asciiTheme="minorHAnsi" w:eastAsia="MS PGothic" w:hAnsiTheme="minorHAnsi"/>
          <w:i/>
          <w:sz w:val="22"/>
          <w:szCs w:val="22"/>
          <w:lang w:val="en-US"/>
        </w:rPr>
        <w:t xml:space="preserve">C. glutamicum </w:t>
      </w:r>
      <w:r w:rsidR="00616509">
        <w:rPr>
          <w:rFonts w:asciiTheme="minorHAnsi" w:eastAsia="MS PGothic" w:hAnsiTheme="minorHAnsi"/>
          <w:sz w:val="22"/>
          <w:szCs w:val="22"/>
          <w:lang w:val="en-US"/>
        </w:rPr>
        <w:t xml:space="preserve">in defined and limiting </w:t>
      </w:r>
      <w:r w:rsidR="00D055F9">
        <w:rPr>
          <w:rFonts w:asciiTheme="minorHAnsi" w:eastAsia="MS PGothic" w:hAnsiTheme="minorHAnsi"/>
          <w:sz w:val="22"/>
          <w:szCs w:val="22"/>
          <w:lang w:val="en-US"/>
        </w:rPr>
        <w:t>oxygen</w:t>
      </w:r>
      <w:r w:rsidR="00616509">
        <w:rPr>
          <w:rFonts w:asciiTheme="minorHAnsi" w:eastAsia="MS PGothic" w:hAnsiTheme="minorHAnsi"/>
          <w:sz w:val="22"/>
          <w:szCs w:val="22"/>
          <w:lang w:val="en-US"/>
        </w:rPr>
        <w:t>ation</w:t>
      </w:r>
      <w:r w:rsidR="00D055F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616509">
        <w:rPr>
          <w:rFonts w:asciiTheme="minorHAnsi" w:eastAsia="MS PGothic" w:hAnsiTheme="minorHAnsi"/>
          <w:sz w:val="22"/>
          <w:szCs w:val="22"/>
          <w:lang w:val="en-US"/>
        </w:rPr>
        <w:t>conditions</w:t>
      </w:r>
      <w:r w:rsidR="00D055F9">
        <w:rPr>
          <w:rFonts w:asciiTheme="minorHAnsi" w:eastAsia="MS PGothic" w:hAnsiTheme="minorHAnsi"/>
          <w:sz w:val="22"/>
          <w:szCs w:val="22"/>
          <w:lang w:val="en-US"/>
        </w:rPr>
        <w:t xml:space="preserve"> and</w:t>
      </w:r>
      <w:r w:rsidR="0021642E">
        <w:rPr>
          <w:rFonts w:asciiTheme="minorHAnsi" w:eastAsia="MS PGothic" w:hAnsiTheme="minorHAnsi"/>
          <w:sz w:val="22"/>
          <w:szCs w:val="22"/>
          <w:lang w:val="en-US"/>
        </w:rPr>
        <w:t xml:space="preserve"> then</w:t>
      </w:r>
      <w:r w:rsidR="00D055F9">
        <w:rPr>
          <w:rFonts w:asciiTheme="minorHAnsi" w:eastAsia="MS PGothic" w:hAnsiTheme="minorHAnsi"/>
          <w:sz w:val="22"/>
          <w:szCs w:val="22"/>
          <w:lang w:val="en-US"/>
        </w:rPr>
        <w:t xml:space="preserve"> to </w:t>
      </w:r>
      <w:r w:rsidR="00DF1450">
        <w:rPr>
          <w:rFonts w:asciiTheme="minorHAnsi" w:eastAsia="MS PGothic" w:hAnsiTheme="minorHAnsi"/>
          <w:sz w:val="22"/>
          <w:szCs w:val="22"/>
          <w:lang w:val="en-US"/>
        </w:rPr>
        <w:t>give clues concerning</w:t>
      </w:r>
      <w:r w:rsidR="00D055F9">
        <w:rPr>
          <w:rFonts w:asciiTheme="minorHAnsi" w:eastAsia="MS PGothic" w:hAnsiTheme="minorHAnsi"/>
          <w:sz w:val="22"/>
          <w:szCs w:val="22"/>
          <w:lang w:val="en-US"/>
        </w:rPr>
        <w:t xml:space="preserve"> the optimal condition</w:t>
      </w:r>
      <w:r w:rsidR="00616509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D055F9">
        <w:rPr>
          <w:rFonts w:asciiTheme="minorHAnsi" w:eastAsia="MS PGothic" w:hAnsiTheme="minorHAnsi"/>
          <w:sz w:val="22"/>
          <w:szCs w:val="22"/>
          <w:lang w:val="en-US"/>
        </w:rPr>
        <w:t xml:space="preserve"> for succinate production.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3909BB" w:rsidRPr="003909BB" w:rsidRDefault="003909BB" w:rsidP="003909B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cultures of </w:t>
      </w:r>
      <w:r w:rsidRPr="00024A7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Corynebacterium glutamicum</w:t>
      </w:r>
      <w:r w:rsidR="003341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2262</w:t>
      </w:r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performed</w:t>
      </w:r>
      <w:proofErr w:type="gramEnd"/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430D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minimal</w:t>
      </w:r>
      <w:r w:rsidR="004859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medium </w:t>
      </w:r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glass </w:t>
      </w:r>
      <w:proofErr w:type="spellStart"/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unbaffled</w:t>
      </w:r>
      <w:proofErr w:type="spellEnd"/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shake flasks</w:t>
      </w:r>
      <w:r w:rsidR="004859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2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For the 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estimation</w:t>
      </w:r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volumetric gas-liquid mass transfer coefficient (</w:t>
      </w:r>
      <w:r w:rsidRPr="00D701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</w:t>
      </w:r>
      <w:r w:rsidRPr="00D70184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L</w:t>
      </w:r>
      <w:r w:rsidRPr="00D701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</w:t>
      </w:r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following</w:t>
      </w:r>
      <w:r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correlation</w:t>
      </w:r>
      <w:r w:rsidR="00563E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627E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</w:t>
      </w:r>
      <w:r w:rsidR="00563E99"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412C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proofErr w:type="gramStart"/>
      <w:r w:rsidR="0033412C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proofErr w:type="gramEnd"/>
      <w:r w:rsidR="0033412C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D055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3909BB" w:rsidRPr="003909BB" w:rsidRDefault="00C34599" w:rsidP="00627ED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m:oMath>
        <m:sSub>
          <m:sSub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L</m:t>
            </m:r>
          </m:sub>
        </m:sSub>
        <m:r>
          <w:rPr>
            <w:rFonts w:ascii="Cambria Math" w:eastAsia="Calibri" w:hAnsi="Cambria Math" w:cs="Arial"/>
            <w:sz w:val="22"/>
            <w:szCs w:val="22"/>
            <w:lang w:val="en-US"/>
          </w:rPr>
          <m:t>a=0.024*</m:t>
        </m:r>
        <m:sSup>
          <m:sSup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N</m:t>
            </m:r>
          </m:e>
          <m:sup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1.16</m:t>
            </m:r>
          </m:sup>
        </m:sSup>
        <m:r>
          <w:rPr>
            <w:rFonts w:ascii="Cambria Math" w:eastAsia="Calibri" w:hAnsi="Cambria Math" w:cs="Arial"/>
            <w:sz w:val="22"/>
            <w:szCs w:val="22"/>
            <w:lang w:val="en-US"/>
          </w:rPr>
          <m:t>*</m:t>
        </m:r>
        <m:sSup>
          <m:sSup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V</m:t>
            </m:r>
          </m:e>
          <m:sup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-0.83</m:t>
            </m:r>
          </m:sup>
        </m:sSup>
        <m:r>
          <w:rPr>
            <w:rFonts w:ascii="Cambria Math" w:eastAsia="Calibri" w:hAnsi="Cambria Math" w:cs="Arial"/>
            <w:sz w:val="22"/>
            <w:szCs w:val="22"/>
            <w:lang w:val="en-US"/>
          </w:rPr>
          <m:t>*</m:t>
        </m:r>
        <m:sSubSup>
          <m:sSubSup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0</m:t>
            </m:r>
          </m:sub>
          <m:sup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0.38</m:t>
            </m:r>
          </m:sup>
        </m:sSubSup>
        <m:r>
          <w:rPr>
            <w:rFonts w:ascii="Cambria Math" w:eastAsia="Calibri" w:hAnsi="Cambria Math" w:cs="Arial"/>
            <w:sz w:val="22"/>
            <w:szCs w:val="22"/>
            <w:lang w:val="en-US"/>
          </w:rPr>
          <m:t>*</m:t>
        </m:r>
        <m:sSup>
          <m:sSup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d</m:t>
            </m:r>
          </m:e>
          <m:sup>
            <m:r>
              <w:rPr>
                <w:rFonts w:ascii="Cambria Math" w:eastAsia="Calibri" w:hAnsi="Cambria Math" w:cs="Arial"/>
                <w:sz w:val="22"/>
                <w:szCs w:val="22"/>
                <w:lang w:val="en-US"/>
              </w:rPr>
              <m:t>1.92</m:t>
            </m:r>
          </m:sup>
        </m:sSup>
      </m:oMath>
      <w:r w:rsidR="00F46049">
        <w:rPr>
          <w:rFonts w:asciiTheme="minorHAnsi" w:eastAsia="MS PGothic" w:hAnsiTheme="minorHAnsi"/>
          <w:sz w:val="22"/>
          <w:szCs w:val="22"/>
          <w:lang w:val="en-US"/>
        </w:rPr>
        <w:t xml:space="preserve">   </w:t>
      </w:r>
      <w:r w:rsidR="002F4251">
        <w:rPr>
          <w:rFonts w:asciiTheme="minorHAnsi" w:eastAsia="MS PGothic" w:hAnsiTheme="minorHAnsi"/>
          <w:sz w:val="22"/>
          <w:szCs w:val="22"/>
          <w:lang w:val="en-US"/>
        </w:rPr>
        <w:t xml:space="preserve">          </w:t>
      </w:r>
      <w:r w:rsidR="00F46049">
        <w:rPr>
          <w:rFonts w:asciiTheme="minorHAnsi" w:eastAsia="MS PGothic" w:hAnsiTheme="minorHAnsi"/>
          <w:sz w:val="22"/>
          <w:szCs w:val="22"/>
          <w:lang w:val="en-US"/>
        </w:rPr>
        <w:t>(eq</w:t>
      </w:r>
      <w:r w:rsidR="00577797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F46049">
        <w:rPr>
          <w:rFonts w:asciiTheme="minorHAnsi" w:eastAsia="MS PGothic" w:hAnsiTheme="minorHAnsi"/>
          <w:sz w:val="22"/>
          <w:szCs w:val="22"/>
          <w:lang w:val="en-US"/>
        </w:rPr>
        <w:t>1)</w:t>
      </w:r>
    </w:p>
    <w:p w:rsidR="003909BB" w:rsidRDefault="00563E99" w:rsidP="003909B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ith</w:t>
      </w:r>
      <w:proofErr w:type="gramEnd"/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0184" w:rsidRPr="00D701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</w:t>
      </w:r>
      <w:r w:rsidR="00D70184" w:rsidRPr="00D70184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L</w:t>
      </w:r>
      <w:r w:rsidR="00D70184" w:rsidRPr="00D701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909BB"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volumetric gas-liquid mass transfer coefficient (h</w:t>
      </w:r>
      <w:r w:rsidR="003909BB" w:rsidRPr="0091628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332CF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N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shaking frequency (s</w:t>
      </w:r>
      <w:r w:rsidR="00D70184" w:rsidRPr="00D701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332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V </w:t>
      </w:r>
      <w:r w:rsidR="003909BB"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filling volume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(mL)</w:t>
      </w:r>
      <w:r w:rsidR="003909BB"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</w:t>
      </w:r>
      <w:r w:rsidR="003909BB" w:rsidRPr="00D701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0</w:t>
      </w:r>
      <w:r w:rsidR="003909BB"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shaking diameter</w:t>
      </w:r>
      <w:r w:rsidR="002332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(cm) and d</w:t>
      </w:r>
      <w:r w:rsidR="003909BB"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maximal shake flask diameter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(cm)</w:t>
      </w:r>
      <w:r w:rsidR="003909BB" w:rsidRPr="0039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5D7496" w:rsidRPr="003909BB" w:rsidRDefault="002332CF" w:rsidP="005D749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F216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previously 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demonstrated</w:t>
      </w:r>
      <w:proofErr w:type="gramEnd"/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</w:t>
      </w:r>
      <w:r w:rsidR="00D70184" w:rsidRPr="00F216E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</w:t>
      </w:r>
      <w:r w:rsidR="00D70184" w:rsidRPr="00F216E1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L</w:t>
      </w:r>
      <w:r w:rsidR="00D70184" w:rsidRPr="00F216E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calculated from eq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determined experimentally 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in very good agreement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EA13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D7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present work, 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modifying the shaking frequency, the filling volume and the maximal shake flask diameter, </w:t>
      </w:r>
      <w:r w:rsidR="005D7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5D7496" w:rsidRPr="0033412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</w:t>
      </w:r>
      <w:r w:rsidR="005D7496" w:rsidRPr="0033412C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L</w:t>
      </w:r>
      <w:r w:rsidR="005D7496" w:rsidRPr="0033412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</w:t>
      </w:r>
      <w:r w:rsidR="005D7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 </w:t>
      </w:r>
      <w:r w:rsidR="005D7496" w:rsidRPr="00916288">
        <w:rPr>
          <w:rFonts w:ascii="Calibri" w:eastAsia="Calibri" w:hAnsi="Calibri" w:cs="Arial"/>
          <w:bCs/>
          <w:sz w:val="22"/>
          <w:szCs w:val="22"/>
          <w:lang w:val="en-US"/>
        </w:rPr>
        <w:t>(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>5, 11, 15, 20, 31, 44, 77, 90 and</w:t>
      </w:r>
      <w:r w:rsidR="005D7496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118h</w:t>
      </w:r>
      <w:r w:rsidR="005D7496" w:rsidRPr="00916288">
        <w:rPr>
          <w:rFonts w:ascii="Calibri" w:eastAsia="Calibri" w:hAnsi="Calibri" w:cs="Arial"/>
          <w:bCs/>
          <w:sz w:val="22"/>
          <w:szCs w:val="22"/>
          <w:vertAlign w:val="superscript"/>
          <w:lang w:val="en-US"/>
        </w:rPr>
        <w:t>-1</w:t>
      </w:r>
      <w:r w:rsidR="005D7496" w:rsidRPr="00916288">
        <w:rPr>
          <w:rFonts w:ascii="Calibri" w:eastAsia="Calibri" w:hAnsi="Calibri" w:cs="Arial"/>
          <w:bCs/>
          <w:sz w:val="22"/>
          <w:szCs w:val="22"/>
          <w:lang w:val="en-US"/>
        </w:rPr>
        <w:t>)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1B785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 be</w:t>
      </w:r>
      <w:r w:rsidR="005D7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0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imposed</w:t>
      </w:r>
      <w:r w:rsidR="005D7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916288" w:rsidRDefault="00704BDF" w:rsidP="00B5756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5B00A5" w:rsidP="00925F0B">
      <w:pPr>
        <w:tabs>
          <w:tab w:val="clear" w:pos="7100"/>
        </w:tabs>
        <w:spacing w:after="160" w:line="259" w:lineRule="auto"/>
        <w:ind w:right="-2"/>
        <w:rPr>
          <w:rFonts w:ascii="Calibri" w:eastAsia="Calibri" w:hAnsi="Calibri" w:cs="Arial"/>
          <w:bCs/>
          <w:sz w:val="22"/>
          <w:szCs w:val="22"/>
          <w:lang w:val="en-US"/>
        </w:rPr>
      </w:pPr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All the cultures </w:t>
      </w:r>
      <w:proofErr w:type="gramStart"/>
      <w:r>
        <w:rPr>
          <w:rFonts w:ascii="Calibri" w:eastAsia="Calibri" w:hAnsi="Calibri" w:cs="Arial"/>
          <w:bCs/>
          <w:sz w:val="22"/>
          <w:szCs w:val="22"/>
          <w:lang w:val="en-US"/>
        </w:rPr>
        <w:t>were performed</w:t>
      </w:r>
      <w:proofErr w:type="gramEnd"/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 in limiting oxygen condition. This one was noticed 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2h 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after the beginning of the 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culture with </w:t>
      </w:r>
      <w:r w:rsidR="00493082" w:rsidRPr="00493082">
        <w:rPr>
          <w:rFonts w:ascii="Calibri" w:eastAsia="Calibri" w:hAnsi="Calibri" w:cs="Arial"/>
          <w:bCs/>
          <w:i/>
          <w:sz w:val="22"/>
          <w:szCs w:val="22"/>
          <w:lang w:val="en-US"/>
        </w:rPr>
        <w:t>k</w:t>
      </w:r>
      <w:r w:rsidR="00493082" w:rsidRPr="00493082">
        <w:rPr>
          <w:rFonts w:ascii="Calibri" w:eastAsia="Calibri" w:hAnsi="Calibri" w:cs="Arial"/>
          <w:bCs/>
          <w:i/>
          <w:sz w:val="22"/>
          <w:szCs w:val="22"/>
          <w:vertAlign w:val="subscript"/>
          <w:lang w:val="en-US"/>
        </w:rPr>
        <w:t>L</w:t>
      </w:r>
      <w:r w:rsidR="00493082" w:rsidRPr="00493082">
        <w:rPr>
          <w:rFonts w:ascii="Calibri" w:eastAsia="Calibri" w:hAnsi="Calibri" w:cs="Arial"/>
          <w:bCs/>
          <w:i/>
          <w:sz w:val="22"/>
          <w:szCs w:val="22"/>
          <w:lang w:val="en-US"/>
        </w:rPr>
        <w:t>a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>values above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 77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5D7496" w:rsidRPr="005D7496">
        <w:rPr>
          <w:rFonts w:ascii="Calibri" w:eastAsia="Calibri" w:hAnsi="Calibri" w:cs="Arial"/>
          <w:bCs/>
          <w:sz w:val="22"/>
          <w:szCs w:val="22"/>
          <w:lang w:val="en-US"/>
        </w:rPr>
        <w:t>h</w:t>
      </w:r>
      <w:r w:rsidR="005D7496" w:rsidRPr="005D7496">
        <w:rPr>
          <w:rFonts w:ascii="Calibri" w:eastAsia="Calibri" w:hAnsi="Calibri" w:cs="Arial"/>
          <w:bCs/>
          <w:sz w:val="22"/>
          <w:szCs w:val="22"/>
          <w:vertAlign w:val="superscript"/>
          <w:lang w:val="en-US"/>
        </w:rPr>
        <w:t>-1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 and 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>after only a few minutes when the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5D7496" w:rsidRPr="00493082">
        <w:rPr>
          <w:rFonts w:ascii="Calibri" w:eastAsia="Calibri" w:hAnsi="Calibri" w:cs="Arial"/>
          <w:bCs/>
          <w:i/>
          <w:sz w:val="22"/>
          <w:szCs w:val="22"/>
          <w:lang w:val="en-US"/>
        </w:rPr>
        <w:t>k</w:t>
      </w:r>
      <w:r w:rsidR="005D7496" w:rsidRPr="00493082">
        <w:rPr>
          <w:rFonts w:ascii="Calibri" w:eastAsia="Calibri" w:hAnsi="Calibri" w:cs="Arial"/>
          <w:bCs/>
          <w:i/>
          <w:sz w:val="22"/>
          <w:szCs w:val="22"/>
          <w:vertAlign w:val="subscript"/>
          <w:lang w:val="en-US"/>
        </w:rPr>
        <w:t>L</w:t>
      </w:r>
      <w:r w:rsidR="005D7496" w:rsidRPr="00493082">
        <w:rPr>
          <w:rFonts w:ascii="Calibri" w:eastAsia="Calibri" w:hAnsi="Calibri" w:cs="Arial"/>
          <w:bCs/>
          <w:i/>
          <w:sz w:val="22"/>
          <w:szCs w:val="22"/>
          <w:lang w:val="en-US"/>
        </w:rPr>
        <w:t>a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 values 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>were below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 33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5D7496" w:rsidRPr="005D7496">
        <w:rPr>
          <w:rFonts w:ascii="Calibri" w:eastAsia="Calibri" w:hAnsi="Calibri" w:cs="Arial"/>
          <w:bCs/>
          <w:sz w:val="22"/>
          <w:szCs w:val="22"/>
          <w:lang w:val="en-US"/>
        </w:rPr>
        <w:t>h</w:t>
      </w:r>
      <w:r w:rsidR="005D7496" w:rsidRPr="005D7496">
        <w:rPr>
          <w:rFonts w:ascii="Calibri" w:eastAsia="Calibri" w:hAnsi="Calibri" w:cs="Arial"/>
          <w:bCs/>
          <w:sz w:val="22"/>
          <w:szCs w:val="22"/>
          <w:vertAlign w:val="superscript"/>
          <w:lang w:val="en-US"/>
        </w:rPr>
        <w:t>-1</w:t>
      </w:r>
      <w:r w:rsidR="005D7496">
        <w:rPr>
          <w:rFonts w:ascii="Calibri" w:eastAsia="Calibri" w:hAnsi="Calibri" w:cs="Arial"/>
          <w:bCs/>
          <w:sz w:val="22"/>
          <w:szCs w:val="22"/>
          <w:vertAlign w:val="superscript"/>
          <w:lang w:val="en-US"/>
        </w:rPr>
        <w:t xml:space="preserve"> </w:t>
      </w:r>
      <w:r w:rsidR="00622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5D7496">
        <w:rPr>
          <w:rFonts w:ascii="Calibri" w:eastAsia="Calibri" w:hAnsi="Calibri" w:cs="Arial"/>
          <w:bCs/>
          <w:sz w:val="22"/>
          <w:szCs w:val="22"/>
          <w:lang w:val="en-US"/>
        </w:rPr>
        <w:t xml:space="preserve">.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The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maximal organic acid concentrations differed according to the oxygenation conditions.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Indeed, the succinate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maximal concentration</w:t>
      </w:r>
      <w:r w:rsidR="00493082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(42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proofErr w:type="spellStart"/>
      <w:r w:rsidR="00493082" w:rsidRPr="00916288">
        <w:rPr>
          <w:rFonts w:ascii="Calibri" w:eastAsia="Calibri" w:hAnsi="Calibri" w:cs="Arial"/>
          <w:bCs/>
          <w:sz w:val="22"/>
          <w:szCs w:val="22"/>
          <w:lang w:val="en-US"/>
        </w:rPr>
        <w:t>mM</w:t>
      </w:r>
      <w:proofErr w:type="spellEnd"/>
      <w:r w:rsidR="00493082" w:rsidRPr="00916288">
        <w:rPr>
          <w:rFonts w:ascii="Calibri" w:eastAsia="Calibri" w:hAnsi="Calibri" w:cs="Arial"/>
          <w:bCs/>
          <w:sz w:val="22"/>
          <w:szCs w:val="22"/>
          <w:lang w:val="en-US"/>
        </w:rPr>
        <w:t>)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was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measured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F46049">
        <w:rPr>
          <w:rFonts w:ascii="Calibri" w:eastAsia="Calibri" w:hAnsi="Calibri" w:cs="Arial"/>
          <w:bCs/>
          <w:sz w:val="22"/>
          <w:szCs w:val="22"/>
          <w:lang w:val="en-US"/>
        </w:rPr>
        <w:t>for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16288" w:rsidRPr="00493082">
        <w:rPr>
          <w:rFonts w:ascii="Calibri" w:eastAsia="Calibri" w:hAnsi="Calibri" w:cs="Arial"/>
          <w:bCs/>
          <w:i/>
          <w:sz w:val="22"/>
          <w:szCs w:val="22"/>
          <w:lang w:val="en-US"/>
        </w:rPr>
        <w:t>k</w:t>
      </w:r>
      <w:r w:rsidR="00916288" w:rsidRPr="00493082">
        <w:rPr>
          <w:rFonts w:ascii="Calibri" w:eastAsia="Calibri" w:hAnsi="Calibri" w:cs="Arial"/>
          <w:bCs/>
          <w:i/>
          <w:sz w:val="22"/>
          <w:szCs w:val="22"/>
          <w:vertAlign w:val="subscript"/>
          <w:lang w:val="en-US"/>
        </w:rPr>
        <w:t>L</w:t>
      </w:r>
      <w:r w:rsidR="00916288" w:rsidRPr="00493082">
        <w:rPr>
          <w:rFonts w:ascii="Calibri" w:eastAsia="Calibri" w:hAnsi="Calibri" w:cs="Arial"/>
          <w:bCs/>
          <w:i/>
          <w:sz w:val="22"/>
          <w:szCs w:val="22"/>
          <w:lang w:val="en-US"/>
        </w:rPr>
        <w:t>a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=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proofErr w:type="gramStart"/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5</w:t>
      </w:r>
      <w:proofErr w:type="gramEnd"/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h</w:t>
      </w:r>
      <w:r w:rsidR="00916288" w:rsidRPr="00916288">
        <w:rPr>
          <w:rFonts w:ascii="Calibri" w:eastAsia="Calibri" w:hAnsi="Calibri" w:cs="Arial"/>
          <w:bCs/>
          <w:sz w:val="22"/>
          <w:szCs w:val="22"/>
          <w:vertAlign w:val="superscript"/>
          <w:lang w:val="en-US"/>
        </w:rPr>
        <w:t>-1</w:t>
      </w:r>
      <w:r w:rsidR="009C1343">
        <w:rPr>
          <w:rFonts w:ascii="Calibri" w:eastAsia="Calibri" w:hAnsi="Calibri" w:cs="Arial"/>
          <w:bCs/>
          <w:sz w:val="22"/>
          <w:szCs w:val="22"/>
          <w:lang w:val="en-US"/>
        </w:rPr>
        <w:t xml:space="preserve"> with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 xml:space="preserve">a conversion yield of </w:t>
      </w:r>
      <w:r w:rsidR="009C1343">
        <w:rPr>
          <w:rFonts w:ascii="Calibri" w:eastAsia="Calibri" w:hAnsi="Calibri" w:cs="Arial"/>
          <w:bCs/>
          <w:sz w:val="22"/>
          <w:szCs w:val="22"/>
          <w:lang w:val="en-US"/>
        </w:rPr>
        <w:t>0.22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proofErr w:type="spellStart"/>
      <w:r w:rsidR="009C1343">
        <w:rPr>
          <w:rFonts w:ascii="Calibri" w:eastAsia="Calibri" w:hAnsi="Calibri" w:cs="Arial"/>
          <w:bCs/>
          <w:sz w:val="22"/>
          <w:szCs w:val="22"/>
          <w:lang w:val="en-US"/>
        </w:rPr>
        <w:t>mol</w:t>
      </w:r>
      <w:proofErr w:type="spellEnd"/>
      <w:r w:rsidR="009C1343">
        <w:rPr>
          <w:rFonts w:ascii="Calibri" w:eastAsia="Calibri" w:hAnsi="Calibri" w:cs="Arial"/>
          <w:bCs/>
          <w:sz w:val="22"/>
          <w:szCs w:val="22"/>
          <w:lang w:val="en-US"/>
        </w:rPr>
        <w:t xml:space="preserve"> succinate/</w:t>
      </w:r>
      <w:proofErr w:type="spellStart"/>
      <w:r w:rsidR="009C1343">
        <w:rPr>
          <w:rFonts w:ascii="Calibri" w:eastAsia="Calibri" w:hAnsi="Calibri" w:cs="Arial"/>
          <w:bCs/>
          <w:sz w:val="22"/>
          <w:szCs w:val="22"/>
          <w:lang w:val="en-US"/>
        </w:rPr>
        <w:t>mol</w:t>
      </w:r>
      <w:proofErr w:type="spellEnd"/>
      <w:r w:rsidR="009C1343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glucose</w:t>
      </w:r>
      <w:r w:rsidR="009C1343">
        <w:rPr>
          <w:rFonts w:ascii="Calibri" w:eastAsia="Calibri" w:hAnsi="Calibri" w:cs="Arial"/>
          <w:bCs/>
          <w:sz w:val="22"/>
          <w:szCs w:val="22"/>
          <w:lang w:val="en-US"/>
        </w:rPr>
        <w:t xml:space="preserve">.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The lactate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,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which wa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s the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major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fermentation product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 xml:space="preserve">in all the culture conditions, reached its maximal concentrations </w:t>
      </w:r>
      <w:r w:rsidR="002F4251">
        <w:rPr>
          <w:rFonts w:ascii="Calibri" w:eastAsia="Calibri" w:hAnsi="Calibri" w:cs="Arial"/>
          <w:bCs/>
          <w:sz w:val="22"/>
          <w:szCs w:val="22"/>
          <w:lang w:val="en-US"/>
        </w:rPr>
        <w:lastRenderedPageBreak/>
        <w:t xml:space="preserve">(170mM) </w:t>
      </w:r>
      <w:r w:rsidR="00493082">
        <w:rPr>
          <w:rFonts w:ascii="Calibri" w:eastAsia="Calibri" w:hAnsi="Calibri" w:cs="Arial"/>
          <w:bCs/>
          <w:sz w:val="22"/>
          <w:szCs w:val="22"/>
          <w:lang w:val="en-US"/>
        </w:rPr>
        <w:t>for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16288" w:rsidRPr="00493082">
        <w:rPr>
          <w:rFonts w:ascii="Calibri" w:eastAsia="Calibri" w:hAnsi="Calibri" w:cs="Arial"/>
          <w:bCs/>
          <w:i/>
          <w:sz w:val="22"/>
          <w:szCs w:val="22"/>
          <w:lang w:val="en-US"/>
        </w:rPr>
        <w:t>k</w:t>
      </w:r>
      <w:r w:rsidR="00916288" w:rsidRPr="00493082">
        <w:rPr>
          <w:rFonts w:ascii="Calibri" w:eastAsia="Calibri" w:hAnsi="Calibri" w:cs="Arial"/>
          <w:bCs/>
          <w:i/>
          <w:sz w:val="22"/>
          <w:szCs w:val="22"/>
          <w:vertAlign w:val="subscript"/>
          <w:lang w:val="en-US"/>
        </w:rPr>
        <w:t>L</w:t>
      </w:r>
      <w:r w:rsidR="00916288" w:rsidRPr="00493082">
        <w:rPr>
          <w:rFonts w:ascii="Calibri" w:eastAsia="Calibri" w:hAnsi="Calibri" w:cs="Arial"/>
          <w:bCs/>
          <w:i/>
          <w:sz w:val="22"/>
          <w:szCs w:val="22"/>
          <w:lang w:val="en-US"/>
        </w:rPr>
        <w:t>a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values between </w:t>
      </w:r>
      <w:r w:rsidR="00925F0B">
        <w:rPr>
          <w:rFonts w:ascii="Calibri" w:eastAsia="Calibri" w:hAnsi="Calibri" w:cs="Arial"/>
          <w:bCs/>
          <w:sz w:val="22"/>
          <w:szCs w:val="22"/>
          <w:lang w:val="en-US"/>
        </w:rPr>
        <w:t>5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and 31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h</w:t>
      </w:r>
      <w:r w:rsidR="00916288" w:rsidRPr="00916288">
        <w:rPr>
          <w:rFonts w:ascii="Calibri" w:eastAsia="Calibri" w:hAnsi="Calibri" w:cs="Arial"/>
          <w:bCs/>
          <w:sz w:val="22"/>
          <w:szCs w:val="22"/>
          <w:vertAlign w:val="superscript"/>
          <w:lang w:val="en-US"/>
        </w:rPr>
        <w:t>-1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. The highest acetic acid concentration (88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proofErr w:type="spellStart"/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mM</w:t>
      </w:r>
      <w:proofErr w:type="spellEnd"/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) occurred when </w:t>
      </w:r>
      <w:proofErr w:type="spellStart"/>
      <w:r w:rsidR="00916288" w:rsidRPr="0082753B">
        <w:rPr>
          <w:rFonts w:ascii="Calibri" w:eastAsia="Calibri" w:hAnsi="Calibri" w:cs="Arial"/>
          <w:bCs/>
          <w:i/>
          <w:sz w:val="22"/>
          <w:szCs w:val="22"/>
          <w:lang w:val="en-US"/>
        </w:rPr>
        <w:t>k</w:t>
      </w:r>
      <w:r w:rsidR="00916288" w:rsidRPr="0082753B">
        <w:rPr>
          <w:rFonts w:ascii="Calibri" w:eastAsia="Calibri" w:hAnsi="Calibri" w:cs="Arial"/>
          <w:bCs/>
          <w:i/>
          <w:sz w:val="22"/>
          <w:szCs w:val="22"/>
          <w:vertAlign w:val="subscript"/>
          <w:lang w:val="en-US"/>
        </w:rPr>
        <w:t>L</w:t>
      </w:r>
      <w:r w:rsidR="00916288" w:rsidRPr="0082753B">
        <w:rPr>
          <w:rFonts w:ascii="Calibri" w:eastAsia="Calibri" w:hAnsi="Calibri" w:cs="Arial"/>
          <w:bCs/>
          <w:i/>
          <w:sz w:val="22"/>
          <w:szCs w:val="22"/>
          <w:lang w:val="en-US"/>
        </w:rPr>
        <w:t>a</w:t>
      </w:r>
      <w:proofErr w:type="spellEnd"/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values </w:t>
      </w:r>
      <w:r w:rsidR="00E937EE">
        <w:rPr>
          <w:rFonts w:ascii="Calibri" w:eastAsia="Calibri" w:hAnsi="Calibri" w:cs="Arial"/>
          <w:bCs/>
          <w:sz w:val="22"/>
          <w:szCs w:val="22"/>
          <w:lang w:val="en-US"/>
        </w:rPr>
        <w:t xml:space="preserve">were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between 31 and 77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h</w:t>
      </w:r>
      <w:r w:rsidR="00916288" w:rsidRPr="00916288">
        <w:rPr>
          <w:rFonts w:ascii="Calibri" w:eastAsia="Calibri" w:hAnsi="Calibri" w:cs="Arial"/>
          <w:bCs/>
          <w:sz w:val="22"/>
          <w:szCs w:val="22"/>
          <w:vertAlign w:val="superscript"/>
          <w:lang w:val="en-US"/>
        </w:rPr>
        <w:t>-1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. </w:t>
      </w:r>
      <w:r w:rsid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For </w:t>
      </w:r>
      <w:r w:rsidR="00916288" w:rsidRPr="0082753B">
        <w:rPr>
          <w:rFonts w:ascii="Calibri" w:eastAsia="Calibri" w:hAnsi="Calibri" w:cs="Arial"/>
          <w:bCs/>
          <w:i/>
          <w:sz w:val="22"/>
          <w:szCs w:val="22"/>
          <w:lang w:val="en-US"/>
        </w:rPr>
        <w:t>k</w:t>
      </w:r>
      <w:r w:rsidR="00916288" w:rsidRPr="0082753B">
        <w:rPr>
          <w:rFonts w:ascii="Calibri" w:eastAsia="Calibri" w:hAnsi="Calibri" w:cs="Arial"/>
          <w:bCs/>
          <w:i/>
          <w:sz w:val="22"/>
          <w:szCs w:val="22"/>
          <w:vertAlign w:val="subscript"/>
          <w:lang w:val="en-US"/>
        </w:rPr>
        <w:t>L</w:t>
      </w:r>
      <w:r w:rsidR="00E937EE" w:rsidRPr="0082753B">
        <w:rPr>
          <w:rFonts w:ascii="Calibri" w:eastAsia="Calibri" w:hAnsi="Calibri" w:cs="Arial"/>
          <w:bCs/>
          <w:i/>
          <w:sz w:val="22"/>
          <w:szCs w:val="22"/>
          <w:lang w:val="en-US"/>
        </w:rPr>
        <w:t>a</w:t>
      </w:r>
      <w:r w:rsidR="00E937EE">
        <w:rPr>
          <w:rFonts w:ascii="Calibri" w:eastAsia="Calibri" w:hAnsi="Calibri" w:cs="Arial"/>
          <w:bCs/>
          <w:sz w:val="22"/>
          <w:szCs w:val="22"/>
          <w:lang w:val="en-US"/>
        </w:rPr>
        <w:t xml:space="preserve"> ≥</w:t>
      </w:r>
      <w:r w:rsidR="00916288">
        <w:rPr>
          <w:rFonts w:ascii="Calibri" w:eastAsia="Calibri" w:hAnsi="Calibri" w:cs="Arial"/>
          <w:bCs/>
          <w:sz w:val="22"/>
          <w:szCs w:val="22"/>
          <w:lang w:val="en-US"/>
        </w:rPr>
        <w:t>90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16288">
        <w:rPr>
          <w:rFonts w:ascii="Calibri" w:eastAsia="Calibri" w:hAnsi="Calibri" w:cs="Arial"/>
          <w:bCs/>
          <w:sz w:val="22"/>
          <w:szCs w:val="22"/>
          <w:lang w:val="en-US"/>
        </w:rPr>
        <w:t>h</w:t>
      </w:r>
      <w:r w:rsidR="00916288" w:rsidRPr="00916288">
        <w:rPr>
          <w:rFonts w:ascii="Calibri" w:eastAsia="Calibri" w:hAnsi="Calibri" w:cs="Arial"/>
          <w:bCs/>
          <w:sz w:val="22"/>
          <w:szCs w:val="22"/>
          <w:vertAlign w:val="superscript"/>
          <w:lang w:val="en-US"/>
        </w:rPr>
        <w:t>-1</w:t>
      </w:r>
      <w:r w:rsidR="00916288">
        <w:rPr>
          <w:rFonts w:ascii="Calibri" w:eastAsia="Calibri" w:hAnsi="Calibri" w:cs="Arial"/>
          <w:bCs/>
          <w:sz w:val="22"/>
          <w:szCs w:val="22"/>
          <w:lang w:val="en-US"/>
        </w:rPr>
        <w:t>, t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he</w:t>
      </w:r>
      <w:r w:rsid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biomass </w:t>
      </w:r>
      <w:r w:rsidR="00E937EE">
        <w:rPr>
          <w:rFonts w:ascii="Calibri" w:eastAsia="Calibri" w:hAnsi="Calibri" w:cs="Arial"/>
          <w:bCs/>
          <w:sz w:val="22"/>
          <w:szCs w:val="22"/>
          <w:lang w:val="en-US"/>
        </w:rPr>
        <w:t xml:space="preserve">concentration </w:t>
      </w:r>
      <w:r w:rsidR="002F4251">
        <w:rPr>
          <w:rFonts w:ascii="Calibri" w:eastAsia="Calibri" w:hAnsi="Calibri" w:cs="Arial"/>
          <w:bCs/>
          <w:sz w:val="22"/>
          <w:szCs w:val="22"/>
          <w:lang w:val="en-US"/>
        </w:rPr>
        <w:t>(12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2F4251">
        <w:rPr>
          <w:rFonts w:ascii="Calibri" w:eastAsia="Calibri" w:hAnsi="Calibri" w:cs="Arial"/>
          <w:bCs/>
          <w:sz w:val="22"/>
          <w:szCs w:val="22"/>
          <w:lang w:val="en-US"/>
        </w:rPr>
        <w:t xml:space="preserve">g/l) </w:t>
      </w:r>
      <w:r w:rsid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was maximal. </w:t>
      </w:r>
      <w:r w:rsidR="0082753B">
        <w:rPr>
          <w:rFonts w:ascii="Calibri" w:eastAsia="Calibri" w:hAnsi="Calibri" w:cs="Arial"/>
          <w:bCs/>
          <w:sz w:val="22"/>
          <w:szCs w:val="22"/>
          <w:lang w:val="en-US"/>
        </w:rPr>
        <w:t>A similar</w:t>
      </w:r>
      <w:r w:rsidR="00E937EE">
        <w:rPr>
          <w:rFonts w:ascii="Calibri" w:eastAsia="Calibri" w:hAnsi="Calibri" w:cs="Arial"/>
          <w:bCs/>
          <w:sz w:val="22"/>
          <w:szCs w:val="22"/>
          <w:lang w:val="en-US"/>
        </w:rPr>
        <w:t xml:space="preserve"> impact of oxygenation conditions on the organic acids was </w:t>
      </w:r>
      <w:r w:rsidR="0082753B">
        <w:rPr>
          <w:rFonts w:ascii="Calibri" w:eastAsia="Calibri" w:hAnsi="Calibri" w:cs="Arial"/>
          <w:bCs/>
          <w:sz w:val="22"/>
          <w:szCs w:val="22"/>
          <w:lang w:val="en-US"/>
        </w:rPr>
        <w:t xml:space="preserve">previously </w:t>
      </w:r>
      <w:r w:rsidR="0082753B" w:rsidRPr="00916288">
        <w:rPr>
          <w:rFonts w:ascii="Calibri" w:eastAsia="Calibri" w:hAnsi="Calibri" w:cs="Arial"/>
          <w:bCs/>
          <w:sz w:val="22"/>
          <w:szCs w:val="22"/>
          <w:lang w:val="en-US"/>
        </w:rPr>
        <w:t>observed</w:t>
      </w:r>
      <w:r w:rsidR="0082753B">
        <w:rPr>
          <w:rFonts w:ascii="Calibri" w:eastAsia="Calibri" w:hAnsi="Calibri" w:cs="Arial"/>
          <w:bCs/>
          <w:sz w:val="22"/>
          <w:szCs w:val="22"/>
          <w:lang w:val="en-US"/>
        </w:rPr>
        <w:t xml:space="preserve"> with </w:t>
      </w:r>
      <w:r w:rsidR="00916288" w:rsidRPr="00916288">
        <w:rPr>
          <w:rFonts w:ascii="Calibri" w:eastAsia="Calibri" w:hAnsi="Calibri" w:cs="Arial"/>
          <w:bCs/>
          <w:i/>
          <w:sz w:val="22"/>
          <w:szCs w:val="22"/>
          <w:lang w:val="en-US"/>
        </w:rPr>
        <w:t>C. glutamicum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ATCC13032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(</w:t>
      </w:r>
      <w:r w:rsidR="00B5756F">
        <w:rPr>
          <w:rFonts w:ascii="Calibri" w:eastAsia="Calibri" w:hAnsi="Calibri" w:cs="Arial"/>
          <w:bCs/>
          <w:sz w:val="22"/>
          <w:szCs w:val="22"/>
          <w:lang w:val="en-US"/>
        </w:rPr>
        <w:t>2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) and</w:t>
      </w:r>
      <w:r w:rsidR="0082753B">
        <w:rPr>
          <w:rFonts w:ascii="Calibri" w:eastAsia="Calibri" w:hAnsi="Calibri" w:cs="Arial"/>
          <w:bCs/>
          <w:sz w:val="22"/>
          <w:szCs w:val="22"/>
          <w:lang w:val="en-US"/>
        </w:rPr>
        <w:t xml:space="preserve"> with 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>a mutant strain</w:t>
      </w:r>
      <w:r w:rsidR="0082753B">
        <w:rPr>
          <w:rFonts w:ascii="Calibri" w:eastAsia="Calibri" w:hAnsi="Calibri" w:cs="Arial"/>
          <w:bCs/>
          <w:sz w:val="22"/>
          <w:szCs w:val="22"/>
          <w:lang w:val="en-US"/>
        </w:rPr>
        <w:t xml:space="preserve"> of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16288" w:rsidRPr="00916288">
        <w:rPr>
          <w:rFonts w:ascii="Calibri" w:eastAsia="Calibri" w:hAnsi="Calibri" w:cs="Arial"/>
          <w:bCs/>
          <w:i/>
          <w:sz w:val="22"/>
          <w:szCs w:val="22"/>
          <w:lang w:val="en-US"/>
        </w:rPr>
        <w:t>C. glutamicum</w:t>
      </w:r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E937EE">
        <w:rPr>
          <w:rFonts w:ascii="Calibri" w:eastAsia="Calibri" w:hAnsi="Calibri" w:cs="Arial"/>
          <w:bCs/>
          <w:sz w:val="22"/>
          <w:szCs w:val="22"/>
          <w:lang w:val="en-US"/>
        </w:rPr>
        <w:t xml:space="preserve">2262 deleted for </w:t>
      </w:r>
      <w:proofErr w:type="spellStart"/>
      <w:r w:rsidR="00E937EE" w:rsidRPr="00E937EE">
        <w:rPr>
          <w:rFonts w:ascii="Calibri" w:eastAsia="Calibri" w:hAnsi="Calibri" w:cs="Arial"/>
          <w:bCs/>
          <w:i/>
          <w:sz w:val="22"/>
          <w:szCs w:val="22"/>
          <w:lang w:val="en-US"/>
        </w:rPr>
        <w:t>ldhA</w:t>
      </w:r>
      <w:proofErr w:type="spellEnd"/>
      <w:r w:rsidR="00916288" w:rsidRPr="00916288">
        <w:rPr>
          <w:rFonts w:ascii="Calibri" w:eastAsia="Calibri" w:hAnsi="Calibri" w:cs="Arial"/>
          <w:bCs/>
          <w:sz w:val="22"/>
          <w:szCs w:val="22"/>
          <w:lang w:val="en-US"/>
        </w:rPr>
        <w:t xml:space="preserve"> (</w:t>
      </w:r>
      <w:r w:rsidR="00B5756F">
        <w:rPr>
          <w:rFonts w:ascii="Calibri" w:eastAsia="Calibri" w:hAnsi="Calibri" w:cs="Arial"/>
          <w:bCs/>
          <w:sz w:val="22"/>
          <w:szCs w:val="22"/>
          <w:lang w:val="en-US"/>
        </w:rPr>
        <w:t>1</w:t>
      </w:r>
      <w:r w:rsidR="009C1343">
        <w:rPr>
          <w:rFonts w:ascii="Calibri" w:eastAsia="Calibri" w:hAnsi="Calibri" w:cs="Arial"/>
          <w:bCs/>
          <w:sz w:val="22"/>
          <w:szCs w:val="22"/>
          <w:lang w:val="en-US"/>
        </w:rPr>
        <w:t>).</w:t>
      </w:r>
      <w:r w:rsidR="0082753B">
        <w:rPr>
          <w:rFonts w:ascii="Calibri" w:eastAsia="Calibri" w:hAnsi="Calibri" w:cs="Arial"/>
          <w:bCs/>
          <w:sz w:val="22"/>
          <w:szCs w:val="22"/>
          <w:lang w:val="en-US"/>
        </w:rPr>
        <w:t xml:space="preserve"> Interestingly, succinate production occurred in all the culture conditions </w:t>
      </w:r>
      <w:r w:rsidR="00912F8B">
        <w:rPr>
          <w:rFonts w:ascii="Calibri" w:eastAsia="Calibri" w:hAnsi="Calibri" w:cs="Arial"/>
          <w:bCs/>
          <w:sz w:val="22"/>
          <w:szCs w:val="22"/>
          <w:lang w:val="en-US"/>
        </w:rPr>
        <w:t xml:space="preserve">with a similar </w:t>
      </w:r>
      <w:r w:rsidR="001B7856">
        <w:rPr>
          <w:rFonts w:ascii="Calibri" w:eastAsia="Calibri" w:hAnsi="Calibri" w:cs="Arial"/>
          <w:bCs/>
          <w:sz w:val="22"/>
          <w:szCs w:val="22"/>
          <w:lang w:val="en-US"/>
        </w:rPr>
        <w:t xml:space="preserve">specific </w:t>
      </w:r>
      <w:r w:rsidR="00912F8B">
        <w:rPr>
          <w:rFonts w:ascii="Calibri" w:eastAsia="Calibri" w:hAnsi="Calibri" w:cs="Arial"/>
          <w:bCs/>
          <w:sz w:val="22"/>
          <w:szCs w:val="22"/>
          <w:lang w:val="en-US"/>
        </w:rPr>
        <w:t xml:space="preserve">production rate in the first hours of the cultures. </w:t>
      </w:r>
      <w:r w:rsidR="006223EC">
        <w:rPr>
          <w:rFonts w:ascii="Calibri" w:eastAsia="Calibri" w:hAnsi="Calibri" w:cs="Arial"/>
          <w:bCs/>
          <w:sz w:val="22"/>
          <w:szCs w:val="22"/>
          <w:lang w:val="en-US"/>
        </w:rPr>
        <w:t>However,</w:t>
      </w:r>
      <w:r w:rsidR="00912F8B">
        <w:rPr>
          <w:rFonts w:ascii="Calibri" w:eastAsia="Calibri" w:hAnsi="Calibri" w:cs="Arial"/>
          <w:bCs/>
          <w:sz w:val="22"/>
          <w:szCs w:val="22"/>
          <w:lang w:val="en-US"/>
        </w:rPr>
        <w:t xml:space="preserve"> t</w:t>
      </w:r>
      <w:r w:rsidR="006223EC">
        <w:rPr>
          <w:rFonts w:ascii="Calibri" w:eastAsia="Calibri" w:hAnsi="Calibri" w:cs="Arial"/>
          <w:bCs/>
          <w:sz w:val="22"/>
          <w:szCs w:val="22"/>
          <w:lang w:val="en-US"/>
        </w:rPr>
        <w:t>he higher</w:t>
      </w:r>
      <w:r w:rsidR="00912F8B">
        <w:rPr>
          <w:rFonts w:ascii="Calibri" w:eastAsia="Calibri" w:hAnsi="Calibri" w:cs="Arial"/>
          <w:bCs/>
          <w:sz w:val="22"/>
          <w:szCs w:val="22"/>
          <w:lang w:val="en-US"/>
        </w:rPr>
        <w:t xml:space="preserve"> the </w:t>
      </w:r>
      <w:r w:rsidR="00912F8B" w:rsidRPr="0082753B">
        <w:rPr>
          <w:rFonts w:ascii="Calibri" w:eastAsia="Calibri" w:hAnsi="Calibri" w:cs="Arial"/>
          <w:bCs/>
          <w:i/>
          <w:sz w:val="22"/>
          <w:szCs w:val="22"/>
          <w:lang w:val="en-US"/>
        </w:rPr>
        <w:t>k</w:t>
      </w:r>
      <w:r w:rsidR="00912F8B" w:rsidRPr="0082753B">
        <w:rPr>
          <w:rFonts w:ascii="Calibri" w:eastAsia="Calibri" w:hAnsi="Calibri" w:cs="Arial"/>
          <w:bCs/>
          <w:i/>
          <w:sz w:val="22"/>
          <w:szCs w:val="22"/>
          <w:vertAlign w:val="subscript"/>
          <w:lang w:val="en-US"/>
        </w:rPr>
        <w:t>L</w:t>
      </w:r>
      <w:r w:rsidR="00912F8B" w:rsidRPr="0082753B">
        <w:rPr>
          <w:rFonts w:ascii="Calibri" w:eastAsia="Calibri" w:hAnsi="Calibri" w:cs="Arial"/>
          <w:bCs/>
          <w:i/>
          <w:sz w:val="22"/>
          <w:szCs w:val="22"/>
          <w:lang w:val="en-US"/>
        </w:rPr>
        <w:t>a</w:t>
      </w:r>
      <w:r w:rsidR="00912F8B">
        <w:rPr>
          <w:rFonts w:ascii="Calibri" w:eastAsia="Calibri" w:hAnsi="Calibri" w:cs="Arial"/>
          <w:bCs/>
          <w:sz w:val="22"/>
          <w:szCs w:val="22"/>
          <w:lang w:val="en-US"/>
        </w:rPr>
        <w:t>, the</w:t>
      </w:r>
      <w:r w:rsidR="0082753B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6223EC">
        <w:rPr>
          <w:rFonts w:ascii="Calibri" w:eastAsia="Calibri" w:hAnsi="Calibri" w:cs="Arial"/>
          <w:bCs/>
          <w:sz w:val="22"/>
          <w:szCs w:val="22"/>
          <w:lang w:val="en-US"/>
        </w:rPr>
        <w:t>earlier the production ceased and the earlier the succinate was consumed</w:t>
      </w:r>
      <w:r w:rsidR="000D05E9"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6223EC">
        <w:rPr>
          <w:rFonts w:ascii="Calibri" w:eastAsia="Calibri" w:hAnsi="Calibri" w:cs="Arial"/>
          <w:bCs/>
          <w:sz w:val="22"/>
          <w:szCs w:val="22"/>
          <w:lang w:val="en-US"/>
        </w:rPr>
        <w:t>(fig. 1).</w:t>
      </w:r>
    </w:p>
    <w:p w:rsidR="00204370" w:rsidRPr="00DE0019" w:rsidRDefault="00D9705A" w:rsidP="00204370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fr-FR" w:eastAsia="fr-FR"/>
        </w:rPr>
        <w:drawing>
          <wp:inline distT="0" distB="0" distL="0" distR="0" wp14:anchorId="1D2B4B6F" wp14:editId="23AE6F8D">
            <wp:extent cx="4392930" cy="1718973"/>
            <wp:effectExtent l="0" t="0" r="7620" b="0"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8908" cy="172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70" w:rsidRPr="009926EB" w:rsidRDefault="00204370" w:rsidP="00204370">
      <w:pPr>
        <w:snapToGrid w:val="0"/>
        <w:spacing w:after="120"/>
        <w:jc w:val="center"/>
        <w:rPr>
          <w:rFonts w:asciiTheme="minorHAnsi" w:eastAsia="MS PGothic" w:hAnsiTheme="minorHAnsi" w:cstheme="minorHAnsi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</w:t>
      </w:r>
      <w:r w:rsidR="00EA3909">
        <w:rPr>
          <w:rFonts w:asciiTheme="minorHAnsi" w:eastAsia="MS PGothic" w:hAnsiTheme="minorHAnsi"/>
          <w:color w:val="000000"/>
          <w:szCs w:val="18"/>
          <w:lang w:val="en-US" w:eastAsia="ko-KR"/>
        </w:rPr>
        <w:t>K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inetics of succinate production</w:t>
      </w:r>
      <w:r w:rsidR="00EA3909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(A</w:t>
      </w:r>
      <w:r w:rsidR="001B7856">
        <w:rPr>
          <w:rFonts w:asciiTheme="minorHAnsi" w:eastAsia="MS PGothic" w:hAnsiTheme="minorHAnsi"/>
          <w:color w:val="000000"/>
          <w:szCs w:val="18"/>
          <w:lang w:val="en-US" w:eastAsia="ko-KR"/>
        </w:rPr>
        <w:t>) and glucose consumption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EA3909">
        <w:rPr>
          <w:rFonts w:asciiTheme="minorHAnsi" w:eastAsia="MS PGothic" w:hAnsiTheme="minorHAnsi"/>
          <w:color w:val="000000"/>
          <w:szCs w:val="18"/>
          <w:lang w:val="en-US" w:eastAsia="ko-KR"/>
        </w:rPr>
        <w:t>(B</w:t>
      </w:r>
      <w:r w:rsidR="001B7856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)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by </w:t>
      </w:r>
      <w:r w:rsidRPr="005B00A5">
        <w:rPr>
          <w:rFonts w:asciiTheme="minorHAnsi" w:eastAsia="MS PGothic" w:hAnsiTheme="minorHAnsi"/>
          <w:i/>
          <w:color w:val="000000"/>
          <w:szCs w:val="18"/>
          <w:lang w:val="en-US" w:eastAsia="ko-KR"/>
        </w:rPr>
        <w:t>Corynebacterium glutamicum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5B00A5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2262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for </w:t>
      </w:r>
      <w:r w:rsidRPr="00E937EE">
        <w:rPr>
          <w:rFonts w:asciiTheme="minorHAnsi" w:eastAsia="MS PGothic" w:hAnsiTheme="minorHAnsi"/>
          <w:i/>
          <w:color w:val="000000"/>
          <w:szCs w:val="18"/>
          <w:lang w:val="en-US" w:eastAsia="ko-KR"/>
        </w:rPr>
        <w:t>k</w:t>
      </w:r>
      <w:r w:rsidRPr="00E937EE">
        <w:rPr>
          <w:rFonts w:asciiTheme="minorHAnsi" w:eastAsia="MS PGothic" w:hAnsiTheme="minorHAnsi"/>
          <w:i/>
          <w:color w:val="000000"/>
          <w:szCs w:val="18"/>
          <w:vertAlign w:val="subscript"/>
          <w:lang w:val="en-US" w:eastAsia="ko-KR"/>
        </w:rPr>
        <w:t>L</w:t>
      </w:r>
      <w:r w:rsidRPr="00E937EE">
        <w:rPr>
          <w:rFonts w:asciiTheme="minorHAnsi" w:eastAsia="MS PGothic" w:hAnsiTheme="minorHAnsi"/>
          <w:i/>
          <w:color w:val="000000"/>
          <w:szCs w:val="18"/>
          <w:lang w:val="en-US" w:eastAsia="ko-KR"/>
        </w:rPr>
        <w:t>a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values of 5</w:t>
      </w:r>
      <w:r w:rsidR="00D9705A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Pr="009926EB">
        <w:rPr>
          <w:rFonts w:cs="Arial"/>
          <w:color w:val="E36C0A" w:themeColor="accent6" w:themeShade="BF"/>
          <w:szCs w:val="18"/>
        </w:rPr>
        <w:t>▬</w:t>
      </w:r>
      <w:r w:rsidRPr="009926EB">
        <w:rPr>
          <w:rFonts w:asciiTheme="minorHAnsi" w:hAnsiTheme="minorHAnsi" w:cstheme="minorHAnsi"/>
          <w:szCs w:val="18"/>
        </w:rPr>
        <w:t>)</w:t>
      </w:r>
      <w:r>
        <w:rPr>
          <w:rFonts w:asciiTheme="minorHAnsi" w:hAnsiTheme="minorHAnsi" w:cstheme="minorHAnsi"/>
          <w:szCs w:val="18"/>
        </w:rPr>
        <w:t>, 11</w:t>
      </w:r>
      <w:r w:rsidR="00D9705A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 xml:space="preserve"> </w:t>
      </w:r>
      <w:r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Pr="009926EB">
        <w:rPr>
          <w:rFonts w:cs="Arial"/>
          <w:color w:val="A6A6A6" w:themeColor="background1" w:themeShade="A6"/>
          <w:szCs w:val="18"/>
        </w:rPr>
        <w:t>▬</w:t>
      </w:r>
      <w:r w:rsidRPr="009926EB">
        <w:rPr>
          <w:rFonts w:asciiTheme="minorHAnsi" w:hAnsiTheme="minorHAnsi" w:cstheme="minorHAnsi"/>
          <w:szCs w:val="18"/>
        </w:rPr>
        <w:t>)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, 15</w:t>
      </w:r>
      <w:r w:rsidR="00D9705A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Pr="009926EB">
        <w:rPr>
          <w:rFonts w:cs="Arial"/>
          <w:color w:val="FFC000"/>
          <w:szCs w:val="18"/>
        </w:rPr>
        <w:t>▬</w:t>
      </w:r>
      <w:r w:rsidRPr="009926EB">
        <w:rPr>
          <w:rFonts w:asciiTheme="minorHAnsi" w:hAnsiTheme="minorHAnsi" w:cstheme="minorHAnsi"/>
          <w:szCs w:val="18"/>
        </w:rPr>
        <w:t>)</w:t>
      </w:r>
      <w:r>
        <w:rPr>
          <w:rFonts w:asciiTheme="minorHAnsi" w:hAnsiTheme="minorHAnsi" w:cstheme="minorHAnsi"/>
          <w:szCs w:val="18"/>
        </w:rPr>
        <w:t>, 20</w:t>
      </w:r>
      <w:r w:rsidR="00D9705A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Pr="009926EB">
        <w:rPr>
          <w:rFonts w:cs="Arial"/>
          <w:color w:val="0070C0"/>
          <w:szCs w:val="18"/>
        </w:rPr>
        <w:t>▬</w:t>
      </w:r>
      <w:r w:rsidRPr="009926EB">
        <w:rPr>
          <w:rFonts w:asciiTheme="minorHAnsi" w:hAnsiTheme="minorHAnsi" w:cstheme="minorHAnsi"/>
          <w:szCs w:val="18"/>
        </w:rPr>
        <w:t>)</w:t>
      </w:r>
      <w:r>
        <w:rPr>
          <w:rFonts w:asciiTheme="minorHAnsi" w:hAnsiTheme="minorHAnsi" w:cstheme="minorHAnsi"/>
          <w:szCs w:val="18"/>
        </w:rPr>
        <w:t>, 31</w:t>
      </w:r>
      <w:r w:rsidR="00D9705A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Pr="009926EB">
        <w:rPr>
          <w:rFonts w:cs="Arial"/>
          <w:color w:val="00B050"/>
          <w:szCs w:val="18"/>
        </w:rPr>
        <w:t>▬</w:t>
      </w:r>
      <w:r w:rsidRPr="009926EB">
        <w:rPr>
          <w:rFonts w:asciiTheme="minorHAnsi" w:hAnsiTheme="minorHAnsi" w:cstheme="minorHAnsi"/>
          <w:szCs w:val="18"/>
        </w:rPr>
        <w:t>)</w:t>
      </w:r>
      <w:r>
        <w:rPr>
          <w:rFonts w:asciiTheme="minorHAnsi" w:hAnsiTheme="minorHAnsi" w:cstheme="minorHAnsi"/>
          <w:szCs w:val="18"/>
        </w:rPr>
        <w:t>, 44</w:t>
      </w:r>
      <w:r w:rsidR="00D9705A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Pr="009926EB">
        <w:rPr>
          <w:rFonts w:cs="Arial"/>
          <w:color w:val="365F91" w:themeColor="accent1" w:themeShade="BF"/>
          <w:szCs w:val="18"/>
        </w:rPr>
        <w:t>▬</w:t>
      </w:r>
      <w:r w:rsidRPr="009926EB">
        <w:rPr>
          <w:rFonts w:asciiTheme="minorHAnsi" w:hAnsiTheme="minorHAnsi" w:cstheme="minorHAnsi"/>
          <w:szCs w:val="18"/>
        </w:rPr>
        <w:t>)</w:t>
      </w:r>
      <w:r>
        <w:rPr>
          <w:rFonts w:asciiTheme="minorHAnsi" w:hAnsiTheme="minorHAnsi" w:cstheme="minorHAnsi"/>
          <w:szCs w:val="18"/>
        </w:rPr>
        <w:t>,</w:t>
      </w:r>
      <w:r w:rsidR="001B7856">
        <w:rPr>
          <w:rFonts w:asciiTheme="minorHAnsi" w:hAnsiTheme="minorHAnsi" w:cstheme="minorHAnsi"/>
          <w:szCs w:val="18"/>
        </w:rPr>
        <w:t xml:space="preserve"> 77</w:t>
      </w:r>
      <w:r w:rsidR="00D9705A">
        <w:rPr>
          <w:rFonts w:asciiTheme="minorHAnsi" w:hAnsiTheme="minorHAnsi" w:cstheme="minorHAnsi"/>
          <w:szCs w:val="18"/>
        </w:rPr>
        <w:t xml:space="preserve"> </w:t>
      </w:r>
      <w:r w:rsidR="001B7856"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="001B7856"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 w:rsidR="001B7856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="001B7856"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="001B7856" w:rsidRPr="001B7856">
        <w:rPr>
          <w:rFonts w:cs="Arial"/>
          <w:color w:val="C0504D" w:themeColor="accent2"/>
          <w:szCs w:val="18"/>
        </w:rPr>
        <w:t>▬</w:t>
      </w:r>
      <w:r w:rsidR="001B7856" w:rsidRPr="009926EB">
        <w:rPr>
          <w:rFonts w:asciiTheme="minorHAnsi" w:hAnsiTheme="minorHAnsi" w:cstheme="minorHAnsi"/>
          <w:szCs w:val="18"/>
        </w:rPr>
        <w:t>)</w:t>
      </w:r>
      <w:r w:rsidR="001B7856">
        <w:rPr>
          <w:rFonts w:asciiTheme="minorHAnsi" w:hAnsiTheme="minorHAnsi" w:cstheme="minorHAnsi"/>
          <w:szCs w:val="18"/>
        </w:rPr>
        <w:t>,</w:t>
      </w:r>
      <w:r>
        <w:rPr>
          <w:rFonts w:asciiTheme="minorHAnsi" w:hAnsiTheme="minorHAnsi" w:cstheme="minorHAnsi"/>
          <w:szCs w:val="18"/>
        </w:rPr>
        <w:t xml:space="preserve"> 90</w:t>
      </w:r>
      <w:r w:rsidR="00D9705A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Pr="009926EB">
        <w:rPr>
          <w:rFonts w:cs="Arial"/>
          <w:color w:val="7F7F7F" w:themeColor="text1" w:themeTint="80"/>
          <w:szCs w:val="18"/>
        </w:rPr>
        <w:t>▬</w:t>
      </w:r>
      <w:r w:rsidRPr="009926EB">
        <w:rPr>
          <w:rFonts w:asciiTheme="minorHAnsi" w:hAnsiTheme="minorHAnsi" w:cstheme="minorHAnsi"/>
          <w:szCs w:val="18"/>
        </w:rPr>
        <w:t>)</w:t>
      </w:r>
      <w:r>
        <w:rPr>
          <w:rFonts w:asciiTheme="minorHAnsi" w:hAnsiTheme="minorHAnsi" w:cstheme="minorHAnsi"/>
          <w:szCs w:val="18"/>
        </w:rPr>
        <w:t xml:space="preserve"> and 118</w:t>
      </w:r>
      <w:r w:rsidR="00D9705A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h</w:t>
      </w:r>
      <w:r w:rsidRPr="009926EB">
        <w:rPr>
          <w:rFonts w:asciiTheme="minorHAnsi" w:eastAsia="MS PGothic" w:hAnsiTheme="minorHAnsi"/>
          <w:color w:val="000000"/>
          <w:szCs w:val="18"/>
          <w:vertAlign w:val="superscript"/>
          <w:lang w:val="en-US" w:eastAsia="ko-KR"/>
        </w:rPr>
        <w:t>-1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</w:t>
      </w:r>
      <w:r w:rsidRPr="009926EB">
        <w:rPr>
          <w:rFonts w:asciiTheme="minorHAnsi" w:eastAsia="MS PGothic" w:hAnsiTheme="minorHAnsi"/>
          <w:color w:val="000000"/>
          <w:szCs w:val="18"/>
          <w:lang w:val="en-US" w:eastAsia="ko-KR"/>
        </w:rPr>
        <w:t>(</w:t>
      </w:r>
      <w:r w:rsidRPr="009926EB">
        <w:rPr>
          <w:rFonts w:cs="Arial"/>
          <w:color w:val="9B7235"/>
          <w:szCs w:val="18"/>
        </w:rPr>
        <w:t>▬</w:t>
      </w:r>
      <w:r w:rsidRPr="009926EB">
        <w:rPr>
          <w:rFonts w:asciiTheme="minorHAnsi" w:hAnsiTheme="minorHAnsi" w:cstheme="minorHAnsi"/>
          <w:szCs w:val="18"/>
        </w:rPr>
        <w:t>)</w:t>
      </w:r>
      <w:r w:rsidR="005B00A5">
        <w:rPr>
          <w:rFonts w:asciiTheme="minorHAnsi" w:hAnsiTheme="minorHAnsi" w:cstheme="minorHAnsi"/>
          <w:szCs w:val="18"/>
        </w:rPr>
        <w:t>.</w:t>
      </w:r>
    </w:p>
    <w:p w:rsidR="00204370" w:rsidRDefault="00F43E0D" w:rsidP="00204370">
      <w:pPr>
        <w:tabs>
          <w:tab w:val="clear" w:pos="7100"/>
        </w:tabs>
        <w:spacing w:after="160" w:line="259" w:lineRule="auto"/>
        <w:ind w:right="-2"/>
        <w:rPr>
          <w:rFonts w:ascii="Calibri" w:eastAsia="Calibri" w:hAnsi="Calibri" w:cs="Arial"/>
          <w:bCs/>
          <w:sz w:val="22"/>
          <w:szCs w:val="22"/>
          <w:lang w:val="en-US"/>
        </w:rPr>
      </w:pPr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The stop in the succinate production was concomitant with a threshold glucose concentration of 50 </w:t>
      </w:r>
      <w:proofErr w:type="spellStart"/>
      <w:r>
        <w:rPr>
          <w:rFonts w:ascii="Calibri" w:eastAsia="Calibri" w:hAnsi="Calibri" w:cs="Arial"/>
          <w:bCs/>
          <w:sz w:val="22"/>
          <w:szCs w:val="22"/>
          <w:lang w:val="en-US"/>
        </w:rPr>
        <w:t>mM.</w:t>
      </w:r>
      <w:proofErr w:type="spellEnd"/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 Glucose and succinate </w:t>
      </w:r>
      <w:proofErr w:type="gramStart"/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were then </w:t>
      </w:r>
      <w:r w:rsidR="00EA3909">
        <w:rPr>
          <w:rFonts w:ascii="Calibri" w:eastAsia="Calibri" w:hAnsi="Calibri" w:cs="Arial"/>
          <w:bCs/>
          <w:sz w:val="22"/>
          <w:szCs w:val="22"/>
          <w:lang w:val="en-US"/>
        </w:rPr>
        <w:t xml:space="preserve">both 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>co</w:t>
      </w:r>
      <w:r w:rsidR="00924A4D">
        <w:rPr>
          <w:rFonts w:ascii="Calibri" w:eastAsia="Calibri" w:hAnsi="Calibri" w:cs="Arial"/>
          <w:bCs/>
          <w:sz w:val="22"/>
          <w:szCs w:val="22"/>
          <w:lang w:val="en-US"/>
        </w:rPr>
        <w:t>-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>consumed</w:t>
      </w:r>
      <w:proofErr w:type="gramEnd"/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r w:rsidR="00924A4D">
        <w:rPr>
          <w:rFonts w:ascii="Calibri" w:eastAsia="Calibri" w:hAnsi="Calibri" w:cs="Arial"/>
          <w:bCs/>
          <w:sz w:val="22"/>
          <w:szCs w:val="22"/>
          <w:lang w:val="en-US"/>
        </w:rPr>
        <w:t>until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 the end of the culture. </w:t>
      </w:r>
      <w:r w:rsidR="00692E74">
        <w:rPr>
          <w:rFonts w:ascii="Calibri" w:eastAsia="Calibri" w:hAnsi="Calibri" w:cs="Arial"/>
          <w:bCs/>
          <w:sz w:val="22"/>
          <w:szCs w:val="22"/>
          <w:lang w:val="en-US"/>
        </w:rPr>
        <w:t xml:space="preserve">No growth of </w:t>
      </w:r>
      <w:r w:rsidRPr="00F43E0D">
        <w:rPr>
          <w:rFonts w:ascii="Calibri" w:eastAsia="Calibri" w:hAnsi="Calibri" w:cs="Arial"/>
          <w:bCs/>
          <w:i/>
          <w:sz w:val="22"/>
          <w:szCs w:val="22"/>
          <w:lang w:val="en-US"/>
        </w:rPr>
        <w:t>C. glutamicum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 </w:t>
      </w:r>
      <w:proofErr w:type="gramStart"/>
      <w:r w:rsidR="00692E74">
        <w:rPr>
          <w:rFonts w:ascii="Calibri" w:eastAsia="Calibri" w:hAnsi="Calibri" w:cs="Arial"/>
          <w:bCs/>
          <w:sz w:val="22"/>
          <w:szCs w:val="22"/>
          <w:lang w:val="en-US"/>
        </w:rPr>
        <w:t>was observed</w:t>
      </w:r>
      <w:proofErr w:type="gramEnd"/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 with succinate as a unique substrate meaning </w:t>
      </w:r>
      <w:r w:rsidR="00692E74">
        <w:rPr>
          <w:rFonts w:ascii="Calibri" w:eastAsia="Calibri" w:hAnsi="Calibri" w:cs="Arial"/>
          <w:bCs/>
          <w:sz w:val="22"/>
          <w:szCs w:val="22"/>
          <w:lang w:val="en-US"/>
        </w:rPr>
        <w:t xml:space="preserve">that 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>the succinate is likely an energy source for this bacterium</w:t>
      </w:r>
      <w:r w:rsidR="00EA3909">
        <w:rPr>
          <w:rFonts w:ascii="Calibri" w:eastAsia="Calibri" w:hAnsi="Calibri" w:cs="Arial"/>
          <w:bCs/>
          <w:sz w:val="22"/>
          <w:szCs w:val="22"/>
          <w:lang w:val="en-US"/>
        </w:rPr>
        <w:t xml:space="preserve"> (complementary data)</w:t>
      </w:r>
      <w:r>
        <w:rPr>
          <w:rFonts w:ascii="Calibri" w:eastAsia="Calibri" w:hAnsi="Calibri" w:cs="Arial"/>
          <w:bCs/>
          <w:sz w:val="22"/>
          <w:szCs w:val="22"/>
          <w:lang w:val="en-US"/>
        </w:rPr>
        <w:t xml:space="preserve">. </w:t>
      </w:r>
      <w:r w:rsidR="00924A4D">
        <w:rPr>
          <w:rFonts w:ascii="Calibri" w:eastAsia="Calibri" w:hAnsi="Calibri" w:cs="Arial"/>
          <w:bCs/>
          <w:sz w:val="22"/>
          <w:szCs w:val="22"/>
          <w:lang w:val="en-US"/>
        </w:rPr>
        <w:t>The specific rate</w:t>
      </w:r>
      <w:r w:rsidR="00577797">
        <w:rPr>
          <w:rFonts w:ascii="Calibri" w:eastAsia="Calibri" w:hAnsi="Calibri" w:cs="Arial"/>
          <w:bCs/>
          <w:sz w:val="22"/>
          <w:szCs w:val="22"/>
          <w:lang w:val="en-US"/>
        </w:rPr>
        <w:t>s</w:t>
      </w:r>
      <w:r w:rsidR="00924A4D">
        <w:rPr>
          <w:rFonts w:ascii="Calibri" w:eastAsia="Calibri" w:hAnsi="Calibri" w:cs="Arial"/>
          <w:bCs/>
          <w:sz w:val="22"/>
          <w:szCs w:val="22"/>
          <w:lang w:val="en-US"/>
        </w:rPr>
        <w:t xml:space="preserve"> of succinate production </w:t>
      </w:r>
      <w:proofErr w:type="gramStart"/>
      <w:r w:rsidR="00577797">
        <w:rPr>
          <w:rFonts w:ascii="Calibri" w:eastAsia="Calibri" w:hAnsi="Calibri" w:cs="Arial"/>
          <w:bCs/>
          <w:sz w:val="22"/>
          <w:szCs w:val="22"/>
          <w:lang w:val="en-US"/>
        </w:rPr>
        <w:t>were</w:t>
      </w:r>
      <w:r w:rsidR="00924A4D">
        <w:rPr>
          <w:rFonts w:ascii="Calibri" w:eastAsia="Calibri" w:hAnsi="Calibri" w:cs="Arial"/>
          <w:bCs/>
          <w:sz w:val="22"/>
          <w:szCs w:val="22"/>
          <w:lang w:val="en-US"/>
        </w:rPr>
        <w:t xml:space="preserve"> then modeled</w:t>
      </w:r>
      <w:proofErr w:type="gramEnd"/>
      <w:r w:rsidR="00924A4D">
        <w:rPr>
          <w:rFonts w:ascii="Calibri" w:eastAsia="Calibri" w:hAnsi="Calibri" w:cs="Arial"/>
          <w:bCs/>
          <w:sz w:val="22"/>
          <w:szCs w:val="22"/>
          <w:lang w:val="en-US"/>
        </w:rPr>
        <w:t xml:space="preserve"> using </w:t>
      </w:r>
      <w:proofErr w:type="spellStart"/>
      <w:r w:rsidR="00B07C57">
        <w:rPr>
          <w:rFonts w:ascii="Calibri" w:eastAsia="Calibri" w:hAnsi="Calibri" w:cs="Arial"/>
          <w:bCs/>
          <w:sz w:val="22"/>
          <w:szCs w:val="22"/>
          <w:lang w:val="en-US"/>
        </w:rPr>
        <w:t>Luedeking-Piret</w:t>
      </w:r>
      <w:proofErr w:type="spellEnd"/>
      <w:r w:rsidR="00B07C57">
        <w:rPr>
          <w:rFonts w:ascii="Calibri" w:eastAsia="Calibri" w:hAnsi="Calibri" w:cs="Arial"/>
          <w:bCs/>
          <w:sz w:val="22"/>
          <w:szCs w:val="22"/>
          <w:lang w:val="en-US"/>
        </w:rPr>
        <w:t xml:space="preserve"> equation [3] in which a term modeling the succinate consumption </w:t>
      </w:r>
      <w:r w:rsidR="0057505D">
        <w:rPr>
          <w:rFonts w:ascii="Calibri" w:eastAsia="Calibri" w:hAnsi="Calibri" w:cs="Arial"/>
          <w:bCs/>
          <w:sz w:val="22"/>
          <w:szCs w:val="22"/>
          <w:lang w:val="en-US"/>
        </w:rPr>
        <w:t>as an energy source</w:t>
      </w:r>
      <w:r w:rsidR="00B07C57">
        <w:rPr>
          <w:rFonts w:ascii="Calibri" w:eastAsia="Calibri" w:hAnsi="Calibri" w:cs="Arial"/>
          <w:bCs/>
          <w:sz w:val="22"/>
          <w:szCs w:val="22"/>
          <w:lang w:val="en-US"/>
        </w:rPr>
        <w:t xml:space="preserve"> was added. The specific rates of succinate produc</w:t>
      </w:r>
      <w:r w:rsidR="0057505D">
        <w:rPr>
          <w:rFonts w:ascii="Calibri" w:eastAsia="Calibri" w:hAnsi="Calibri" w:cs="Arial"/>
          <w:bCs/>
          <w:sz w:val="22"/>
          <w:szCs w:val="22"/>
          <w:lang w:val="en-US"/>
        </w:rPr>
        <w:t xml:space="preserve">tion predicted </w:t>
      </w:r>
      <w:r w:rsidR="00B07C57">
        <w:rPr>
          <w:rFonts w:ascii="Calibri" w:eastAsia="Calibri" w:hAnsi="Calibri" w:cs="Arial"/>
          <w:bCs/>
          <w:sz w:val="22"/>
          <w:szCs w:val="22"/>
          <w:lang w:val="en-US"/>
        </w:rPr>
        <w:t xml:space="preserve">using this model were in accordance with the experimental rates </w:t>
      </w:r>
      <w:r w:rsidR="00204370">
        <w:rPr>
          <w:rFonts w:ascii="Calibri" w:eastAsia="Calibri" w:hAnsi="Calibri" w:cs="Arial"/>
          <w:bCs/>
          <w:sz w:val="22"/>
          <w:szCs w:val="22"/>
          <w:lang w:val="en-US"/>
        </w:rPr>
        <w:t xml:space="preserve">for </w:t>
      </w:r>
      <w:r w:rsidR="00C31E82">
        <w:rPr>
          <w:rFonts w:ascii="Calibri" w:eastAsia="Calibri" w:hAnsi="Calibri" w:cs="Arial"/>
          <w:bCs/>
          <w:sz w:val="22"/>
          <w:szCs w:val="22"/>
          <w:lang w:val="en-US"/>
        </w:rPr>
        <w:t xml:space="preserve">the </w:t>
      </w:r>
      <w:r w:rsidR="00204370">
        <w:rPr>
          <w:rFonts w:ascii="Calibri" w:eastAsia="Calibri" w:hAnsi="Calibri" w:cs="Arial"/>
          <w:bCs/>
          <w:sz w:val="22"/>
          <w:szCs w:val="22"/>
          <w:lang w:val="en-US"/>
        </w:rPr>
        <w:t xml:space="preserve">different </w:t>
      </w:r>
      <w:proofErr w:type="spellStart"/>
      <w:r w:rsidR="00204370" w:rsidRPr="00A20CD0">
        <w:rPr>
          <w:rFonts w:ascii="Calibri" w:eastAsia="Calibri" w:hAnsi="Calibri" w:cs="Arial"/>
          <w:bCs/>
          <w:i/>
          <w:sz w:val="22"/>
          <w:szCs w:val="22"/>
          <w:lang w:val="en-US"/>
        </w:rPr>
        <w:t>k</w:t>
      </w:r>
      <w:r w:rsidR="00204370" w:rsidRPr="00A20CD0">
        <w:rPr>
          <w:rFonts w:ascii="Calibri" w:eastAsia="Calibri" w:hAnsi="Calibri" w:cs="Arial"/>
          <w:bCs/>
          <w:i/>
          <w:sz w:val="22"/>
          <w:szCs w:val="22"/>
          <w:vertAlign w:val="subscript"/>
          <w:lang w:val="en-US"/>
        </w:rPr>
        <w:t>L</w:t>
      </w:r>
      <w:r w:rsidR="00A20CD0" w:rsidRPr="00A20CD0">
        <w:rPr>
          <w:rFonts w:ascii="Calibri" w:eastAsia="Calibri" w:hAnsi="Calibri" w:cs="Arial"/>
          <w:bCs/>
          <w:i/>
          <w:sz w:val="22"/>
          <w:szCs w:val="22"/>
          <w:lang w:val="en-US"/>
        </w:rPr>
        <w:t>a</w:t>
      </w:r>
      <w:proofErr w:type="spellEnd"/>
      <w:r w:rsidR="00A20CD0">
        <w:rPr>
          <w:rFonts w:ascii="Calibri" w:eastAsia="Calibri" w:hAnsi="Calibri" w:cs="Arial"/>
          <w:bCs/>
          <w:sz w:val="22"/>
          <w:szCs w:val="22"/>
          <w:lang w:val="en-US"/>
        </w:rPr>
        <w:t xml:space="preserve"> conditions.</w:t>
      </w:r>
    </w:p>
    <w:p w:rsidR="00204370" w:rsidRPr="008D0BEB" w:rsidRDefault="00204370" w:rsidP="00204370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204370" w:rsidRPr="00580C5C" w:rsidRDefault="00B37D9D" w:rsidP="00204370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oxygen-limited conditions, the specific</w:t>
      </w:r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succinate production</w:t>
      </w:r>
      <w:r w:rsidR="00A20C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A20CD0" w:rsidRPr="00A20CD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 glutamicum</w:t>
      </w:r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depend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oxygen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uptake rate</w:t>
      </w:r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 its consumption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only observed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concentrations of glucose lower than </w:t>
      </w:r>
      <w:r w:rsidR="00A20CD0">
        <w:rPr>
          <w:rFonts w:asciiTheme="minorHAnsi" w:eastAsia="MS PGothic" w:hAnsiTheme="minorHAnsi"/>
          <w:color w:val="000000"/>
          <w:sz w:val="22"/>
          <w:szCs w:val="22"/>
          <w:lang w:val="en-US"/>
        </w:rPr>
        <w:t>50</w:t>
      </w:r>
      <w:r w:rsidR="00D970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20CD0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spellEnd"/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550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identify </w:t>
      </w:r>
      <w:r w:rsidR="00F36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metabolic </w:t>
      </w:r>
      <w:r w:rsidR="00B66761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changes responsible for this physiological behavior, the</w:t>
      </w:r>
      <w:r w:rsidR="00DB37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designed</w:t>
      </w:r>
      <w:r w:rsidR="00B667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 model </w:t>
      </w:r>
      <w:proofErr w:type="gramStart"/>
      <w:r w:rsidR="00B6676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 coupled</w:t>
      </w:r>
      <w:proofErr w:type="gramEnd"/>
      <w:r w:rsidR="00B667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FBA</w:t>
      </w:r>
      <w:r w:rsidR="00D970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simulation using a simplified metabolic model</w:t>
      </w:r>
      <w:r w:rsidR="00DB37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DB3774" w:rsidRPr="00DB377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 glutamicum</w:t>
      </w:r>
      <w:r w:rsidR="00DB377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0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204370" w:rsidRPr="008D0BEB" w:rsidRDefault="00204370" w:rsidP="00204370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204370" w:rsidRDefault="00204370" w:rsidP="0020437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A.K. </w:t>
      </w:r>
      <w:proofErr w:type="spellStart"/>
      <w:r>
        <w:rPr>
          <w:rFonts w:asciiTheme="minorHAnsi" w:hAnsiTheme="minorHAnsi"/>
          <w:color w:val="000000"/>
        </w:rPr>
        <w:t>Kaboré</w:t>
      </w:r>
      <w:proofErr w:type="spellEnd"/>
      <w:r>
        <w:rPr>
          <w:rFonts w:asciiTheme="minorHAnsi" w:hAnsiTheme="minorHAnsi"/>
          <w:color w:val="000000"/>
        </w:rPr>
        <w:t xml:space="preserve">, E. Olmos, F. Blanchard, M. Fick, S. Delaunay, </w:t>
      </w:r>
      <w:proofErr w:type="spellStart"/>
      <w:r>
        <w:rPr>
          <w:rFonts w:asciiTheme="minorHAnsi" w:hAnsiTheme="minorHAnsi"/>
          <w:color w:val="000000"/>
        </w:rPr>
        <w:t>Biochem</w:t>
      </w:r>
      <w:proofErr w:type="spellEnd"/>
      <w:r>
        <w:rPr>
          <w:rFonts w:asciiTheme="minorHAnsi" w:hAnsiTheme="minorHAnsi"/>
          <w:color w:val="000000"/>
        </w:rPr>
        <w:t>. Eng. J. 101 (2015)237-247.</w:t>
      </w:r>
    </w:p>
    <w:p w:rsidR="00DB3774" w:rsidRPr="00B07C57" w:rsidRDefault="00204370" w:rsidP="00664C80">
      <w:pPr>
        <w:pStyle w:val="FirstParagraph"/>
        <w:numPr>
          <w:ilvl w:val="0"/>
          <w:numId w:val="17"/>
        </w:numPr>
        <w:tabs>
          <w:tab w:val="left" w:pos="426"/>
        </w:tabs>
        <w:spacing w:line="259" w:lineRule="auto"/>
        <w:ind w:left="425" w:hanging="425"/>
        <w:rPr>
          <w:rFonts w:ascii="Calibri" w:eastAsia="Calibri" w:hAnsi="Calibri" w:cs="Arial"/>
          <w:bCs/>
          <w:sz w:val="22"/>
          <w:szCs w:val="22"/>
        </w:rPr>
      </w:pPr>
      <w:r w:rsidRPr="00DF1450">
        <w:rPr>
          <w:rFonts w:asciiTheme="minorHAnsi" w:hAnsiTheme="minorHAnsi"/>
          <w:color w:val="000000"/>
        </w:rPr>
        <w:t xml:space="preserve">Y. Shinfuku, N. </w:t>
      </w:r>
      <w:proofErr w:type="spellStart"/>
      <w:r w:rsidRPr="00DF1450">
        <w:rPr>
          <w:rFonts w:asciiTheme="minorHAnsi" w:hAnsiTheme="minorHAnsi"/>
          <w:color w:val="000000"/>
        </w:rPr>
        <w:t>Sorpitipom</w:t>
      </w:r>
      <w:proofErr w:type="spellEnd"/>
      <w:r w:rsidRPr="00DF1450">
        <w:rPr>
          <w:rFonts w:asciiTheme="minorHAnsi" w:hAnsiTheme="minorHAnsi"/>
          <w:color w:val="000000"/>
        </w:rPr>
        <w:t xml:space="preserve">, M. </w:t>
      </w:r>
      <w:proofErr w:type="spellStart"/>
      <w:r w:rsidRPr="00DF1450">
        <w:rPr>
          <w:rFonts w:asciiTheme="minorHAnsi" w:hAnsiTheme="minorHAnsi"/>
          <w:color w:val="000000"/>
        </w:rPr>
        <w:t>Sono</w:t>
      </w:r>
      <w:proofErr w:type="spellEnd"/>
      <w:r w:rsidRPr="00DF1450">
        <w:rPr>
          <w:rFonts w:asciiTheme="minorHAnsi" w:hAnsiTheme="minorHAnsi"/>
          <w:color w:val="000000"/>
        </w:rPr>
        <w:t xml:space="preserve">, C. </w:t>
      </w:r>
      <w:proofErr w:type="spellStart"/>
      <w:r w:rsidRPr="00DF1450">
        <w:rPr>
          <w:rFonts w:asciiTheme="minorHAnsi" w:hAnsiTheme="minorHAnsi"/>
          <w:color w:val="000000"/>
        </w:rPr>
        <w:t>Furusawa</w:t>
      </w:r>
      <w:proofErr w:type="spellEnd"/>
      <w:r w:rsidRPr="00DF1450">
        <w:rPr>
          <w:rFonts w:asciiTheme="minorHAnsi" w:hAnsiTheme="minorHAnsi"/>
          <w:color w:val="000000"/>
        </w:rPr>
        <w:t xml:space="preserve">, T. </w:t>
      </w:r>
      <w:proofErr w:type="spellStart"/>
      <w:r w:rsidRPr="00DF1450">
        <w:rPr>
          <w:rFonts w:asciiTheme="minorHAnsi" w:hAnsiTheme="minorHAnsi"/>
          <w:color w:val="000000"/>
        </w:rPr>
        <w:t>Hirasawa</w:t>
      </w:r>
      <w:proofErr w:type="spellEnd"/>
      <w:r w:rsidRPr="00DF1450">
        <w:rPr>
          <w:rFonts w:asciiTheme="minorHAnsi" w:hAnsiTheme="minorHAnsi"/>
          <w:color w:val="000000"/>
        </w:rPr>
        <w:t xml:space="preserve">, U. Shimizu, </w:t>
      </w:r>
      <w:proofErr w:type="spellStart"/>
      <w:r w:rsidRPr="00DF1450">
        <w:rPr>
          <w:rFonts w:asciiTheme="minorHAnsi" w:hAnsiTheme="minorHAnsi"/>
          <w:color w:val="000000"/>
        </w:rPr>
        <w:t>Microb</w:t>
      </w:r>
      <w:proofErr w:type="spellEnd"/>
      <w:r w:rsidRPr="00DF1450">
        <w:rPr>
          <w:rFonts w:asciiTheme="minorHAnsi" w:hAnsiTheme="minorHAnsi"/>
          <w:color w:val="000000"/>
        </w:rPr>
        <w:t>. Cell Fact (2009)8-43.</w:t>
      </w:r>
    </w:p>
    <w:p w:rsidR="00B07C57" w:rsidRPr="00664C80" w:rsidRDefault="00B07C57" w:rsidP="000F1C7C">
      <w:pPr>
        <w:pStyle w:val="FirstParagraph"/>
        <w:numPr>
          <w:ilvl w:val="0"/>
          <w:numId w:val="17"/>
        </w:numPr>
        <w:tabs>
          <w:tab w:val="left" w:pos="426"/>
        </w:tabs>
        <w:spacing w:after="160" w:line="259" w:lineRule="auto"/>
        <w:ind w:left="426" w:right="-2" w:hanging="426"/>
        <w:rPr>
          <w:rFonts w:ascii="Calibri" w:eastAsia="Calibri" w:hAnsi="Calibri" w:cs="Arial"/>
          <w:bCs/>
          <w:szCs w:val="22"/>
        </w:rPr>
      </w:pPr>
      <w:r w:rsidRPr="00664C80">
        <w:rPr>
          <w:rFonts w:ascii="Calibri" w:eastAsia="Calibri" w:hAnsi="Calibri" w:cs="Arial"/>
          <w:bCs/>
          <w:szCs w:val="22"/>
        </w:rPr>
        <w:t xml:space="preserve">R. </w:t>
      </w:r>
      <w:proofErr w:type="spellStart"/>
      <w:r w:rsidRPr="00664C80">
        <w:rPr>
          <w:rFonts w:ascii="Calibri" w:eastAsia="Calibri" w:hAnsi="Calibri" w:cs="Arial"/>
          <w:bCs/>
          <w:szCs w:val="22"/>
        </w:rPr>
        <w:t>Luedeking</w:t>
      </w:r>
      <w:proofErr w:type="spellEnd"/>
      <w:r w:rsidRPr="00664C80">
        <w:rPr>
          <w:rFonts w:ascii="Calibri" w:eastAsia="Calibri" w:hAnsi="Calibri" w:cs="Arial"/>
          <w:bCs/>
          <w:szCs w:val="22"/>
        </w:rPr>
        <w:t xml:space="preserve"> &amp; E.L. </w:t>
      </w:r>
      <w:proofErr w:type="spellStart"/>
      <w:r w:rsidRPr="00664C80">
        <w:rPr>
          <w:rFonts w:ascii="Calibri" w:eastAsia="Calibri" w:hAnsi="Calibri" w:cs="Arial"/>
          <w:bCs/>
          <w:szCs w:val="22"/>
        </w:rPr>
        <w:t>Piret</w:t>
      </w:r>
      <w:proofErr w:type="spellEnd"/>
      <w:r w:rsidRPr="00664C80">
        <w:rPr>
          <w:rFonts w:ascii="Calibri" w:eastAsia="Calibri" w:hAnsi="Calibri" w:cs="Arial"/>
          <w:bCs/>
          <w:szCs w:val="22"/>
        </w:rPr>
        <w:t xml:space="preserve">, </w:t>
      </w:r>
      <w:proofErr w:type="spellStart"/>
      <w:r w:rsidRPr="00664C80">
        <w:rPr>
          <w:rFonts w:ascii="Calibri" w:eastAsia="Calibri" w:hAnsi="Calibri" w:cs="Arial"/>
          <w:bCs/>
          <w:szCs w:val="22"/>
        </w:rPr>
        <w:t>Biotech</w:t>
      </w:r>
      <w:r w:rsidR="00664C80">
        <w:rPr>
          <w:rFonts w:ascii="Calibri" w:eastAsia="Calibri" w:hAnsi="Calibri" w:cs="Arial"/>
          <w:bCs/>
          <w:szCs w:val="22"/>
        </w:rPr>
        <w:t>nol</w:t>
      </w:r>
      <w:proofErr w:type="spellEnd"/>
      <w:r w:rsidRPr="00664C80">
        <w:rPr>
          <w:rFonts w:ascii="Calibri" w:eastAsia="Calibri" w:hAnsi="Calibri" w:cs="Arial"/>
          <w:bCs/>
          <w:szCs w:val="22"/>
        </w:rPr>
        <w:t xml:space="preserve">. </w:t>
      </w:r>
      <w:proofErr w:type="spellStart"/>
      <w:r w:rsidRPr="00664C80">
        <w:rPr>
          <w:rFonts w:ascii="Calibri" w:eastAsia="Calibri" w:hAnsi="Calibri" w:cs="Arial"/>
          <w:bCs/>
          <w:szCs w:val="22"/>
        </w:rPr>
        <w:t>Bioeng</w:t>
      </w:r>
      <w:proofErr w:type="spellEnd"/>
      <w:r w:rsidRPr="00664C80">
        <w:rPr>
          <w:rFonts w:ascii="Calibri" w:eastAsia="Calibri" w:hAnsi="Calibri" w:cs="Arial"/>
          <w:bCs/>
          <w:szCs w:val="22"/>
        </w:rPr>
        <w:t>.</w:t>
      </w:r>
      <w:r w:rsidR="00664C80" w:rsidRPr="00664C80">
        <w:rPr>
          <w:rFonts w:ascii="Calibri" w:eastAsia="Calibri" w:hAnsi="Calibri" w:cs="Arial"/>
          <w:bCs/>
          <w:szCs w:val="22"/>
        </w:rPr>
        <w:t xml:space="preserve"> </w:t>
      </w:r>
      <w:proofErr w:type="gramStart"/>
      <w:r w:rsidR="00664C80" w:rsidRPr="00664C80">
        <w:rPr>
          <w:rFonts w:ascii="Calibri" w:eastAsia="Calibri" w:hAnsi="Calibri" w:cs="Arial"/>
          <w:bCs/>
          <w:szCs w:val="22"/>
        </w:rPr>
        <w:t>67</w:t>
      </w:r>
      <w:proofErr w:type="gramEnd"/>
      <w:r w:rsidR="00664C80" w:rsidRPr="00664C80">
        <w:rPr>
          <w:rFonts w:ascii="Calibri" w:eastAsia="Calibri" w:hAnsi="Calibri" w:cs="Arial"/>
          <w:bCs/>
          <w:szCs w:val="22"/>
        </w:rPr>
        <w:t xml:space="preserve"> (2000)636-644.</w:t>
      </w:r>
    </w:p>
    <w:sectPr w:rsidR="00B07C57" w:rsidRPr="00664C8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99" w:rsidRDefault="00C34599" w:rsidP="004F5E36">
      <w:r>
        <w:separator/>
      </w:r>
    </w:p>
  </w:endnote>
  <w:endnote w:type="continuationSeparator" w:id="0">
    <w:p w:rsidR="00C34599" w:rsidRDefault="00C3459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99" w:rsidRDefault="00C34599" w:rsidP="004F5E36">
      <w:r>
        <w:separator/>
      </w:r>
    </w:p>
  </w:footnote>
  <w:footnote w:type="continuationSeparator" w:id="0">
    <w:p w:rsidR="00C34599" w:rsidRDefault="00C3459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5D31"/>
    <w:rsid w:val="000117CB"/>
    <w:rsid w:val="00024A79"/>
    <w:rsid w:val="0003148D"/>
    <w:rsid w:val="00046D64"/>
    <w:rsid w:val="00062A9A"/>
    <w:rsid w:val="000A03B2"/>
    <w:rsid w:val="000A7A64"/>
    <w:rsid w:val="000D05E9"/>
    <w:rsid w:val="000D34BE"/>
    <w:rsid w:val="000E36F1"/>
    <w:rsid w:val="000E3A73"/>
    <w:rsid w:val="000E414A"/>
    <w:rsid w:val="001079E6"/>
    <w:rsid w:val="0013121F"/>
    <w:rsid w:val="00134DE4"/>
    <w:rsid w:val="00150E59"/>
    <w:rsid w:val="00160C6E"/>
    <w:rsid w:val="00184AD6"/>
    <w:rsid w:val="001944C9"/>
    <w:rsid w:val="001A11B8"/>
    <w:rsid w:val="001B65C1"/>
    <w:rsid w:val="001B7856"/>
    <w:rsid w:val="001C684B"/>
    <w:rsid w:val="001D53FC"/>
    <w:rsid w:val="001F2EC7"/>
    <w:rsid w:val="00204370"/>
    <w:rsid w:val="002065DB"/>
    <w:rsid w:val="0021642E"/>
    <w:rsid w:val="002332CF"/>
    <w:rsid w:val="002447EF"/>
    <w:rsid w:val="00251550"/>
    <w:rsid w:val="0027221A"/>
    <w:rsid w:val="00275B61"/>
    <w:rsid w:val="002D1F12"/>
    <w:rsid w:val="002F4251"/>
    <w:rsid w:val="003009B7"/>
    <w:rsid w:val="0030469C"/>
    <w:rsid w:val="0033412C"/>
    <w:rsid w:val="003570BD"/>
    <w:rsid w:val="003723D4"/>
    <w:rsid w:val="003909BB"/>
    <w:rsid w:val="00392741"/>
    <w:rsid w:val="003A023A"/>
    <w:rsid w:val="003A7D1C"/>
    <w:rsid w:val="003D13A5"/>
    <w:rsid w:val="00430D37"/>
    <w:rsid w:val="00441410"/>
    <w:rsid w:val="00444E01"/>
    <w:rsid w:val="0046164A"/>
    <w:rsid w:val="00462DCD"/>
    <w:rsid w:val="00467780"/>
    <w:rsid w:val="00472190"/>
    <w:rsid w:val="004859CE"/>
    <w:rsid w:val="00493082"/>
    <w:rsid w:val="004B76B6"/>
    <w:rsid w:val="004D1162"/>
    <w:rsid w:val="004D2D02"/>
    <w:rsid w:val="004D602B"/>
    <w:rsid w:val="004E4DD6"/>
    <w:rsid w:val="004E6410"/>
    <w:rsid w:val="004F563B"/>
    <w:rsid w:val="004F5E36"/>
    <w:rsid w:val="00503CD1"/>
    <w:rsid w:val="005119A5"/>
    <w:rsid w:val="00517681"/>
    <w:rsid w:val="005278B7"/>
    <w:rsid w:val="005346C8"/>
    <w:rsid w:val="00561D4C"/>
    <w:rsid w:val="00563E99"/>
    <w:rsid w:val="0057505D"/>
    <w:rsid w:val="00577797"/>
    <w:rsid w:val="00594E9F"/>
    <w:rsid w:val="005B00A5"/>
    <w:rsid w:val="005B0206"/>
    <w:rsid w:val="005B09F1"/>
    <w:rsid w:val="005B61E6"/>
    <w:rsid w:val="005C77E1"/>
    <w:rsid w:val="005D6A2F"/>
    <w:rsid w:val="005D7496"/>
    <w:rsid w:val="005E1A82"/>
    <w:rsid w:val="005F0A28"/>
    <w:rsid w:val="005F0E5E"/>
    <w:rsid w:val="00616509"/>
    <w:rsid w:val="00620DEE"/>
    <w:rsid w:val="006223EC"/>
    <w:rsid w:val="00625639"/>
    <w:rsid w:val="00627EDE"/>
    <w:rsid w:val="006366F8"/>
    <w:rsid w:val="0064184D"/>
    <w:rsid w:val="00660E3E"/>
    <w:rsid w:val="00662E74"/>
    <w:rsid w:val="00664C80"/>
    <w:rsid w:val="00677AD4"/>
    <w:rsid w:val="00692E74"/>
    <w:rsid w:val="006B01AC"/>
    <w:rsid w:val="006C5579"/>
    <w:rsid w:val="007031E0"/>
    <w:rsid w:val="00704BDF"/>
    <w:rsid w:val="00736B13"/>
    <w:rsid w:val="007447F3"/>
    <w:rsid w:val="00756C04"/>
    <w:rsid w:val="007661C8"/>
    <w:rsid w:val="00781A5A"/>
    <w:rsid w:val="007D52CD"/>
    <w:rsid w:val="007E1FB9"/>
    <w:rsid w:val="00813288"/>
    <w:rsid w:val="00814C6A"/>
    <w:rsid w:val="008168FC"/>
    <w:rsid w:val="0082753B"/>
    <w:rsid w:val="00845C5A"/>
    <w:rsid w:val="008479A2"/>
    <w:rsid w:val="00850BA4"/>
    <w:rsid w:val="00874EA5"/>
    <w:rsid w:val="0087637F"/>
    <w:rsid w:val="008A1512"/>
    <w:rsid w:val="008D0BEB"/>
    <w:rsid w:val="008D353C"/>
    <w:rsid w:val="008E566E"/>
    <w:rsid w:val="00901EB6"/>
    <w:rsid w:val="00904873"/>
    <w:rsid w:val="00912F8B"/>
    <w:rsid w:val="00916288"/>
    <w:rsid w:val="00924A4D"/>
    <w:rsid w:val="00925F0B"/>
    <w:rsid w:val="0093081B"/>
    <w:rsid w:val="009450CE"/>
    <w:rsid w:val="0095164B"/>
    <w:rsid w:val="00996483"/>
    <w:rsid w:val="009C1343"/>
    <w:rsid w:val="009E788A"/>
    <w:rsid w:val="009F056C"/>
    <w:rsid w:val="00A1763D"/>
    <w:rsid w:val="00A17CEC"/>
    <w:rsid w:val="00A20CD0"/>
    <w:rsid w:val="00A27EF0"/>
    <w:rsid w:val="00A66D4B"/>
    <w:rsid w:val="00A73F38"/>
    <w:rsid w:val="00A76EFC"/>
    <w:rsid w:val="00A832AF"/>
    <w:rsid w:val="00A97F29"/>
    <w:rsid w:val="00AB0964"/>
    <w:rsid w:val="00AE377D"/>
    <w:rsid w:val="00B00CF2"/>
    <w:rsid w:val="00B07C57"/>
    <w:rsid w:val="00B11221"/>
    <w:rsid w:val="00B37D9D"/>
    <w:rsid w:val="00B4394E"/>
    <w:rsid w:val="00B514E5"/>
    <w:rsid w:val="00B5756F"/>
    <w:rsid w:val="00B61DBF"/>
    <w:rsid w:val="00B66761"/>
    <w:rsid w:val="00B92CF4"/>
    <w:rsid w:val="00BC30C9"/>
    <w:rsid w:val="00BE3E58"/>
    <w:rsid w:val="00C01616"/>
    <w:rsid w:val="00C0162B"/>
    <w:rsid w:val="00C07BA5"/>
    <w:rsid w:val="00C21951"/>
    <w:rsid w:val="00C31E82"/>
    <w:rsid w:val="00C34599"/>
    <w:rsid w:val="00C345B1"/>
    <w:rsid w:val="00C40142"/>
    <w:rsid w:val="00C55010"/>
    <w:rsid w:val="00C57182"/>
    <w:rsid w:val="00C655FD"/>
    <w:rsid w:val="00C94434"/>
    <w:rsid w:val="00CA1C95"/>
    <w:rsid w:val="00CA5A9C"/>
    <w:rsid w:val="00CC3F4B"/>
    <w:rsid w:val="00CD5FE2"/>
    <w:rsid w:val="00CE2F95"/>
    <w:rsid w:val="00D00B53"/>
    <w:rsid w:val="00D02B4C"/>
    <w:rsid w:val="00D0345E"/>
    <w:rsid w:val="00D055F9"/>
    <w:rsid w:val="00D14BA5"/>
    <w:rsid w:val="00D70184"/>
    <w:rsid w:val="00D84576"/>
    <w:rsid w:val="00D9705A"/>
    <w:rsid w:val="00DB3774"/>
    <w:rsid w:val="00DD1B02"/>
    <w:rsid w:val="00DD4D61"/>
    <w:rsid w:val="00DE0019"/>
    <w:rsid w:val="00DE264A"/>
    <w:rsid w:val="00DF1450"/>
    <w:rsid w:val="00E041E7"/>
    <w:rsid w:val="00E23CA1"/>
    <w:rsid w:val="00E409A8"/>
    <w:rsid w:val="00E47211"/>
    <w:rsid w:val="00E7209D"/>
    <w:rsid w:val="00E937EE"/>
    <w:rsid w:val="00E95E4B"/>
    <w:rsid w:val="00EA13CA"/>
    <w:rsid w:val="00EA3909"/>
    <w:rsid w:val="00EA50E1"/>
    <w:rsid w:val="00EB5F3C"/>
    <w:rsid w:val="00EE0131"/>
    <w:rsid w:val="00F216E1"/>
    <w:rsid w:val="00F30C64"/>
    <w:rsid w:val="00F3623D"/>
    <w:rsid w:val="00F425A2"/>
    <w:rsid w:val="00F433F2"/>
    <w:rsid w:val="00F43E0D"/>
    <w:rsid w:val="00F46049"/>
    <w:rsid w:val="00F6610F"/>
    <w:rsid w:val="00FA5FA5"/>
    <w:rsid w:val="00FB730C"/>
    <w:rsid w:val="00FC2695"/>
    <w:rsid w:val="00FC3E03"/>
    <w:rsid w:val="00FD3D2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2C7B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CHISA">
    <w:name w:val="CHISA"/>
    <w:rsid w:val="007031E0"/>
    <w:pPr>
      <w:suppressAutoHyphens/>
      <w:spacing w:after="0" w:line="240" w:lineRule="auto"/>
    </w:pPr>
    <w:rPr>
      <w:rFonts w:ascii="Arial" w:eastAsia="Times New Roman" w:hAnsi="Arial" w:cs="Arial"/>
      <w:color w:val="00000A"/>
      <w:kern w:val="1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6D06-E096-4B2A-9303-11A068FA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stéphane DELAUNAY</cp:lastModifiedBy>
  <cp:revision>2</cp:revision>
  <cp:lastPrinted>2015-05-12T18:31:00Z</cp:lastPrinted>
  <dcterms:created xsi:type="dcterms:W3CDTF">2019-01-15T17:39:00Z</dcterms:created>
  <dcterms:modified xsi:type="dcterms:W3CDTF">2019-01-15T17:39:00Z</dcterms:modified>
</cp:coreProperties>
</file>