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12064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Efficient assessment of combined crystallization, milling, and dissolution cycles for crystal size and shape manipulation</w:t>
      </w:r>
    </w:p>
    <w:p w:rsidR="00DE0019" w:rsidRPr="00120648" w:rsidRDefault="00120648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120648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Pietro Binel</w:t>
      </w:r>
      <w:r w:rsidR="00704BDF" w:rsidRPr="0012064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F35E34" w:rsidRPr="00F35E34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*</w:t>
      </w:r>
      <w:r w:rsidR="00CF685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Fabio Salvatori</w:t>
      </w:r>
      <w:r w:rsidR="00CF685D" w:rsidRPr="00CF685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CF685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</w:t>
      </w:r>
      <w:r w:rsidR="00D27715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and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Marco Mazzotti</w:t>
      </w:r>
      <w:r w:rsidRPr="0012064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bookmarkStart w:id="0" w:name="_GoBack"/>
      <w:bookmarkEnd w:id="0"/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 w:rsidRPr="00881B3D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proofErr w:type="gramEnd"/>
      <w:r w:rsidR="0012064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Institute of Process Engineering, ETH Zurich, 8092 Zurich, Switzerland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35E34">
        <w:rPr>
          <w:rFonts w:asciiTheme="minorHAnsi" w:eastAsia="MS PGothic" w:hAnsiTheme="minorHAnsi"/>
          <w:bCs/>
          <w:i/>
          <w:iCs/>
          <w:sz w:val="20"/>
          <w:lang w:val="en-US"/>
        </w:rPr>
        <w:t>binel</w:t>
      </w:r>
      <w:r w:rsidR="00120648">
        <w:rPr>
          <w:rFonts w:asciiTheme="minorHAnsi" w:eastAsia="MS PGothic" w:hAnsiTheme="minorHAnsi"/>
          <w:bCs/>
          <w:i/>
          <w:iCs/>
          <w:sz w:val="20"/>
          <w:lang w:val="en-US"/>
        </w:rPr>
        <w:t>@ipe.mavt.ethz.ch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D27715" w:rsidRPr="00D27715" w:rsidRDefault="00D27715" w:rsidP="00D27715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 w:rsidRPr="00D27715">
        <w:rPr>
          <w:rFonts w:asciiTheme="minorHAnsi" w:hAnsiTheme="minorHAnsi"/>
          <w:sz w:val="20"/>
          <w:lang w:val="en-US"/>
        </w:rPr>
        <w:t>Crystallization, dissolution, and milling selectively manipulate crystal shape</w:t>
      </w:r>
    </w:p>
    <w:p w:rsidR="00D27715" w:rsidRDefault="00D27715" w:rsidP="00232461">
      <w:pPr>
        <w:pStyle w:val="AbstractBody"/>
        <w:numPr>
          <w:ilvl w:val="0"/>
          <w:numId w:val="16"/>
        </w:numPr>
        <w:spacing w:line="264" w:lineRule="auto"/>
        <w:ind w:left="1434" w:hanging="357"/>
        <w:rPr>
          <w:rFonts w:asciiTheme="minorHAnsi" w:hAnsiTheme="minorHAnsi"/>
        </w:rPr>
      </w:pPr>
      <w:r w:rsidRPr="00D27715">
        <w:rPr>
          <w:rFonts w:asciiTheme="minorHAnsi" w:hAnsiTheme="minorHAnsi"/>
        </w:rPr>
        <w:t xml:space="preserve">The </w:t>
      </w:r>
      <w:r w:rsidR="000F7C4F">
        <w:rPr>
          <w:rFonts w:asciiTheme="minorHAnsi" w:hAnsiTheme="minorHAnsi"/>
        </w:rPr>
        <w:t>simulations identify</w:t>
      </w:r>
      <w:r w:rsidRPr="00D27715">
        <w:rPr>
          <w:rFonts w:asciiTheme="minorHAnsi" w:hAnsiTheme="minorHAnsi"/>
        </w:rPr>
        <w:t xml:space="preserve"> general trends used for process characterization</w:t>
      </w:r>
    </w:p>
    <w:p w:rsidR="00704BDF" w:rsidRPr="00D27715" w:rsidRDefault="00253193" w:rsidP="00D27715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The</w:t>
      </w:r>
      <w:r w:rsidR="00957FEC">
        <w:rPr>
          <w:rFonts w:asciiTheme="minorHAnsi" w:hAnsiTheme="minorHAnsi"/>
          <w:sz w:val="20"/>
          <w:lang w:val="en-US"/>
        </w:rPr>
        <w:t xml:space="preserve"> interplay of critical operating</w:t>
      </w:r>
      <w:r>
        <w:rPr>
          <w:rFonts w:asciiTheme="minorHAnsi" w:hAnsiTheme="minorHAnsi"/>
          <w:sz w:val="20"/>
          <w:lang w:val="en-US"/>
        </w:rPr>
        <w:t xml:space="preserve"> variables and system parameters is elucidated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65C3A" w:rsidRPr="008D0BEB" w:rsidRDefault="00E87FE6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</w:t>
      </w:r>
      <w:r w:rsidR="00260A6D">
        <w:rPr>
          <w:rFonts w:asciiTheme="minorHAnsi" w:eastAsia="MS PGothic" w:hAnsiTheme="minorHAnsi"/>
          <w:color w:val="000000"/>
          <w:sz w:val="22"/>
          <w:szCs w:val="22"/>
          <w:lang w:val="en-US"/>
        </w:rPr>
        <w:t>ize</w:t>
      </w:r>
      <w:r w:rsidR="006D39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shape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crystals in a powder </w:t>
      </w:r>
      <w:r w:rsidR="00765C3A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important p</w:t>
      </w:r>
      <w:r w:rsidR="00260A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roperties that significantly contribute to determining the quality of the final commercialized product and that affect several steps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downstream process</w:t>
      </w:r>
      <w:r w:rsidR="00CF68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260A6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34E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approaches </w:t>
      </w:r>
      <w:proofErr w:type="gramStart"/>
      <w:r w:rsidR="00934E86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proposed</w:t>
      </w:r>
      <w:proofErr w:type="gramEnd"/>
      <w:r w:rsidR="00934E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modify the</w:t>
      </w:r>
      <w:r w:rsidR="00C46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morphology of crystalline products.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Here</w:t>
      </w:r>
      <w:r w:rsidR="004C1C6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46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assess the effectiveness of </w:t>
      </w:r>
      <w:r w:rsidR="004B3A7F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C46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3-stage process</w:t>
      </w:r>
      <w:r w:rsidR="00CF68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C46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consisting of </w:t>
      </w:r>
      <w:r w:rsidR="004B3A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cycles of </w:t>
      </w:r>
      <w:r w:rsidR="00C46A49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crystallization, milling, and dissolution for p</w:t>
      </w:r>
      <w:r w:rsidR="004B3A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roducts with different features, aiming at </w:t>
      </w:r>
      <w:r w:rsidR="00C46A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robust and quick process design</w:t>
      </w:r>
      <w:r w:rsidR="00CF68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[3].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E87FE6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3-stage process is</w:t>
      </w:r>
      <w:r w:rsidR="001931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investigated through simulations and experimental work. A lab-scale setup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193163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 to perform crystallization, wet milling, and dissolution while monitoring the solute concentration with the ATR-FTIR technology</w:t>
      </w:r>
      <w:r w:rsidR="00C8102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B3A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number of cycles performed and the rotor speed of the wet mill device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</w:t>
      </w:r>
      <w:r w:rsidR="004B3A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chosen </w:t>
      </w:r>
      <w:r w:rsidR="004B3A7F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process variables.</w:t>
      </w:r>
      <w:r w:rsidR="00C81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4B3A7F">
        <w:rPr>
          <w:rFonts w:asciiTheme="minorHAnsi" w:eastAsia="MS PGothic" w:hAnsiTheme="minorHAnsi"/>
          <w:color w:val="000000"/>
          <w:sz w:val="22"/>
          <w:szCs w:val="22"/>
          <w:lang w:val="en-US"/>
        </w:rPr>
        <w:t>o measure t</w:t>
      </w:r>
      <w:r w:rsidR="00C81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particle size and shape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distribution </w:t>
      </w:r>
      <w:r w:rsidR="00C81029">
        <w:rPr>
          <w:rFonts w:asciiTheme="minorHAnsi" w:eastAsia="MS PGothic" w:hAnsiTheme="minorHAnsi"/>
          <w:color w:val="000000"/>
          <w:sz w:val="22"/>
          <w:szCs w:val="22"/>
          <w:lang w:val="en-US"/>
        </w:rPr>
        <w:t>(PSSD) of the population</w:t>
      </w:r>
      <w:r w:rsidR="004B3A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each step of the process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C81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optical imaging device </w:t>
      </w:r>
      <w:proofErr w:type="spellStart"/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μ</w:t>
      </w:r>
      <w:r w:rsidR="00C8102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DISCO</w:t>
      </w:r>
      <w:proofErr w:type="spellEnd"/>
      <w:r w:rsidR="00CF68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223F">
        <w:rPr>
          <w:rFonts w:asciiTheme="minorHAnsi" w:eastAsia="MS PGothic" w:hAnsiTheme="minorHAnsi"/>
          <w:color w:val="000000"/>
          <w:sz w:val="22"/>
          <w:szCs w:val="22"/>
          <w:lang w:val="en-US"/>
        </w:rPr>
        <w:t>[4]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4B3A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employed</w:t>
      </w:r>
      <w:proofErr w:type="gramEnd"/>
      <w:r w:rsidR="00C81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simulations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C81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two-dimensional morphological PBEs tailored to best describe every step of the process.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517326" w:rsidP="003D223F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Two model compounds</w:t>
      </w:r>
      <w:r w:rsidRPr="005173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featuring a needle-like crystal habit, namely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β L-Glutamic acid and γ D-Mannitol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are used to map t</w:t>
      </w:r>
      <w:r w:rsidR="004B3A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E660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 space </w:t>
      </w:r>
      <w:r w:rsidR="00891F30">
        <w:rPr>
          <w:rFonts w:asciiTheme="minorHAnsi" w:eastAsia="MS PGothic" w:hAnsiTheme="minorHAnsi"/>
          <w:color w:val="000000"/>
          <w:sz w:val="22"/>
          <w:szCs w:val="22"/>
          <w:lang w:val="en-US"/>
        </w:rPr>
        <w:t>spanned by</w:t>
      </w:r>
      <w:r w:rsidR="00E660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process variables onto the space plane, i.e. the plane where average length </w:t>
      </w:r>
      <w:r w:rsidR="00891F30" w:rsidRPr="00891F3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</w:t>
      </w:r>
      <w:r w:rsidR="00891F30" w:rsidRPr="00891F3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</w:t>
      </w:r>
      <w:r w:rsidR="00891F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660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width </w:t>
      </w:r>
      <w:r w:rsidR="00891F30" w:rsidRPr="00891F3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</w:t>
      </w:r>
      <w:r w:rsidR="00891F30" w:rsidRPr="00891F3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91F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968E5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crystal population are</w:t>
      </w:r>
      <w:r w:rsidR="00E660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plotted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660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4232E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For this purpose, a factorial design approach is adopted to minimize the experimental effort. It </w:t>
      </w:r>
      <w:proofErr w:type="gramStart"/>
      <w:r w:rsidR="004232E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is observed</w:t>
      </w:r>
      <w:proofErr w:type="gramEnd"/>
      <w:r w:rsidR="004232E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that, although with</w:t>
      </w:r>
      <w:r w:rsidR="004232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232E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β L-Glutamic acid </w:t>
      </w:r>
      <w:r w:rsidR="00E660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 broad range of sizes and aspect ratios can be reached, </w:t>
      </w:r>
      <w:r w:rsidR="004232E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γ D-Mannitol </w:t>
      </w:r>
      <w:r w:rsidR="00CF685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exhibits </w:t>
      </w:r>
      <w:r w:rsidR="00E660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 very narrow attainable region</w:t>
      </w:r>
      <w:r w:rsidR="004232E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for the same combination of operating variables</w:t>
      </w:r>
      <w:r w:rsidR="00E6609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Simulations allow us to demonstrate that the different behavior or β L-Glutamic acid and γ D-Mannitol, which affects the shape of the attainable region (Fig. 1),</w:t>
      </w:r>
      <w:r w:rsidR="00957FEC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is due to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 </w:t>
      </w:r>
      <w:r w:rsidR="00CF685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major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difference in</w:t>
      </w:r>
      <w:r w:rsidR="00CF685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the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kinetics of growth and dissolution, then validated through direct experimental measurements or by comparison with values reported in literature. </w:t>
      </w:r>
    </w:p>
    <w:p w:rsidR="00386B67" w:rsidRPr="00E6609E" w:rsidRDefault="00386B67" w:rsidP="003D223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0F6552" w:rsidRDefault="00857B4E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</w:rPr>
      </w:pPr>
      <w:r>
        <w:rPr>
          <w:noProof/>
          <w:lang w:val="de-CH" w:eastAsia="de-CH"/>
        </w:rPr>
        <w:drawing>
          <wp:inline distT="0" distB="0" distL="0" distR="0" wp14:anchorId="61944E08" wp14:editId="715D49DD">
            <wp:extent cx="3903260" cy="2948656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2239" cy="296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0F6552">
        <w:rPr>
          <w:rFonts w:asciiTheme="minorHAnsi" w:eastAsia="MS PGothic" w:hAnsiTheme="minorHAnsi"/>
          <w:color w:val="000000"/>
          <w:szCs w:val="18"/>
          <w:lang w:val="en-US"/>
        </w:rPr>
        <w:t xml:space="preserve">The 3-stage process consists of cycles of crystallization, milling, and dissolution. The attainable region </w:t>
      </w:r>
      <w:r w:rsidR="003D223F">
        <w:rPr>
          <w:rFonts w:asciiTheme="minorHAnsi" w:eastAsia="MS PGothic" w:hAnsiTheme="minorHAnsi"/>
          <w:color w:val="000000"/>
          <w:szCs w:val="18"/>
          <w:lang w:val="en-US"/>
        </w:rPr>
        <w:t xml:space="preserve">in </w:t>
      </w:r>
      <w:r w:rsidR="000F6552">
        <w:rPr>
          <w:rFonts w:asciiTheme="minorHAnsi" w:eastAsia="MS PGothic" w:hAnsiTheme="minorHAnsi"/>
          <w:color w:val="000000"/>
          <w:szCs w:val="18"/>
          <w:lang w:val="en-US"/>
        </w:rPr>
        <w:t xml:space="preserve">shape and size of the final population </w:t>
      </w:r>
      <w:r w:rsidR="003D223F">
        <w:rPr>
          <w:rFonts w:asciiTheme="minorHAnsi" w:eastAsia="MS PGothic" w:hAnsiTheme="minorHAnsi"/>
          <w:color w:val="000000"/>
          <w:szCs w:val="18"/>
          <w:lang w:val="en-US"/>
        </w:rPr>
        <w:t xml:space="preserve">heavily </w:t>
      </w:r>
      <w:r w:rsidR="000F6552">
        <w:rPr>
          <w:rFonts w:asciiTheme="minorHAnsi" w:eastAsia="MS PGothic" w:hAnsiTheme="minorHAnsi"/>
          <w:color w:val="000000"/>
          <w:szCs w:val="18"/>
          <w:lang w:val="en-US"/>
        </w:rPr>
        <w:t>depends on the kinetics of growth and dissolution of the product.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055BF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B48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outcome of the 3-stage process and its effectiveness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manipulating the shape and size of</w:t>
      </w:r>
      <w:r w:rsidR="004B48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crystals are related to both operating variables and system parameters, namely the growth and dissolution rate ratios.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B48DE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Simulations allowed determining generally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valid compoun</w:t>
      </w:r>
      <w:r w:rsidR="004B48DE">
        <w:rPr>
          <w:rFonts w:asciiTheme="minorHAnsi" w:eastAsia="MS PGothic" w:hAnsiTheme="minorHAnsi"/>
          <w:color w:val="000000"/>
          <w:sz w:val="22"/>
          <w:szCs w:val="22"/>
          <w:lang w:val="en-US"/>
        </w:rPr>
        <w:t>d-dependent features which relate the type of attainable region to the magnitude of the aforementioned ratios. The observation resulting from the in-</w:t>
      </w:r>
      <w:proofErr w:type="spellStart"/>
      <w:r w:rsidR="004B48DE">
        <w:rPr>
          <w:rFonts w:asciiTheme="minorHAnsi" w:eastAsia="MS PGothic" w:hAnsiTheme="minorHAnsi"/>
          <w:color w:val="000000"/>
          <w:sz w:val="22"/>
          <w:szCs w:val="22"/>
          <w:lang w:val="en-US"/>
        </w:rPr>
        <w:t>silico</w:t>
      </w:r>
      <w:proofErr w:type="spellEnd"/>
      <w:r w:rsidR="004B48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work </w:t>
      </w:r>
      <w:proofErr w:type="gramStart"/>
      <w:r w:rsidR="004B48DE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demonstrated</w:t>
      </w:r>
      <w:proofErr w:type="gramEnd"/>
      <w:r w:rsidR="004B48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CF68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running an </w:t>
      </w:r>
      <w:r w:rsidR="004B48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</w:t>
      </w:r>
      <w:r w:rsidR="00CF685D">
        <w:rPr>
          <w:rFonts w:asciiTheme="minorHAnsi" w:eastAsia="MS PGothic" w:hAnsiTheme="minorHAnsi"/>
          <w:color w:val="000000"/>
          <w:sz w:val="22"/>
          <w:szCs w:val="22"/>
          <w:lang w:val="en-US"/>
        </w:rPr>
        <w:t>campaign.</w:t>
      </w:r>
    </w:p>
    <w:p w:rsidR="00397C2B" w:rsidRPr="008D0BEB" w:rsidRDefault="00397C2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C06EC1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C06EC1" w:rsidRDefault="00113CDF" w:rsidP="00043F2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it-IT"/>
        </w:rPr>
      </w:pPr>
      <w:r>
        <w:rPr>
          <w:rFonts w:asciiTheme="minorHAnsi" w:hAnsiTheme="minorHAnsi"/>
          <w:color w:val="000000"/>
        </w:rPr>
        <w:t xml:space="preserve">M. A. </w:t>
      </w:r>
      <w:proofErr w:type="spellStart"/>
      <w:r>
        <w:rPr>
          <w:rFonts w:asciiTheme="minorHAnsi" w:hAnsiTheme="minorHAnsi"/>
          <w:color w:val="000000"/>
        </w:rPr>
        <w:t>Lovette</w:t>
      </w:r>
      <w:proofErr w:type="spellEnd"/>
      <w:r>
        <w:rPr>
          <w:rFonts w:asciiTheme="minorHAnsi" w:hAnsiTheme="minorHAnsi"/>
          <w:color w:val="000000"/>
        </w:rPr>
        <w:t>, A. Robben Browning, D. W.</w:t>
      </w:r>
      <w:r w:rsidRPr="00113CDF">
        <w:rPr>
          <w:rFonts w:asciiTheme="minorHAnsi" w:hAnsiTheme="minorHAnsi"/>
          <w:color w:val="000000"/>
        </w:rPr>
        <w:t xml:space="preserve"> Griffin</w:t>
      </w:r>
      <w:r>
        <w:rPr>
          <w:rFonts w:asciiTheme="minorHAnsi" w:hAnsiTheme="minorHAnsi"/>
          <w:color w:val="000000"/>
        </w:rPr>
        <w:t>, J. P.</w:t>
      </w:r>
      <w:r w:rsidRPr="00113CDF">
        <w:rPr>
          <w:rFonts w:asciiTheme="minorHAnsi" w:hAnsiTheme="minorHAnsi"/>
          <w:color w:val="000000"/>
        </w:rPr>
        <w:t xml:space="preserve"> Sizemore,</w:t>
      </w:r>
      <w:r>
        <w:rPr>
          <w:rFonts w:asciiTheme="minorHAnsi" w:hAnsiTheme="minorHAnsi"/>
          <w:color w:val="000000"/>
        </w:rPr>
        <w:t xml:space="preserve"> R. C.</w:t>
      </w:r>
      <w:r w:rsidRPr="00113CDF">
        <w:rPr>
          <w:rFonts w:asciiTheme="minorHAnsi" w:hAnsiTheme="minorHAnsi"/>
          <w:color w:val="000000"/>
        </w:rPr>
        <w:t xml:space="preserve"> Snyder,</w:t>
      </w:r>
      <w:r>
        <w:rPr>
          <w:rFonts w:asciiTheme="minorHAnsi" w:hAnsiTheme="minorHAnsi"/>
          <w:color w:val="000000"/>
        </w:rPr>
        <w:t xml:space="preserve"> M. F. Doherty</w:t>
      </w:r>
      <w:r w:rsidRPr="00113CDF">
        <w:rPr>
          <w:rFonts w:asciiTheme="minorHAnsi" w:hAnsiTheme="minorHAnsi"/>
          <w:color w:val="000000"/>
        </w:rPr>
        <w:t xml:space="preserve"> Ind. Eng. </w:t>
      </w:r>
      <w:proofErr w:type="spellStart"/>
      <w:r w:rsidRPr="00113CDF">
        <w:rPr>
          <w:rFonts w:asciiTheme="minorHAnsi" w:hAnsiTheme="minorHAnsi"/>
          <w:color w:val="000000"/>
          <w:lang w:val="it-IT"/>
        </w:rPr>
        <w:t>Chem</w:t>
      </w:r>
      <w:proofErr w:type="spellEnd"/>
      <w:r w:rsidRPr="00113CDF">
        <w:rPr>
          <w:rFonts w:asciiTheme="minorHAnsi" w:hAnsiTheme="minorHAnsi"/>
          <w:color w:val="000000"/>
          <w:lang w:val="it-IT"/>
        </w:rPr>
        <w:t>. Res. 4</w:t>
      </w:r>
      <w:r>
        <w:rPr>
          <w:rFonts w:asciiTheme="minorHAnsi" w:hAnsiTheme="minorHAnsi"/>
          <w:color w:val="000000"/>
          <w:lang w:val="it-IT"/>
        </w:rPr>
        <w:t>7</w:t>
      </w:r>
      <w:r w:rsidRPr="00113CDF">
        <w:rPr>
          <w:rFonts w:asciiTheme="minorHAnsi" w:hAnsiTheme="minorHAnsi"/>
          <w:color w:val="000000"/>
          <w:lang w:val="it-IT"/>
        </w:rPr>
        <w:t xml:space="preserve"> </w:t>
      </w:r>
      <w:r>
        <w:rPr>
          <w:rFonts w:asciiTheme="minorHAnsi" w:hAnsiTheme="minorHAnsi"/>
          <w:color w:val="000000"/>
          <w:lang w:val="it-IT"/>
        </w:rPr>
        <w:t>(</w:t>
      </w:r>
      <w:r w:rsidRPr="00113CDF">
        <w:rPr>
          <w:rFonts w:asciiTheme="minorHAnsi" w:hAnsiTheme="minorHAnsi"/>
          <w:color w:val="000000"/>
          <w:lang w:val="it-IT"/>
        </w:rPr>
        <w:t>2008</w:t>
      </w:r>
      <w:r>
        <w:rPr>
          <w:rFonts w:asciiTheme="minorHAnsi" w:hAnsiTheme="minorHAnsi"/>
          <w:color w:val="000000"/>
          <w:lang w:val="it-IT"/>
        </w:rPr>
        <w:t>)</w:t>
      </w:r>
      <w:r w:rsidRPr="00113CDF">
        <w:rPr>
          <w:rFonts w:asciiTheme="minorHAnsi" w:hAnsiTheme="minorHAnsi"/>
          <w:color w:val="000000"/>
          <w:lang w:val="it-IT"/>
        </w:rPr>
        <w:t xml:space="preserve"> 9812– 9833</w:t>
      </w:r>
      <w:r w:rsidR="002968E5">
        <w:rPr>
          <w:rFonts w:asciiTheme="minorHAnsi" w:hAnsiTheme="minorHAnsi"/>
          <w:color w:val="000000"/>
          <w:lang w:val="it-IT"/>
        </w:rPr>
        <w:t>.</w:t>
      </w:r>
    </w:p>
    <w:p w:rsidR="00E87FE6" w:rsidRPr="00E87FE6" w:rsidRDefault="00E87FE6" w:rsidP="00E87FE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13CDF">
        <w:rPr>
          <w:rFonts w:asciiTheme="minorHAnsi" w:hAnsiTheme="minorHAnsi"/>
          <w:color w:val="000000"/>
          <w:lang w:val="it-IT"/>
        </w:rPr>
        <w:t xml:space="preserve">F. Salvatori, M. Mazzotti, </w:t>
      </w:r>
      <w:proofErr w:type="spellStart"/>
      <w:r w:rsidRPr="00113CDF">
        <w:rPr>
          <w:rFonts w:asciiTheme="minorHAnsi" w:hAnsiTheme="minorHAnsi"/>
          <w:color w:val="000000"/>
          <w:lang w:val="it-IT"/>
        </w:rPr>
        <w:t>In</w:t>
      </w:r>
      <w:r w:rsidRPr="00E87FE6">
        <w:rPr>
          <w:rFonts w:asciiTheme="minorHAnsi" w:hAnsiTheme="minorHAnsi"/>
          <w:color w:val="000000"/>
          <w:lang w:val="it-IT"/>
        </w:rPr>
        <w:t>d</w:t>
      </w:r>
      <w:proofErr w:type="spellEnd"/>
      <w:r w:rsidRPr="00E87FE6">
        <w:rPr>
          <w:rFonts w:asciiTheme="minorHAnsi" w:hAnsiTheme="minorHAnsi"/>
          <w:color w:val="000000"/>
          <w:lang w:val="it-IT"/>
        </w:rPr>
        <w:t xml:space="preserve">. </w:t>
      </w:r>
      <w:proofErr w:type="spellStart"/>
      <w:r w:rsidRPr="00E87FE6">
        <w:rPr>
          <w:rFonts w:asciiTheme="minorHAnsi" w:hAnsiTheme="minorHAnsi"/>
          <w:color w:val="000000"/>
          <w:lang w:val="it-IT"/>
        </w:rPr>
        <w:t>Eng</w:t>
      </w:r>
      <w:proofErr w:type="spellEnd"/>
      <w:r w:rsidRPr="00E87FE6">
        <w:rPr>
          <w:rFonts w:asciiTheme="minorHAnsi" w:hAnsiTheme="minorHAnsi"/>
          <w:color w:val="000000"/>
          <w:lang w:val="it-IT"/>
        </w:rPr>
        <w:t xml:space="preserve">. </w:t>
      </w:r>
      <w:r w:rsidRPr="00D27703">
        <w:rPr>
          <w:rFonts w:asciiTheme="minorHAnsi" w:hAnsiTheme="minorHAnsi"/>
          <w:color w:val="000000"/>
        </w:rPr>
        <w:t>Chem. Res. 56 (2017) 9188–9201.</w:t>
      </w:r>
    </w:p>
    <w:p w:rsidR="00113CDF" w:rsidRPr="00043F23" w:rsidRDefault="00113CD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13CDF">
        <w:rPr>
          <w:rFonts w:asciiTheme="minorHAnsi" w:hAnsiTheme="minorHAnsi"/>
          <w:color w:val="000000"/>
          <w:lang w:val="it-IT"/>
        </w:rPr>
        <w:t xml:space="preserve">F. Salvatori, P. Binel, M. Mazzotti, </w:t>
      </w:r>
      <w:proofErr w:type="spellStart"/>
      <w:r w:rsidRPr="00113CDF">
        <w:rPr>
          <w:rFonts w:asciiTheme="minorHAnsi" w:hAnsiTheme="minorHAnsi"/>
          <w:color w:val="000000"/>
          <w:lang w:val="it-IT"/>
        </w:rPr>
        <w:t>Chem</w:t>
      </w:r>
      <w:proofErr w:type="spellEnd"/>
      <w:r w:rsidRPr="00113CDF">
        <w:rPr>
          <w:rFonts w:asciiTheme="minorHAnsi" w:hAnsiTheme="minorHAnsi"/>
          <w:color w:val="000000"/>
          <w:lang w:val="it-IT"/>
        </w:rPr>
        <w:t xml:space="preserve">. </w:t>
      </w:r>
      <w:proofErr w:type="spellStart"/>
      <w:r w:rsidRPr="00113CDF">
        <w:rPr>
          <w:rFonts w:asciiTheme="minorHAnsi" w:hAnsiTheme="minorHAnsi"/>
          <w:color w:val="000000"/>
          <w:lang w:val="it-IT"/>
        </w:rPr>
        <w:t>Eng</w:t>
      </w:r>
      <w:proofErr w:type="spellEnd"/>
      <w:r w:rsidRPr="00113CDF">
        <w:rPr>
          <w:rFonts w:asciiTheme="minorHAnsi" w:hAnsiTheme="minorHAnsi"/>
          <w:color w:val="000000"/>
          <w:lang w:val="it-IT"/>
        </w:rPr>
        <w:t xml:space="preserve">. Sci. </w:t>
      </w:r>
      <w:r w:rsidRPr="00043F23">
        <w:rPr>
          <w:rFonts w:asciiTheme="minorHAnsi" w:hAnsiTheme="minorHAnsi"/>
          <w:color w:val="000000"/>
        </w:rPr>
        <w:t>X, in press, DOI 10.1016/j.cesx.2018.100004</w:t>
      </w:r>
    </w:p>
    <w:p w:rsidR="00704BDF" w:rsidRPr="00C14C24" w:rsidRDefault="00D27703" w:rsidP="004F51A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val="it-IT" w:eastAsia="zh-CN"/>
        </w:rPr>
      </w:pPr>
      <w:r w:rsidRPr="00C14C24">
        <w:rPr>
          <w:rFonts w:asciiTheme="minorHAnsi" w:eastAsia="SimSun" w:hAnsiTheme="minorHAnsi"/>
          <w:lang w:eastAsia="zh-CN"/>
        </w:rPr>
        <w:t xml:space="preserve">A. K. Rajagopalan, J. Schneeberger, F. Salvatori, S. Bötschi, D. R. </w:t>
      </w:r>
      <w:proofErr w:type="spellStart"/>
      <w:r w:rsidRPr="00C14C24">
        <w:rPr>
          <w:rFonts w:asciiTheme="minorHAnsi" w:eastAsia="SimSun" w:hAnsiTheme="minorHAnsi"/>
          <w:lang w:eastAsia="zh-CN"/>
        </w:rPr>
        <w:t>Ochsenbein</w:t>
      </w:r>
      <w:proofErr w:type="spellEnd"/>
      <w:r w:rsidRPr="00C14C24">
        <w:rPr>
          <w:rFonts w:asciiTheme="minorHAnsi" w:eastAsia="SimSun" w:hAnsiTheme="minorHAnsi"/>
          <w:lang w:eastAsia="zh-CN"/>
        </w:rPr>
        <w:t xml:space="preserve">, M. R. Oswald, M. </w:t>
      </w:r>
      <w:proofErr w:type="spellStart"/>
      <w:r w:rsidRPr="00C14C24">
        <w:rPr>
          <w:rFonts w:asciiTheme="minorHAnsi" w:eastAsia="SimSun" w:hAnsiTheme="minorHAnsi"/>
          <w:lang w:eastAsia="zh-CN"/>
        </w:rPr>
        <w:t>Pollefeys</w:t>
      </w:r>
      <w:proofErr w:type="spellEnd"/>
      <w:r w:rsidRPr="00C14C24">
        <w:rPr>
          <w:rFonts w:asciiTheme="minorHAnsi" w:eastAsia="SimSun" w:hAnsiTheme="minorHAnsi"/>
          <w:lang w:eastAsia="zh-CN"/>
        </w:rPr>
        <w:t>, M. Mazzotti</w:t>
      </w:r>
      <w:r w:rsidR="00113CDF" w:rsidRPr="00C14C24">
        <w:rPr>
          <w:rFonts w:asciiTheme="minorHAnsi" w:eastAsia="SimSun" w:hAnsiTheme="minorHAnsi"/>
          <w:lang w:eastAsia="zh-CN"/>
        </w:rPr>
        <w:t>,</w:t>
      </w:r>
      <w:r w:rsidRPr="00C14C24">
        <w:rPr>
          <w:rFonts w:asciiTheme="minorHAnsi" w:eastAsia="SimSun" w:hAnsiTheme="minorHAnsi"/>
          <w:lang w:eastAsia="zh-CN"/>
        </w:rPr>
        <w:t xml:space="preserve"> Powder Technol</w:t>
      </w:r>
      <w:r w:rsidR="00E233A9" w:rsidRPr="00C14C24">
        <w:rPr>
          <w:rFonts w:asciiTheme="minorHAnsi" w:eastAsia="SimSun" w:hAnsiTheme="minorHAnsi"/>
          <w:lang w:eastAsia="zh-CN"/>
        </w:rPr>
        <w:t>.</w:t>
      </w:r>
      <w:r w:rsidRPr="00C14C24">
        <w:rPr>
          <w:rFonts w:asciiTheme="minorHAnsi" w:eastAsia="SimSun" w:hAnsiTheme="minorHAnsi"/>
          <w:lang w:eastAsia="zh-CN"/>
        </w:rPr>
        <w:t xml:space="preserve"> </w:t>
      </w:r>
      <w:r w:rsidRPr="00C14C24">
        <w:rPr>
          <w:rFonts w:asciiTheme="minorHAnsi" w:eastAsia="SimSun" w:hAnsiTheme="minorHAnsi"/>
          <w:lang w:val="it-IT" w:eastAsia="zh-CN"/>
        </w:rPr>
        <w:t>321 (2017) 479‒493</w:t>
      </w:r>
      <w:r w:rsidR="00D032AA" w:rsidRPr="00C14C24">
        <w:rPr>
          <w:rFonts w:asciiTheme="minorHAnsi" w:eastAsia="SimSun" w:hAnsiTheme="minorHAnsi"/>
          <w:lang w:val="it-IT" w:eastAsia="zh-CN"/>
        </w:rPr>
        <w:t>.</w:t>
      </w:r>
    </w:p>
    <w:p w:rsidR="00704BDF" w:rsidRPr="00E87FE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:rsidR="00704BDF" w:rsidRPr="00E87FE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:rsidR="004D1162" w:rsidRPr="00E87FE6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:rsidR="004D1162" w:rsidRPr="00E87FE6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:rsidR="004D1162" w:rsidRPr="00E87FE6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:rsidR="00704BDF" w:rsidRPr="00E87FE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:rsidR="00704BDF" w:rsidRPr="00E87FE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:rsidR="00704BDF" w:rsidRPr="00E87FE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:rsidR="00704BDF" w:rsidRPr="00E87FE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p w:rsidR="00704BDF" w:rsidRPr="00E87FE6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it-IT" w:eastAsia="zh-CN"/>
        </w:rPr>
      </w:pPr>
    </w:p>
    <w:sectPr w:rsidR="00704BDF" w:rsidRPr="00E87FE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90" w:rsidRDefault="001F6390" w:rsidP="004F5E36">
      <w:r>
        <w:separator/>
      </w:r>
    </w:p>
  </w:endnote>
  <w:endnote w:type="continuationSeparator" w:id="0">
    <w:p w:rsidR="001F6390" w:rsidRDefault="001F639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90" w:rsidRDefault="001F6390" w:rsidP="004F5E36">
      <w:r>
        <w:separator/>
      </w:r>
    </w:p>
  </w:footnote>
  <w:footnote w:type="continuationSeparator" w:id="0">
    <w:p w:rsidR="001F6390" w:rsidRDefault="001F639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8204B"/>
    <w:multiLevelType w:val="hybridMultilevel"/>
    <w:tmpl w:val="146E2B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FB42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3F23"/>
    <w:rsid w:val="00055BFF"/>
    <w:rsid w:val="00062A9A"/>
    <w:rsid w:val="000A03B2"/>
    <w:rsid w:val="000D34BE"/>
    <w:rsid w:val="000D55F3"/>
    <w:rsid w:val="000E36F1"/>
    <w:rsid w:val="000E3A73"/>
    <w:rsid w:val="000E414A"/>
    <w:rsid w:val="000F6552"/>
    <w:rsid w:val="000F7C4F"/>
    <w:rsid w:val="00113CDF"/>
    <w:rsid w:val="00120648"/>
    <w:rsid w:val="0013121F"/>
    <w:rsid w:val="00134DE4"/>
    <w:rsid w:val="00150E59"/>
    <w:rsid w:val="00183289"/>
    <w:rsid w:val="00184AD6"/>
    <w:rsid w:val="00193163"/>
    <w:rsid w:val="001B65C1"/>
    <w:rsid w:val="001C684B"/>
    <w:rsid w:val="001D53FC"/>
    <w:rsid w:val="001F2EC7"/>
    <w:rsid w:val="001F6390"/>
    <w:rsid w:val="002065DB"/>
    <w:rsid w:val="00232461"/>
    <w:rsid w:val="002447EF"/>
    <w:rsid w:val="00251550"/>
    <w:rsid w:val="00253193"/>
    <w:rsid w:val="00260A6D"/>
    <w:rsid w:val="0027221A"/>
    <w:rsid w:val="00275B61"/>
    <w:rsid w:val="002968E5"/>
    <w:rsid w:val="002D1F12"/>
    <w:rsid w:val="003009B7"/>
    <w:rsid w:val="0030469C"/>
    <w:rsid w:val="003723D4"/>
    <w:rsid w:val="003744B5"/>
    <w:rsid w:val="00386B67"/>
    <w:rsid w:val="00397C2B"/>
    <w:rsid w:val="003A7D1C"/>
    <w:rsid w:val="003D223F"/>
    <w:rsid w:val="004232EA"/>
    <w:rsid w:val="0046164A"/>
    <w:rsid w:val="00462DCD"/>
    <w:rsid w:val="004A2669"/>
    <w:rsid w:val="004B3A7F"/>
    <w:rsid w:val="004B48DE"/>
    <w:rsid w:val="004C1C62"/>
    <w:rsid w:val="004D1162"/>
    <w:rsid w:val="004E4DD6"/>
    <w:rsid w:val="004F5E36"/>
    <w:rsid w:val="005119A5"/>
    <w:rsid w:val="00517326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6D360E"/>
    <w:rsid w:val="006D39DC"/>
    <w:rsid w:val="00704BDF"/>
    <w:rsid w:val="00736B13"/>
    <w:rsid w:val="007447F3"/>
    <w:rsid w:val="00765C3A"/>
    <w:rsid w:val="007661C8"/>
    <w:rsid w:val="007937CE"/>
    <w:rsid w:val="007D52CD"/>
    <w:rsid w:val="0080240E"/>
    <w:rsid w:val="00813288"/>
    <w:rsid w:val="008168FC"/>
    <w:rsid w:val="0084266B"/>
    <w:rsid w:val="008479A2"/>
    <w:rsid w:val="00857B4E"/>
    <w:rsid w:val="0087637F"/>
    <w:rsid w:val="00881B3D"/>
    <w:rsid w:val="00891F30"/>
    <w:rsid w:val="008A1512"/>
    <w:rsid w:val="008D0BEB"/>
    <w:rsid w:val="008E566E"/>
    <w:rsid w:val="00901EB6"/>
    <w:rsid w:val="00934E86"/>
    <w:rsid w:val="009450CE"/>
    <w:rsid w:val="0095164B"/>
    <w:rsid w:val="00957FEC"/>
    <w:rsid w:val="00996483"/>
    <w:rsid w:val="009E788A"/>
    <w:rsid w:val="00A1763D"/>
    <w:rsid w:val="00A17CEC"/>
    <w:rsid w:val="00A27EF0"/>
    <w:rsid w:val="00A754A0"/>
    <w:rsid w:val="00A76EFC"/>
    <w:rsid w:val="00A9626B"/>
    <w:rsid w:val="00A97F29"/>
    <w:rsid w:val="00AB0964"/>
    <w:rsid w:val="00AE377D"/>
    <w:rsid w:val="00B02589"/>
    <w:rsid w:val="00B61DBF"/>
    <w:rsid w:val="00BC30C9"/>
    <w:rsid w:val="00BE3E58"/>
    <w:rsid w:val="00C01616"/>
    <w:rsid w:val="00C0162B"/>
    <w:rsid w:val="00C06EC1"/>
    <w:rsid w:val="00C14C24"/>
    <w:rsid w:val="00C345B1"/>
    <w:rsid w:val="00C40142"/>
    <w:rsid w:val="00C46A49"/>
    <w:rsid w:val="00C57182"/>
    <w:rsid w:val="00C655FD"/>
    <w:rsid w:val="00C81029"/>
    <w:rsid w:val="00C86044"/>
    <w:rsid w:val="00C867B1"/>
    <w:rsid w:val="00C94434"/>
    <w:rsid w:val="00CA1C95"/>
    <w:rsid w:val="00CA516A"/>
    <w:rsid w:val="00CA5A9C"/>
    <w:rsid w:val="00CD5FE2"/>
    <w:rsid w:val="00CF685D"/>
    <w:rsid w:val="00D02B4C"/>
    <w:rsid w:val="00D032AA"/>
    <w:rsid w:val="00D16EC5"/>
    <w:rsid w:val="00D27703"/>
    <w:rsid w:val="00D27715"/>
    <w:rsid w:val="00D84576"/>
    <w:rsid w:val="00DE0019"/>
    <w:rsid w:val="00DE264A"/>
    <w:rsid w:val="00E041E7"/>
    <w:rsid w:val="00E233A9"/>
    <w:rsid w:val="00E23CA1"/>
    <w:rsid w:val="00E409A8"/>
    <w:rsid w:val="00E6609E"/>
    <w:rsid w:val="00E7209D"/>
    <w:rsid w:val="00E87FE6"/>
    <w:rsid w:val="00EA50E1"/>
    <w:rsid w:val="00EE0131"/>
    <w:rsid w:val="00F24BD4"/>
    <w:rsid w:val="00F30C64"/>
    <w:rsid w:val="00F35E3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1F0C1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D2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FDED-31BE-4F97-BDFB-7674676C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Binel  Pietro</cp:lastModifiedBy>
  <cp:revision>35</cp:revision>
  <cp:lastPrinted>2015-05-12T18:31:00Z</cp:lastPrinted>
  <dcterms:created xsi:type="dcterms:W3CDTF">2018-05-26T08:49:00Z</dcterms:created>
  <dcterms:modified xsi:type="dcterms:W3CDTF">2019-01-15T17:28:00Z</dcterms:modified>
</cp:coreProperties>
</file>