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bookmarkStart w:id="0" w:name="_GoBack"/>
      <w:bookmarkEnd w:id="0"/>
    </w:p>
    <w:p w:rsidR="00704BDF" w:rsidRPr="000132D8" w:rsidRDefault="00EF6313" w:rsidP="00D86021">
      <w:pPr>
        <w:snapToGrid w:val="0"/>
        <w:spacing w:after="360" w:line="240" w:lineRule="auto"/>
        <w:jc w:val="center"/>
        <w:rPr>
          <w:rStyle w:val="fontstyle01"/>
          <w:rFonts w:asciiTheme="minorHAnsi" w:hAnsiTheme="minorHAnsi"/>
          <w:b/>
          <w:sz w:val="28"/>
          <w:szCs w:val="22"/>
          <w:lang w:val="en-US"/>
        </w:rPr>
      </w:pPr>
      <w:r w:rsidRPr="000132D8">
        <w:rPr>
          <w:rStyle w:val="fontstyle01"/>
          <w:rFonts w:asciiTheme="minorHAnsi" w:hAnsiTheme="minorHAnsi"/>
          <w:b/>
          <w:sz w:val="28"/>
          <w:szCs w:val="22"/>
          <w:lang w:val="en-US"/>
        </w:rPr>
        <w:t xml:space="preserve">Physiological Response of </w:t>
      </w:r>
      <w:r w:rsidRPr="000132D8">
        <w:rPr>
          <w:rStyle w:val="fontstyle01"/>
          <w:rFonts w:asciiTheme="minorHAnsi" w:hAnsiTheme="minorHAnsi"/>
          <w:b/>
          <w:i/>
          <w:sz w:val="28"/>
          <w:szCs w:val="22"/>
          <w:lang w:val="en-US"/>
        </w:rPr>
        <w:t>S. clavuligerus</w:t>
      </w:r>
      <w:r w:rsidR="00C7427F" w:rsidRPr="000132D8">
        <w:rPr>
          <w:rStyle w:val="fontstyle01"/>
          <w:rFonts w:asciiTheme="minorHAnsi" w:hAnsiTheme="minorHAnsi"/>
          <w:b/>
          <w:sz w:val="28"/>
          <w:szCs w:val="22"/>
          <w:lang w:val="en-US"/>
        </w:rPr>
        <w:t xml:space="preserve"> to shear forces</w:t>
      </w:r>
      <w:r w:rsidRPr="000132D8">
        <w:rPr>
          <w:rStyle w:val="fontstyle01"/>
          <w:rFonts w:asciiTheme="minorHAnsi" w:hAnsiTheme="minorHAnsi"/>
          <w:b/>
          <w:sz w:val="28"/>
          <w:szCs w:val="22"/>
          <w:lang w:val="en-US"/>
        </w:rPr>
        <w:t xml:space="preserve"> in 2-D Rocking </w:t>
      </w:r>
      <w:r w:rsidR="00C7427F" w:rsidRPr="000132D8">
        <w:rPr>
          <w:rStyle w:val="fontstyle01"/>
          <w:rFonts w:asciiTheme="minorHAnsi" w:hAnsiTheme="minorHAnsi"/>
          <w:b/>
          <w:sz w:val="28"/>
          <w:szCs w:val="22"/>
          <w:lang w:val="en-US"/>
        </w:rPr>
        <w:t>Motion</w:t>
      </w:r>
      <w:r w:rsidRPr="000132D8">
        <w:rPr>
          <w:rStyle w:val="fontstyle01"/>
          <w:rFonts w:asciiTheme="minorHAnsi" w:hAnsiTheme="minorHAnsi"/>
          <w:b/>
          <w:sz w:val="28"/>
          <w:szCs w:val="22"/>
          <w:lang w:val="en-US"/>
        </w:rPr>
        <w:t xml:space="preserve"> and Stirred Tank Bioreactors</w:t>
      </w:r>
    </w:p>
    <w:p w:rsidR="00EF6313" w:rsidRPr="000132D8" w:rsidRDefault="00EF6313" w:rsidP="00D86021">
      <w:pPr>
        <w:spacing w:line="240" w:lineRule="auto"/>
        <w:jc w:val="center"/>
        <w:rPr>
          <w:rFonts w:asciiTheme="minorHAnsi" w:hAnsiTheme="minorHAnsi"/>
          <w:sz w:val="24"/>
          <w:szCs w:val="24"/>
          <w:lang w:val="en-US"/>
        </w:rPr>
      </w:pPr>
      <w:r w:rsidRPr="000132D8">
        <w:rPr>
          <w:rFonts w:asciiTheme="minorHAnsi" w:hAnsiTheme="minorHAnsi"/>
          <w:sz w:val="24"/>
          <w:szCs w:val="24"/>
          <w:u w:val="single"/>
          <w:lang w:val="en-US"/>
        </w:rPr>
        <w:t>David Gómez-Ríos</w:t>
      </w:r>
      <w:r w:rsidRPr="000132D8">
        <w:rPr>
          <w:rFonts w:asciiTheme="minorHAnsi" w:hAnsiTheme="minorHAnsi"/>
          <w:sz w:val="24"/>
          <w:szCs w:val="24"/>
          <w:u w:val="single"/>
          <w:vertAlign w:val="superscript"/>
          <w:lang w:val="en-US"/>
        </w:rPr>
        <w:t>1</w:t>
      </w:r>
      <w:r w:rsidR="00CD044D">
        <w:rPr>
          <w:rFonts w:asciiTheme="minorHAnsi" w:hAnsiTheme="minorHAnsi"/>
          <w:sz w:val="24"/>
          <w:szCs w:val="24"/>
          <w:u w:val="single"/>
          <w:vertAlign w:val="superscript"/>
          <w:lang w:val="en-US"/>
        </w:rPr>
        <w:t>*</w:t>
      </w:r>
      <w:r w:rsidRPr="000132D8">
        <w:rPr>
          <w:rFonts w:asciiTheme="minorHAnsi" w:hAnsiTheme="minorHAnsi"/>
          <w:sz w:val="24"/>
          <w:szCs w:val="24"/>
          <w:lang w:val="en-US"/>
        </w:rPr>
        <w:t>, Howard Ramírez-Malule</w:t>
      </w:r>
      <w:r w:rsidRPr="000132D8">
        <w:rPr>
          <w:rFonts w:asciiTheme="minorHAnsi" w:hAnsiTheme="minorHAnsi"/>
          <w:sz w:val="24"/>
          <w:szCs w:val="24"/>
          <w:vertAlign w:val="superscript"/>
          <w:lang w:val="en-US"/>
        </w:rPr>
        <w:t>2</w:t>
      </w:r>
      <w:r w:rsidRPr="000132D8">
        <w:rPr>
          <w:rFonts w:asciiTheme="minorHAnsi" w:hAnsiTheme="minorHAnsi"/>
          <w:sz w:val="24"/>
          <w:szCs w:val="24"/>
          <w:lang w:val="en-US"/>
        </w:rPr>
        <w:t>, Peter Neubauer</w:t>
      </w:r>
      <w:r w:rsidRPr="000132D8">
        <w:rPr>
          <w:rFonts w:asciiTheme="minorHAnsi" w:hAnsiTheme="minorHAnsi"/>
          <w:sz w:val="24"/>
          <w:szCs w:val="24"/>
          <w:vertAlign w:val="superscript"/>
          <w:lang w:val="en-US"/>
        </w:rPr>
        <w:t>3</w:t>
      </w:r>
      <w:r w:rsidRPr="000132D8">
        <w:rPr>
          <w:rFonts w:asciiTheme="minorHAnsi" w:hAnsiTheme="minorHAnsi"/>
          <w:sz w:val="24"/>
          <w:szCs w:val="24"/>
          <w:lang w:val="en-US"/>
        </w:rPr>
        <w:t>, Stefan Junne</w:t>
      </w:r>
      <w:r w:rsidRPr="000132D8">
        <w:rPr>
          <w:rFonts w:asciiTheme="minorHAnsi" w:hAnsiTheme="minorHAnsi"/>
          <w:sz w:val="24"/>
          <w:szCs w:val="24"/>
          <w:vertAlign w:val="superscript"/>
          <w:lang w:val="en-US"/>
        </w:rPr>
        <w:t>3</w:t>
      </w:r>
      <w:r w:rsidRPr="000132D8">
        <w:rPr>
          <w:rFonts w:asciiTheme="minorHAnsi" w:hAnsiTheme="minorHAnsi"/>
          <w:sz w:val="24"/>
          <w:szCs w:val="24"/>
          <w:lang w:val="en-US"/>
        </w:rPr>
        <w:t xml:space="preserve">, Silvia Ochoa </w:t>
      </w:r>
      <w:r w:rsidRPr="000132D8">
        <w:rPr>
          <w:rFonts w:asciiTheme="minorHAnsi" w:hAnsiTheme="minorHAnsi"/>
          <w:sz w:val="24"/>
          <w:szCs w:val="24"/>
          <w:vertAlign w:val="superscript"/>
          <w:lang w:val="en-US"/>
        </w:rPr>
        <w:t>4</w:t>
      </w:r>
      <w:r w:rsidR="00396927">
        <w:rPr>
          <w:rFonts w:asciiTheme="minorHAnsi" w:hAnsiTheme="minorHAnsi"/>
          <w:sz w:val="24"/>
          <w:szCs w:val="24"/>
          <w:lang w:val="en-US"/>
        </w:rPr>
        <w:t>,</w:t>
      </w:r>
      <w:r w:rsidRPr="000132D8">
        <w:rPr>
          <w:rFonts w:asciiTheme="minorHAnsi" w:hAnsiTheme="minorHAnsi"/>
          <w:sz w:val="24"/>
          <w:szCs w:val="24"/>
          <w:lang w:val="en-US"/>
        </w:rPr>
        <w:t xml:space="preserve"> Rigoberto Ríos-Estepa</w:t>
      </w:r>
      <w:r w:rsidRPr="000132D8">
        <w:rPr>
          <w:rFonts w:asciiTheme="minorHAnsi" w:hAnsiTheme="minorHAnsi"/>
          <w:sz w:val="24"/>
          <w:szCs w:val="24"/>
          <w:vertAlign w:val="superscript"/>
          <w:lang w:val="en-US"/>
        </w:rPr>
        <w:t>1</w:t>
      </w:r>
    </w:p>
    <w:p w:rsidR="00EF6313" w:rsidRPr="000132D8" w:rsidRDefault="00EF6313" w:rsidP="00D86021">
      <w:pPr>
        <w:spacing w:before="240" w:after="240" w:line="240" w:lineRule="auto"/>
        <w:jc w:val="center"/>
        <w:rPr>
          <w:rFonts w:asciiTheme="minorHAnsi" w:hAnsiTheme="minorHAnsi"/>
          <w:i/>
          <w:sz w:val="20"/>
          <w:lang w:val="es-ES"/>
        </w:rPr>
      </w:pPr>
      <w:r w:rsidRPr="00155470">
        <w:rPr>
          <w:rFonts w:asciiTheme="minorHAnsi" w:eastAsia="MS PGothic" w:hAnsiTheme="minorHAnsi"/>
          <w:i/>
          <w:iCs/>
          <w:color w:val="000000"/>
          <w:sz w:val="20"/>
          <w:vertAlign w:val="superscript"/>
          <w:lang w:val="es-ES"/>
        </w:rPr>
        <w:t xml:space="preserve">1 </w:t>
      </w:r>
      <w:r w:rsidRPr="000132D8">
        <w:rPr>
          <w:rFonts w:asciiTheme="minorHAnsi" w:hAnsiTheme="minorHAnsi"/>
          <w:i/>
          <w:sz w:val="20"/>
          <w:lang w:val="es-ES"/>
        </w:rPr>
        <w:t xml:space="preserve">Grupo de Bioprocesos, Departamento de Ingeniería Química, Universidad de Antioquia (UdeA), Calle 70 No. 52-21, Medellín, Colombia; </w:t>
      </w:r>
      <w:r w:rsidRPr="00155470">
        <w:rPr>
          <w:rFonts w:asciiTheme="minorHAnsi" w:hAnsiTheme="minorHAnsi"/>
          <w:i/>
          <w:sz w:val="20"/>
          <w:vertAlign w:val="superscript"/>
          <w:lang w:val="es-ES"/>
        </w:rPr>
        <w:t>2</w:t>
      </w:r>
      <w:r w:rsidRPr="000132D8">
        <w:rPr>
          <w:rFonts w:asciiTheme="minorHAnsi" w:hAnsiTheme="minorHAnsi"/>
          <w:i/>
          <w:sz w:val="20"/>
          <w:lang w:val="es-ES"/>
        </w:rPr>
        <w:t xml:space="preserve"> Escuela de Ingeniería Química, Universidad del Valle, A.A. 25360 Cali, Colombia; </w:t>
      </w:r>
      <w:r w:rsidRPr="00155470">
        <w:rPr>
          <w:rFonts w:asciiTheme="minorHAnsi" w:hAnsiTheme="minorHAnsi"/>
          <w:i/>
          <w:sz w:val="20"/>
          <w:vertAlign w:val="superscript"/>
          <w:lang w:val="es-ES"/>
        </w:rPr>
        <w:t>3</w:t>
      </w:r>
      <w:r w:rsidRPr="000132D8">
        <w:rPr>
          <w:rFonts w:asciiTheme="minorHAnsi" w:hAnsiTheme="minorHAnsi"/>
          <w:i/>
          <w:sz w:val="20"/>
          <w:lang w:val="es-ES"/>
        </w:rPr>
        <w:t xml:space="preserve"> Chair of Bioprocess Engineering, Department of Biotechnology, Technische Universität Berlin, Ackerstr. </w:t>
      </w:r>
      <w:r w:rsidRPr="000132D8">
        <w:rPr>
          <w:rFonts w:asciiTheme="minorHAnsi" w:hAnsiTheme="minorHAnsi"/>
          <w:i/>
          <w:sz w:val="20"/>
          <w:lang w:val="es-CO"/>
        </w:rPr>
        <w:t xml:space="preserve">76, ACK 24, 13355 Berlin, Germany; </w:t>
      </w:r>
      <w:r w:rsidRPr="00155470">
        <w:rPr>
          <w:rFonts w:asciiTheme="minorHAnsi" w:hAnsiTheme="minorHAnsi"/>
          <w:i/>
          <w:sz w:val="20"/>
          <w:vertAlign w:val="superscript"/>
          <w:lang w:val="es-CO"/>
        </w:rPr>
        <w:t>4</w:t>
      </w:r>
      <w:r w:rsidRPr="000132D8">
        <w:rPr>
          <w:rFonts w:asciiTheme="minorHAnsi" w:hAnsiTheme="minorHAnsi"/>
          <w:i/>
          <w:sz w:val="20"/>
          <w:lang w:val="es-CO"/>
        </w:rPr>
        <w:t xml:space="preserve"> </w:t>
      </w:r>
      <w:r w:rsidRPr="000132D8">
        <w:rPr>
          <w:rFonts w:asciiTheme="minorHAnsi" w:hAnsiTheme="minorHAnsi"/>
          <w:i/>
          <w:sz w:val="20"/>
          <w:lang w:val="es-ES"/>
        </w:rPr>
        <w:t>Grupo de investigación en Simulación, Diseño, Control y Optimización de Procesos (SIDCOP), Departamento de Ingeniería Química, Universidad de Antioquia (UdeA), Calle 70 No. 52-21, Medellín, Colombia.</w:t>
      </w:r>
    </w:p>
    <w:p w:rsidR="00EF6313" w:rsidRPr="000132D8" w:rsidRDefault="00EF6313" w:rsidP="00D86021">
      <w:pPr>
        <w:snapToGrid w:val="0"/>
        <w:spacing w:line="240" w:lineRule="auto"/>
        <w:jc w:val="center"/>
        <w:rPr>
          <w:rFonts w:asciiTheme="minorHAnsi" w:eastAsia="MS PGothic" w:hAnsiTheme="minorHAnsi"/>
          <w:bCs/>
          <w:i/>
          <w:iCs/>
          <w:sz w:val="20"/>
          <w:lang w:val="en-US"/>
        </w:rPr>
      </w:pPr>
      <w:r w:rsidRPr="000132D8">
        <w:rPr>
          <w:rFonts w:asciiTheme="minorHAnsi" w:eastAsia="MS PGothic" w:hAnsiTheme="minorHAnsi"/>
          <w:bCs/>
          <w:i/>
          <w:iCs/>
          <w:color w:val="000000"/>
          <w:sz w:val="20"/>
          <w:lang w:val="en-US"/>
        </w:rPr>
        <w:t>*Corresponding author</w:t>
      </w:r>
      <w:r w:rsidRPr="000132D8">
        <w:rPr>
          <w:rFonts w:asciiTheme="minorHAnsi" w:eastAsia="MS PGothic" w:hAnsiTheme="minorHAnsi"/>
          <w:bCs/>
          <w:i/>
          <w:iCs/>
          <w:sz w:val="20"/>
          <w:lang w:val="en-US" w:eastAsia="ko-KR"/>
        </w:rPr>
        <w:t>:</w:t>
      </w:r>
      <w:r w:rsidRPr="000132D8">
        <w:rPr>
          <w:rFonts w:asciiTheme="minorHAnsi" w:eastAsia="MS PGothic" w:hAnsiTheme="minorHAnsi"/>
          <w:bCs/>
          <w:i/>
          <w:iCs/>
          <w:sz w:val="20"/>
          <w:lang w:val="en-US"/>
        </w:rPr>
        <w:t xml:space="preserve"> dandres.gomez@udea.edu.co</w:t>
      </w:r>
    </w:p>
    <w:p w:rsidR="00EF6313" w:rsidRPr="000132D8" w:rsidRDefault="00EF6313" w:rsidP="00D86021">
      <w:pPr>
        <w:pStyle w:val="AbstractHeading"/>
        <w:tabs>
          <w:tab w:val="left" w:pos="3547"/>
          <w:tab w:val="center" w:pos="4694"/>
        </w:tabs>
        <w:spacing w:before="240" w:after="0" w:line="240" w:lineRule="auto"/>
        <w:ind w:firstLine="357"/>
        <w:rPr>
          <w:rFonts w:asciiTheme="minorHAnsi" w:hAnsiTheme="minorHAnsi"/>
          <w:b/>
        </w:rPr>
      </w:pPr>
      <w:r w:rsidRPr="000132D8">
        <w:rPr>
          <w:rFonts w:asciiTheme="minorHAnsi" w:hAnsiTheme="minorHAnsi"/>
          <w:b/>
        </w:rPr>
        <w:t>Highlights</w:t>
      </w:r>
    </w:p>
    <w:p w:rsidR="00AD7B7A" w:rsidRDefault="00EF6313" w:rsidP="00D86021">
      <w:pPr>
        <w:pStyle w:val="AbstractBody"/>
        <w:numPr>
          <w:ilvl w:val="0"/>
          <w:numId w:val="16"/>
        </w:numPr>
        <w:spacing w:line="240" w:lineRule="auto"/>
        <w:rPr>
          <w:rFonts w:asciiTheme="minorHAnsi" w:hAnsiTheme="minorHAnsi"/>
        </w:rPr>
      </w:pPr>
      <w:r w:rsidRPr="000132D8">
        <w:rPr>
          <w:rFonts w:asciiTheme="minorHAnsi" w:hAnsiTheme="minorHAnsi"/>
        </w:rPr>
        <w:t xml:space="preserve">Low shear forces favor the preservation of macromorphology in </w:t>
      </w:r>
      <w:r w:rsidRPr="000132D8">
        <w:rPr>
          <w:rFonts w:asciiTheme="minorHAnsi" w:hAnsiTheme="minorHAnsi"/>
          <w:i/>
        </w:rPr>
        <w:t xml:space="preserve">S. </w:t>
      </w:r>
      <w:proofErr w:type="spellStart"/>
      <w:r w:rsidRPr="000132D8">
        <w:rPr>
          <w:rFonts w:asciiTheme="minorHAnsi" w:hAnsiTheme="minorHAnsi"/>
          <w:i/>
        </w:rPr>
        <w:t>clavuligerus</w:t>
      </w:r>
      <w:proofErr w:type="spellEnd"/>
      <w:r w:rsidRPr="000132D8">
        <w:rPr>
          <w:rFonts w:asciiTheme="minorHAnsi" w:hAnsiTheme="minorHAnsi"/>
          <w:i/>
        </w:rPr>
        <w:t>.</w:t>
      </w:r>
    </w:p>
    <w:p w:rsidR="00AD7B7A" w:rsidRDefault="00AD7B7A" w:rsidP="00D86021">
      <w:pPr>
        <w:pStyle w:val="AbstractBody"/>
        <w:numPr>
          <w:ilvl w:val="0"/>
          <w:numId w:val="16"/>
        </w:numPr>
        <w:spacing w:line="240" w:lineRule="auto"/>
        <w:rPr>
          <w:rFonts w:asciiTheme="minorHAnsi" w:hAnsiTheme="minorHAnsi"/>
        </w:rPr>
      </w:pPr>
      <w:r>
        <w:rPr>
          <w:rFonts w:asciiTheme="minorHAnsi" w:hAnsiTheme="minorHAnsi"/>
        </w:rPr>
        <w:t>High shear forces</w:t>
      </w:r>
      <w:r w:rsidRPr="000132D8">
        <w:rPr>
          <w:rFonts w:asciiTheme="minorHAnsi" w:hAnsiTheme="minorHAnsi"/>
        </w:rPr>
        <w:t xml:space="preserve"> </w:t>
      </w:r>
      <w:r>
        <w:rPr>
          <w:rFonts w:asciiTheme="minorHAnsi" w:hAnsiTheme="minorHAnsi"/>
        </w:rPr>
        <w:t xml:space="preserve">promote mycelia thinning and </w:t>
      </w:r>
      <w:r w:rsidRPr="000132D8">
        <w:rPr>
          <w:rFonts w:asciiTheme="minorHAnsi" w:hAnsiTheme="minorHAnsi"/>
        </w:rPr>
        <w:t>clavulanic acid accumulation.</w:t>
      </w:r>
    </w:p>
    <w:p w:rsidR="00EF6313" w:rsidRPr="00AD7B7A" w:rsidRDefault="00AD7B7A" w:rsidP="00D86021">
      <w:pPr>
        <w:pStyle w:val="AbstractBody"/>
        <w:numPr>
          <w:ilvl w:val="0"/>
          <w:numId w:val="16"/>
        </w:numPr>
        <w:spacing w:line="240" w:lineRule="auto"/>
        <w:rPr>
          <w:rFonts w:asciiTheme="minorHAnsi" w:hAnsiTheme="minorHAnsi"/>
        </w:rPr>
      </w:pPr>
      <w:r w:rsidRPr="00AD7B7A">
        <w:rPr>
          <w:rFonts w:asciiTheme="minorHAnsi" w:hAnsiTheme="minorHAnsi"/>
        </w:rPr>
        <w:t>Oxygen uptake</w:t>
      </w:r>
      <w:r w:rsidR="00D86021">
        <w:rPr>
          <w:rFonts w:asciiTheme="minorHAnsi" w:hAnsiTheme="minorHAnsi"/>
        </w:rPr>
        <w:t xml:space="preserve"> and clavulanic acid production are </w:t>
      </w:r>
      <w:r w:rsidRPr="00AD7B7A">
        <w:rPr>
          <w:rFonts w:asciiTheme="minorHAnsi" w:hAnsiTheme="minorHAnsi"/>
        </w:rPr>
        <w:t>affected by mycelia aggregation</w:t>
      </w:r>
    </w:p>
    <w:p w:rsidR="00AD7B7A" w:rsidRDefault="00AD7B7A" w:rsidP="00D86021">
      <w:pPr>
        <w:snapToGrid w:val="0"/>
        <w:spacing w:line="240" w:lineRule="auto"/>
        <w:rPr>
          <w:rFonts w:asciiTheme="minorHAnsi" w:eastAsia="MS PGothic" w:hAnsiTheme="minorHAnsi"/>
          <w:b/>
          <w:bCs/>
          <w:color w:val="000000"/>
          <w:sz w:val="22"/>
          <w:szCs w:val="22"/>
          <w:lang w:val="en-US"/>
        </w:rPr>
      </w:pPr>
    </w:p>
    <w:p w:rsidR="00EF6313" w:rsidRPr="000132D8" w:rsidRDefault="00EF6313" w:rsidP="00D86021">
      <w:pPr>
        <w:snapToGrid w:val="0"/>
        <w:spacing w:line="240" w:lineRule="auto"/>
        <w:rPr>
          <w:rFonts w:asciiTheme="minorHAnsi" w:eastAsia="MS PGothic" w:hAnsiTheme="minorHAnsi"/>
          <w:b/>
          <w:bCs/>
          <w:color w:val="000000"/>
          <w:sz w:val="22"/>
          <w:szCs w:val="22"/>
          <w:lang w:val="en-US" w:eastAsia="ko-KR"/>
        </w:rPr>
      </w:pPr>
      <w:r w:rsidRPr="000132D8">
        <w:rPr>
          <w:rFonts w:asciiTheme="minorHAnsi" w:eastAsia="MS PGothic" w:hAnsiTheme="minorHAnsi"/>
          <w:b/>
          <w:bCs/>
          <w:color w:val="000000"/>
          <w:sz w:val="22"/>
          <w:szCs w:val="22"/>
          <w:lang w:val="en-US"/>
        </w:rPr>
        <w:t>1. Introduction</w:t>
      </w:r>
    </w:p>
    <w:p w:rsidR="00EF6313" w:rsidRPr="000132D8" w:rsidRDefault="00EF6313" w:rsidP="00D86021">
      <w:pPr>
        <w:spacing w:after="240" w:line="240" w:lineRule="auto"/>
        <w:rPr>
          <w:rStyle w:val="fontstyle01"/>
          <w:rFonts w:asciiTheme="minorHAnsi" w:hAnsiTheme="minorHAnsi"/>
          <w:color w:val="auto"/>
          <w:sz w:val="22"/>
          <w:szCs w:val="22"/>
        </w:rPr>
      </w:pPr>
      <w:r w:rsidRPr="000132D8">
        <w:rPr>
          <w:rFonts w:asciiTheme="minorHAnsi" w:hAnsiTheme="minorHAnsi"/>
          <w:i/>
          <w:sz w:val="22"/>
          <w:szCs w:val="22"/>
          <w:shd w:val="clear" w:color="auto" w:fill="FFFFFF"/>
          <w:lang w:val="en-US"/>
        </w:rPr>
        <w:t>Streptomyces clavuligerus</w:t>
      </w:r>
      <w:r w:rsidRPr="000132D8">
        <w:rPr>
          <w:rFonts w:asciiTheme="minorHAnsi" w:hAnsiTheme="minorHAnsi"/>
          <w:sz w:val="22"/>
          <w:szCs w:val="22"/>
          <w:shd w:val="clear" w:color="auto" w:fill="FFFFFF"/>
          <w:lang w:val="en-US"/>
        </w:rPr>
        <w:t xml:space="preserve"> (</w:t>
      </w:r>
      <w:r w:rsidRPr="000132D8">
        <w:rPr>
          <w:rFonts w:asciiTheme="minorHAnsi" w:hAnsiTheme="minorHAnsi"/>
          <w:i/>
          <w:sz w:val="22"/>
          <w:szCs w:val="22"/>
          <w:shd w:val="clear" w:color="auto" w:fill="FFFFFF"/>
          <w:lang w:val="en-US"/>
        </w:rPr>
        <w:t>S. clavuligerus</w:t>
      </w:r>
      <w:r w:rsidRPr="000132D8">
        <w:rPr>
          <w:rFonts w:asciiTheme="minorHAnsi" w:hAnsiTheme="minorHAnsi"/>
          <w:sz w:val="22"/>
          <w:szCs w:val="22"/>
          <w:shd w:val="clear" w:color="auto" w:fill="FFFFFF"/>
          <w:lang w:val="en-US"/>
        </w:rPr>
        <w:t xml:space="preserve">) is a Gram-positive filamentous bacterium notable for producing clavulanic acid (CA), which is a potent </w:t>
      </w:r>
      <w:r w:rsidRPr="000132D8">
        <w:rPr>
          <w:rFonts w:asciiTheme="minorHAnsi" w:hAnsiTheme="minorHAnsi"/>
          <w:noProof/>
          <w:sz w:val="22"/>
          <w:szCs w:val="22"/>
          <w:lang w:val="en-US"/>
        </w:rPr>
        <w:t xml:space="preserve">inhibitor of β-lactamases enzymes that </w:t>
      </w:r>
      <w:r w:rsidRPr="000132D8">
        <w:rPr>
          <w:rFonts w:asciiTheme="minorHAnsi" w:hAnsiTheme="minorHAnsi"/>
          <w:sz w:val="22"/>
          <w:szCs w:val="22"/>
          <w:lang w:val="en-US"/>
        </w:rPr>
        <w:t xml:space="preserve">confer resistance to bacteria against β-lactam antibiotics. </w:t>
      </w:r>
      <w:r w:rsidRPr="000132D8">
        <w:rPr>
          <w:rStyle w:val="fontstyle01"/>
          <w:rFonts w:asciiTheme="minorHAnsi" w:hAnsiTheme="minorHAnsi"/>
          <w:sz w:val="22"/>
          <w:szCs w:val="22"/>
          <w:lang w:val="en-US"/>
        </w:rPr>
        <w:t xml:space="preserve">CA is traditionally produced in stirred tank reactors (STR); </w:t>
      </w:r>
      <w:r w:rsidRPr="000132D8">
        <w:rPr>
          <w:rFonts w:asciiTheme="minorHAnsi" w:hAnsiTheme="minorHAnsi"/>
          <w:sz w:val="22"/>
          <w:szCs w:val="22"/>
        </w:rPr>
        <w:t>nevertheless, the imp</w:t>
      </w:r>
      <w:r w:rsidR="00486B7F" w:rsidRPr="000132D8">
        <w:rPr>
          <w:rFonts w:asciiTheme="minorHAnsi" w:hAnsiTheme="minorHAnsi"/>
          <w:sz w:val="22"/>
          <w:szCs w:val="22"/>
        </w:rPr>
        <w:t>act of bioreactor geometry</w:t>
      </w:r>
      <w:r w:rsidRPr="000132D8">
        <w:rPr>
          <w:rFonts w:asciiTheme="minorHAnsi" w:hAnsiTheme="minorHAnsi"/>
          <w:sz w:val="22"/>
          <w:szCs w:val="22"/>
        </w:rPr>
        <w:t xml:space="preserve"> on cell performance and CA production has not been completely understood. </w:t>
      </w:r>
      <w:r w:rsidRPr="000132D8">
        <w:rPr>
          <w:rStyle w:val="fontstyle01"/>
          <w:rFonts w:asciiTheme="minorHAnsi" w:hAnsiTheme="minorHAnsi"/>
          <w:sz w:val="22"/>
          <w:szCs w:val="22"/>
          <w:lang w:val="en-US"/>
        </w:rPr>
        <w:t xml:space="preserve">The present study aims at performing a comparative analysis of the metabolic response of </w:t>
      </w:r>
      <w:r w:rsidRPr="000132D8">
        <w:rPr>
          <w:rStyle w:val="fontstyle01"/>
          <w:rFonts w:asciiTheme="minorHAnsi" w:hAnsiTheme="minorHAnsi"/>
          <w:i/>
          <w:sz w:val="22"/>
          <w:szCs w:val="22"/>
          <w:lang w:val="en-US"/>
        </w:rPr>
        <w:t>S. clavuligerus</w:t>
      </w:r>
      <w:r w:rsidRPr="000132D8">
        <w:rPr>
          <w:rStyle w:val="fontstyle01"/>
          <w:rFonts w:asciiTheme="minorHAnsi" w:hAnsiTheme="minorHAnsi"/>
          <w:sz w:val="22"/>
          <w:szCs w:val="22"/>
          <w:lang w:val="en-US"/>
        </w:rPr>
        <w:t xml:space="preserve"> to </w:t>
      </w:r>
      <w:r w:rsidR="00C7427F" w:rsidRPr="000132D8">
        <w:rPr>
          <w:rStyle w:val="fontstyle01"/>
          <w:rFonts w:asciiTheme="minorHAnsi" w:hAnsiTheme="minorHAnsi"/>
          <w:sz w:val="22"/>
          <w:szCs w:val="22"/>
          <w:lang w:val="en-US"/>
        </w:rPr>
        <w:t>low</w:t>
      </w:r>
      <w:r w:rsidRPr="000132D8">
        <w:rPr>
          <w:rStyle w:val="fontstyle01"/>
          <w:rFonts w:asciiTheme="minorHAnsi" w:hAnsiTheme="minorHAnsi"/>
          <w:sz w:val="22"/>
          <w:szCs w:val="22"/>
          <w:lang w:val="en-US"/>
        </w:rPr>
        <w:t xml:space="preserve"> shear stress </w:t>
      </w:r>
      <w:r w:rsidR="00C7427F" w:rsidRPr="000132D8">
        <w:rPr>
          <w:rStyle w:val="fontstyle01"/>
          <w:rFonts w:asciiTheme="minorHAnsi" w:hAnsiTheme="minorHAnsi"/>
          <w:sz w:val="22"/>
          <w:szCs w:val="22"/>
          <w:lang w:val="en-US"/>
        </w:rPr>
        <w:t>in</w:t>
      </w:r>
      <w:r w:rsidRPr="000132D8">
        <w:rPr>
          <w:rStyle w:val="fontstyle01"/>
          <w:rFonts w:asciiTheme="minorHAnsi" w:hAnsiTheme="minorHAnsi"/>
          <w:sz w:val="22"/>
          <w:szCs w:val="22"/>
          <w:lang w:val="en-US"/>
        </w:rPr>
        <w:t xml:space="preserve"> 2-D rocking-</w:t>
      </w:r>
      <w:r w:rsidR="00C7427F" w:rsidRPr="000132D8">
        <w:rPr>
          <w:rStyle w:val="fontstyle01"/>
          <w:rFonts w:asciiTheme="minorHAnsi" w:hAnsiTheme="minorHAnsi"/>
          <w:sz w:val="22"/>
          <w:szCs w:val="22"/>
          <w:lang w:val="en-US"/>
        </w:rPr>
        <w:t xml:space="preserve">motion </w:t>
      </w:r>
      <w:r w:rsidRPr="000132D8">
        <w:rPr>
          <w:rStyle w:val="fontstyle01"/>
          <w:rFonts w:asciiTheme="minorHAnsi" w:hAnsiTheme="minorHAnsi"/>
          <w:sz w:val="22"/>
          <w:szCs w:val="22"/>
          <w:lang w:val="en-US"/>
        </w:rPr>
        <w:t>single-use bioreactor and a</w:t>
      </w:r>
      <w:r w:rsidR="00C7427F" w:rsidRPr="000132D8">
        <w:rPr>
          <w:rStyle w:val="fontstyle01"/>
          <w:rFonts w:asciiTheme="minorHAnsi" w:hAnsiTheme="minorHAnsi"/>
          <w:sz w:val="22"/>
          <w:szCs w:val="22"/>
          <w:lang w:val="en-US"/>
        </w:rPr>
        <w:t>t high mechanical shear stress in</w:t>
      </w:r>
      <w:r w:rsidRPr="000132D8">
        <w:rPr>
          <w:rStyle w:val="fontstyle01"/>
          <w:rFonts w:asciiTheme="minorHAnsi" w:hAnsiTheme="minorHAnsi"/>
          <w:sz w:val="22"/>
          <w:szCs w:val="22"/>
          <w:lang w:val="en-US"/>
        </w:rPr>
        <w:t xml:space="preserve"> STR. </w:t>
      </w:r>
    </w:p>
    <w:p w:rsidR="00EF6313" w:rsidRPr="000132D8" w:rsidRDefault="00EF6313" w:rsidP="00D86021">
      <w:pPr>
        <w:snapToGrid w:val="0"/>
        <w:spacing w:line="240" w:lineRule="auto"/>
        <w:rPr>
          <w:rFonts w:asciiTheme="minorHAnsi" w:eastAsia="MS PGothic" w:hAnsiTheme="minorHAnsi"/>
          <w:color w:val="000000"/>
          <w:sz w:val="22"/>
          <w:szCs w:val="22"/>
          <w:lang w:val="en-US"/>
        </w:rPr>
      </w:pPr>
      <w:r w:rsidRPr="000132D8">
        <w:rPr>
          <w:rFonts w:asciiTheme="minorHAnsi" w:eastAsia="MS PGothic" w:hAnsiTheme="minorHAnsi"/>
          <w:b/>
          <w:bCs/>
          <w:color w:val="000000"/>
          <w:sz w:val="22"/>
          <w:szCs w:val="22"/>
          <w:lang w:val="en-US"/>
        </w:rPr>
        <w:t>2. Methods</w:t>
      </w:r>
    </w:p>
    <w:p w:rsidR="00EF6313" w:rsidRPr="000132D8" w:rsidRDefault="00EF6313" w:rsidP="00D86021">
      <w:pPr>
        <w:spacing w:line="240" w:lineRule="auto"/>
        <w:rPr>
          <w:rFonts w:asciiTheme="minorHAnsi" w:hAnsiTheme="minorHAnsi"/>
          <w:sz w:val="22"/>
          <w:szCs w:val="22"/>
          <w:lang w:val="en-US"/>
        </w:rPr>
      </w:pPr>
      <w:r w:rsidRPr="000132D8">
        <w:rPr>
          <w:rFonts w:asciiTheme="minorHAnsi" w:hAnsiTheme="minorHAnsi"/>
          <w:sz w:val="22"/>
          <w:szCs w:val="22"/>
          <w:lang w:val="en-US"/>
        </w:rPr>
        <w:t xml:space="preserve">Cultivations of </w:t>
      </w:r>
      <w:r w:rsidRPr="000132D8">
        <w:rPr>
          <w:rFonts w:asciiTheme="minorHAnsi" w:hAnsiTheme="minorHAnsi"/>
          <w:i/>
          <w:sz w:val="22"/>
          <w:szCs w:val="22"/>
          <w:lang w:val="en-US"/>
        </w:rPr>
        <w:t>S.</w:t>
      </w:r>
      <w:r w:rsidR="00C0593C" w:rsidRPr="000132D8">
        <w:rPr>
          <w:rFonts w:asciiTheme="minorHAnsi" w:hAnsiTheme="minorHAnsi"/>
          <w:i/>
          <w:sz w:val="22"/>
          <w:szCs w:val="22"/>
          <w:lang w:val="en-US"/>
        </w:rPr>
        <w:t xml:space="preserve"> </w:t>
      </w:r>
      <w:r w:rsidRPr="000132D8">
        <w:rPr>
          <w:rFonts w:asciiTheme="minorHAnsi" w:hAnsiTheme="minorHAnsi"/>
          <w:i/>
          <w:sz w:val="22"/>
          <w:szCs w:val="22"/>
          <w:lang w:val="en-US"/>
        </w:rPr>
        <w:t>clavuligerus</w:t>
      </w:r>
      <w:r w:rsidRPr="000132D8">
        <w:rPr>
          <w:rFonts w:asciiTheme="minorHAnsi" w:hAnsiTheme="minorHAnsi"/>
          <w:sz w:val="22"/>
          <w:szCs w:val="22"/>
          <w:lang w:val="en-US"/>
        </w:rPr>
        <w:t xml:space="preserve"> DSM 41826 in chemically defined media </w:t>
      </w:r>
      <w:r w:rsidRPr="000132D8">
        <w:rPr>
          <w:rFonts w:asciiTheme="minorHAnsi" w:hAnsiTheme="minorHAnsi"/>
          <w:sz w:val="22"/>
          <w:szCs w:val="22"/>
          <w:lang w:val="en-US"/>
        </w:rPr>
        <w:fldChar w:fldCharType="begin" w:fldLock="1"/>
      </w:r>
      <w:r w:rsidRPr="000132D8">
        <w:rPr>
          <w:rFonts w:asciiTheme="minorHAnsi" w:hAnsiTheme="minorHAnsi"/>
          <w:sz w:val="22"/>
          <w:szCs w:val="22"/>
          <w:lang w:val="en-US"/>
        </w:rPr>
        <w:instrText>ADDIN CSL_CITATION {"citationItems":[{"id":"ITEM-1","itemData":{"ISBN":"0025301888","author":[{"dropping-particle":"","family":"Ramirez-malule","given":"Howard","non-dropping-particle":"","parse-names":false,"suffix":""},{"dropping-particle":"","family":"Junne","given":"Stefan","non-dropping-particle":"","parse-names":false,"suffix":""},{"dropping-particle":"","family":"Cruz-bournazou","given":"Mariano Nicolás","non-dropping-particle":"","parse-names":false,"suffix":""},{"dropping-particle":"","family":"Neubauer","given":"Peter","non-dropping-particle":"","parse-names":false,"suffix":""}],"id":"ITEM-1","issued":{"date-parts":[["2018"]]},"publisher":"Applied Microbiology and Biotechnology","title":"Streptomyces clavuligerus shows a strong association between TCA cycle intermediate accumulation and clavulanic acid biosynthesis","type":"article-journal"},"uris":["http://www.mendeley.com/documents/?uuid=e061b902-3664-4d5e-808e-d3d2784a62a4"]}],"mendeley":{"formattedCitation":"[1]","plainTextFormattedCitation":"[1]","previouslyFormattedCitation":"[1]"},"properties":{"noteIndex":0},"schema":"https://github.com/citation-style-language/schema/raw/master/csl-citation.json"}</w:instrText>
      </w:r>
      <w:r w:rsidRPr="000132D8">
        <w:rPr>
          <w:rFonts w:asciiTheme="minorHAnsi" w:hAnsiTheme="minorHAnsi"/>
          <w:sz w:val="22"/>
          <w:szCs w:val="22"/>
          <w:lang w:val="en-US"/>
        </w:rPr>
        <w:fldChar w:fldCharType="separate"/>
      </w:r>
      <w:r w:rsidRPr="000132D8">
        <w:rPr>
          <w:rFonts w:asciiTheme="minorHAnsi" w:hAnsiTheme="minorHAnsi"/>
          <w:noProof/>
          <w:sz w:val="22"/>
          <w:szCs w:val="22"/>
          <w:lang w:val="en-US"/>
        </w:rPr>
        <w:t>[1]</w:t>
      </w:r>
      <w:r w:rsidRPr="000132D8">
        <w:rPr>
          <w:rFonts w:asciiTheme="minorHAnsi" w:hAnsiTheme="minorHAnsi"/>
          <w:sz w:val="22"/>
          <w:szCs w:val="22"/>
          <w:lang w:val="en-US"/>
        </w:rPr>
        <w:fldChar w:fldCharType="end"/>
      </w:r>
      <w:r w:rsidRPr="000132D8">
        <w:rPr>
          <w:rFonts w:asciiTheme="minorHAnsi" w:hAnsiTheme="minorHAnsi"/>
          <w:sz w:val="22"/>
          <w:szCs w:val="22"/>
          <w:lang w:val="en-US"/>
        </w:rPr>
        <w:t xml:space="preserve"> were </w:t>
      </w:r>
      <w:r w:rsidR="00C7427F" w:rsidRPr="000132D8">
        <w:rPr>
          <w:rFonts w:asciiTheme="minorHAnsi" w:hAnsiTheme="minorHAnsi"/>
          <w:sz w:val="22"/>
          <w:szCs w:val="22"/>
          <w:lang w:val="en-US"/>
        </w:rPr>
        <w:t>conducted</w:t>
      </w:r>
      <w:r w:rsidRPr="000132D8">
        <w:rPr>
          <w:rFonts w:asciiTheme="minorHAnsi" w:hAnsiTheme="minorHAnsi"/>
          <w:sz w:val="22"/>
          <w:szCs w:val="22"/>
          <w:lang w:val="en-US"/>
        </w:rPr>
        <w:t xml:space="preserve"> by duplicate </w:t>
      </w:r>
      <w:r w:rsidR="00C7427F" w:rsidRPr="000132D8">
        <w:rPr>
          <w:rFonts w:asciiTheme="minorHAnsi" w:hAnsiTheme="minorHAnsi"/>
          <w:sz w:val="22"/>
          <w:szCs w:val="22"/>
          <w:lang w:val="en-US"/>
        </w:rPr>
        <w:t xml:space="preserve">cultivations </w:t>
      </w:r>
      <w:r w:rsidRPr="000132D8">
        <w:rPr>
          <w:rFonts w:asciiTheme="minorHAnsi" w:hAnsiTheme="minorHAnsi"/>
          <w:sz w:val="22"/>
          <w:szCs w:val="22"/>
          <w:lang w:val="en-US"/>
        </w:rPr>
        <w:t xml:space="preserve">in a 15 L STR (Techfors S, </w:t>
      </w:r>
      <w:r w:rsidRPr="000132D8">
        <w:rPr>
          <w:rFonts w:asciiTheme="minorHAnsi" w:hAnsiTheme="minorHAnsi"/>
          <w:sz w:val="22"/>
          <w:szCs w:val="22"/>
          <w:shd w:val="clear" w:color="auto" w:fill="FFFFFF"/>
          <w:lang w:val="en-US"/>
        </w:rPr>
        <w:t xml:space="preserve">Infors AG, Bottmingen, Switzerland) </w:t>
      </w:r>
      <w:r w:rsidRPr="000132D8">
        <w:rPr>
          <w:rFonts w:asciiTheme="minorHAnsi" w:hAnsiTheme="minorHAnsi"/>
          <w:sz w:val="22"/>
          <w:szCs w:val="22"/>
          <w:lang w:val="en-US"/>
        </w:rPr>
        <w:t xml:space="preserve">and </w:t>
      </w:r>
      <w:r w:rsidR="00C7427F" w:rsidRPr="000132D8">
        <w:rPr>
          <w:rFonts w:asciiTheme="minorHAnsi" w:hAnsiTheme="minorHAnsi"/>
          <w:sz w:val="22"/>
          <w:szCs w:val="22"/>
          <w:lang w:val="en-US"/>
        </w:rPr>
        <w:t>in a 20</w:t>
      </w:r>
      <w:r w:rsidRPr="000132D8">
        <w:rPr>
          <w:rFonts w:asciiTheme="minorHAnsi" w:hAnsiTheme="minorHAnsi"/>
          <w:sz w:val="22"/>
          <w:szCs w:val="22"/>
          <w:lang w:val="en-US"/>
        </w:rPr>
        <w:t xml:space="preserve"> L </w:t>
      </w:r>
      <w:r w:rsidR="00C7427F" w:rsidRPr="000132D8">
        <w:rPr>
          <w:rFonts w:asciiTheme="minorHAnsi" w:hAnsiTheme="minorHAnsi"/>
          <w:sz w:val="22"/>
          <w:szCs w:val="22"/>
          <w:lang w:val="en-US"/>
        </w:rPr>
        <w:t>2-D rocking-motion single-use</w:t>
      </w:r>
      <w:r w:rsidRPr="000132D8">
        <w:rPr>
          <w:rFonts w:asciiTheme="minorHAnsi" w:hAnsiTheme="minorHAnsi"/>
          <w:sz w:val="22"/>
          <w:szCs w:val="22"/>
          <w:lang w:val="en-US"/>
        </w:rPr>
        <w:t xml:space="preserve"> bioreactor CELL-</w:t>
      </w:r>
      <w:proofErr w:type="spellStart"/>
      <w:r w:rsidRPr="000132D8">
        <w:rPr>
          <w:rFonts w:asciiTheme="minorHAnsi" w:hAnsiTheme="minorHAnsi"/>
          <w:sz w:val="22"/>
          <w:szCs w:val="22"/>
          <w:lang w:val="en-US"/>
        </w:rPr>
        <w:t>tainer</w:t>
      </w:r>
      <w:proofErr w:type="spellEnd"/>
      <w:r w:rsidRPr="000132D8">
        <w:rPr>
          <w:rFonts w:asciiTheme="minorHAnsi" w:hAnsiTheme="minorHAnsi"/>
          <w:sz w:val="22"/>
          <w:szCs w:val="22"/>
          <w:lang w:val="en-US"/>
        </w:rPr>
        <w:t xml:space="preserve">® (CT) </w:t>
      </w:r>
      <w:r w:rsidRPr="000132D8">
        <w:rPr>
          <w:rFonts w:asciiTheme="minorHAnsi" w:hAnsiTheme="minorHAnsi"/>
          <w:sz w:val="22"/>
          <w:szCs w:val="22"/>
          <w:shd w:val="clear" w:color="auto" w:fill="FFFFFF"/>
          <w:lang w:val="en-US"/>
        </w:rPr>
        <w:t>(CELL-</w:t>
      </w:r>
      <w:proofErr w:type="spellStart"/>
      <w:r w:rsidRPr="000132D8">
        <w:rPr>
          <w:rFonts w:asciiTheme="minorHAnsi" w:hAnsiTheme="minorHAnsi"/>
          <w:sz w:val="22"/>
          <w:szCs w:val="22"/>
          <w:shd w:val="clear" w:color="auto" w:fill="FFFFFF"/>
          <w:lang w:val="en-US"/>
        </w:rPr>
        <w:t>tainer</w:t>
      </w:r>
      <w:proofErr w:type="spellEnd"/>
      <w:r w:rsidRPr="000132D8">
        <w:rPr>
          <w:rFonts w:asciiTheme="minorHAnsi" w:hAnsiTheme="minorHAnsi"/>
          <w:sz w:val="22"/>
          <w:szCs w:val="22"/>
          <w:shd w:val="clear" w:color="auto" w:fill="FFFFFF"/>
          <w:lang w:val="en-US"/>
        </w:rPr>
        <w:t xml:space="preserve"> Biotech BV, </w:t>
      </w:r>
      <w:proofErr w:type="spellStart"/>
      <w:r w:rsidRPr="000132D8">
        <w:rPr>
          <w:rFonts w:asciiTheme="minorHAnsi" w:hAnsiTheme="minorHAnsi"/>
          <w:sz w:val="22"/>
          <w:szCs w:val="22"/>
          <w:shd w:val="clear" w:color="auto" w:fill="FFFFFF"/>
          <w:lang w:val="en-US"/>
        </w:rPr>
        <w:t>Winterswijk</w:t>
      </w:r>
      <w:proofErr w:type="spellEnd"/>
      <w:r w:rsidRPr="000132D8">
        <w:rPr>
          <w:rFonts w:asciiTheme="minorHAnsi" w:hAnsiTheme="minorHAnsi"/>
          <w:sz w:val="22"/>
          <w:szCs w:val="22"/>
          <w:shd w:val="clear" w:color="auto" w:fill="FFFFFF"/>
          <w:lang w:val="en-US"/>
        </w:rPr>
        <w:t>, The Netherlands). Cultivations were operated in b</w:t>
      </w:r>
      <w:r w:rsidRPr="000132D8">
        <w:rPr>
          <w:rFonts w:asciiTheme="minorHAnsi" w:hAnsiTheme="minorHAnsi"/>
          <w:sz w:val="22"/>
          <w:szCs w:val="22"/>
          <w:lang w:val="en-US"/>
        </w:rPr>
        <w:t>atch mode (5 L) during the first 37 h, followed by fed</w:t>
      </w:r>
      <w:r w:rsidR="00A01A77" w:rsidRPr="000132D8">
        <w:rPr>
          <w:rFonts w:asciiTheme="minorHAnsi" w:hAnsiTheme="minorHAnsi"/>
          <w:color w:val="FF0000"/>
          <w:sz w:val="22"/>
          <w:szCs w:val="22"/>
          <w:lang w:val="en-US"/>
        </w:rPr>
        <w:t>-</w:t>
      </w:r>
      <w:r w:rsidRPr="000132D8">
        <w:rPr>
          <w:rFonts w:asciiTheme="minorHAnsi" w:hAnsiTheme="minorHAnsi"/>
          <w:sz w:val="22"/>
          <w:szCs w:val="22"/>
          <w:lang w:val="en-US"/>
        </w:rPr>
        <w:t xml:space="preserve">batch operation (35 mL/h) during 77 h. Cell dry weight (CDW), CA and metabolites quantifications </w:t>
      </w:r>
      <w:r w:rsidR="00777BAF" w:rsidRPr="000132D8">
        <w:rPr>
          <w:rFonts w:asciiTheme="minorHAnsi" w:hAnsiTheme="minorHAnsi"/>
          <w:sz w:val="22"/>
          <w:szCs w:val="22"/>
          <w:lang w:val="en-US"/>
        </w:rPr>
        <w:t xml:space="preserve">were performed </w:t>
      </w:r>
      <w:r w:rsidRPr="000132D8">
        <w:rPr>
          <w:rFonts w:asciiTheme="minorHAnsi" w:hAnsiTheme="minorHAnsi"/>
          <w:sz w:val="22"/>
          <w:szCs w:val="22"/>
          <w:lang w:val="en-US"/>
        </w:rPr>
        <w:t xml:space="preserve">as described by Ramirez-Malule </w:t>
      </w:r>
      <w:r w:rsidRPr="000132D8">
        <w:rPr>
          <w:rFonts w:asciiTheme="minorHAnsi" w:hAnsiTheme="minorHAnsi"/>
          <w:sz w:val="22"/>
          <w:szCs w:val="22"/>
          <w:lang w:val="en-US"/>
        </w:rPr>
        <w:fldChar w:fldCharType="begin" w:fldLock="1"/>
      </w:r>
      <w:r w:rsidRPr="000132D8">
        <w:rPr>
          <w:rFonts w:asciiTheme="minorHAnsi" w:hAnsiTheme="minorHAnsi"/>
          <w:sz w:val="22"/>
          <w:szCs w:val="22"/>
          <w:lang w:val="en-US"/>
        </w:rPr>
        <w:instrText>ADDIN CSL_CITATION {"citationItems":[{"id":"ITEM-1","itemData":{"ISBN":"0025301888","author":[{"dropping-particle":"","family":"Ramirez-malule","given":"Howard","non-dropping-particle":"","parse-names":false,"suffix":""},{"dropping-particle":"","family":"Junne","given":"Stefan","non-dropping-particle":"","parse-names":false,"suffix":""},{"dropping-particle":"","family":"Cruz-bournazou","given":"Mariano Nicolás","non-dropping-particle":"","parse-names":false,"suffix":""},{"dropping-particle":"","family":"Neubauer","given":"Peter","non-dropping-particle":"","parse-names":false,"suffix":""}],"id":"ITEM-1","issued":{"date-parts":[["2018"]]},"publisher":"Applied Microbiology and Biotechnology","title":"Streptomyces clavuligerus shows a strong association between TCA cycle intermediate accumulation and clavulanic acid biosynthesis","type":"article-journal"},"uris":["http://www.mendeley.com/documents/?uuid=e061b902-3664-4d5e-808e-d3d2784a62a4"]}],"mendeley":{"formattedCitation":"[1]","plainTextFormattedCitation":"[1]","previouslyFormattedCitation":"[1]"},"properties":{"noteIndex":0},"schema":"https://github.com/citation-style-language/schema/raw/master/csl-citation.json"}</w:instrText>
      </w:r>
      <w:r w:rsidRPr="000132D8">
        <w:rPr>
          <w:rFonts w:asciiTheme="minorHAnsi" w:hAnsiTheme="minorHAnsi"/>
          <w:sz w:val="22"/>
          <w:szCs w:val="22"/>
          <w:lang w:val="en-US"/>
        </w:rPr>
        <w:fldChar w:fldCharType="separate"/>
      </w:r>
      <w:r w:rsidRPr="000132D8">
        <w:rPr>
          <w:rFonts w:asciiTheme="minorHAnsi" w:hAnsiTheme="minorHAnsi"/>
          <w:noProof/>
          <w:sz w:val="22"/>
          <w:szCs w:val="22"/>
          <w:lang w:val="en-US"/>
        </w:rPr>
        <w:t>[1]</w:t>
      </w:r>
      <w:r w:rsidRPr="000132D8">
        <w:rPr>
          <w:rFonts w:asciiTheme="minorHAnsi" w:hAnsiTheme="minorHAnsi"/>
          <w:sz w:val="22"/>
          <w:szCs w:val="22"/>
          <w:lang w:val="en-US"/>
        </w:rPr>
        <w:fldChar w:fldCharType="end"/>
      </w:r>
      <w:r w:rsidRPr="000132D8">
        <w:rPr>
          <w:rFonts w:asciiTheme="minorHAnsi" w:hAnsiTheme="minorHAnsi"/>
          <w:sz w:val="22"/>
          <w:szCs w:val="22"/>
          <w:lang w:val="en-US"/>
        </w:rPr>
        <w:t>. Mycelia samples were photographed in a Nikon Eclipse Ti2 inverted microscope (Nikon Instruments Inc., Amsterdam, The Netherlands) at 40x and further processed in ImageJ software (</w:t>
      </w:r>
      <w:r w:rsidRPr="000132D8">
        <w:rPr>
          <w:rFonts w:asciiTheme="minorHAnsi" w:hAnsiTheme="minorHAnsi"/>
          <w:color w:val="000000"/>
          <w:sz w:val="22"/>
          <w:szCs w:val="22"/>
          <w:shd w:val="clear" w:color="auto" w:fill="FFFFFF"/>
          <w:lang w:val="en-US"/>
        </w:rPr>
        <w:t>U.S. National Institutes of Health, Maryland, USA)</w:t>
      </w:r>
      <w:r w:rsidR="00C8357C">
        <w:rPr>
          <w:rFonts w:asciiTheme="minorHAnsi" w:hAnsiTheme="minorHAnsi"/>
          <w:color w:val="000000"/>
          <w:sz w:val="22"/>
          <w:szCs w:val="22"/>
          <w:shd w:val="clear" w:color="auto" w:fill="FFFFFF"/>
          <w:lang w:val="en-US"/>
        </w:rPr>
        <w:t>.</w:t>
      </w:r>
    </w:p>
    <w:p w:rsidR="00EF6313" w:rsidRPr="000132D8" w:rsidRDefault="00EF6313" w:rsidP="00D86021">
      <w:pPr>
        <w:snapToGrid w:val="0"/>
        <w:spacing w:before="240" w:line="240" w:lineRule="auto"/>
        <w:rPr>
          <w:rFonts w:asciiTheme="minorHAnsi" w:eastAsia="MS PGothic" w:hAnsiTheme="minorHAnsi"/>
          <w:b/>
          <w:bCs/>
          <w:color w:val="000000"/>
          <w:sz w:val="22"/>
          <w:szCs w:val="22"/>
          <w:lang w:val="en-US"/>
        </w:rPr>
      </w:pPr>
      <w:r w:rsidRPr="000132D8">
        <w:rPr>
          <w:rFonts w:asciiTheme="minorHAnsi" w:eastAsia="MS PGothic" w:hAnsiTheme="minorHAnsi"/>
          <w:b/>
          <w:bCs/>
          <w:color w:val="000000"/>
          <w:sz w:val="22"/>
          <w:szCs w:val="22"/>
          <w:lang w:val="en-US"/>
        </w:rPr>
        <w:t>3. Results and discussion</w:t>
      </w:r>
    </w:p>
    <w:p w:rsidR="00EF6313" w:rsidRPr="000132D8" w:rsidRDefault="00EF6313" w:rsidP="00D86021">
      <w:pPr>
        <w:spacing w:after="240" w:line="240" w:lineRule="auto"/>
        <w:rPr>
          <w:rFonts w:asciiTheme="minorHAnsi" w:hAnsiTheme="minorHAnsi"/>
          <w:sz w:val="22"/>
          <w:szCs w:val="22"/>
          <w:lang w:val="en-US"/>
        </w:rPr>
      </w:pPr>
      <w:bookmarkStart w:id="1" w:name="_Hlk534626123"/>
      <w:r w:rsidRPr="000132D8">
        <w:rPr>
          <w:rStyle w:val="fontstyle01"/>
          <w:rFonts w:asciiTheme="minorHAnsi" w:hAnsiTheme="minorHAnsi"/>
          <w:sz w:val="22"/>
          <w:szCs w:val="22"/>
          <w:lang w:val="en-US"/>
        </w:rPr>
        <w:t>In F</w:t>
      </w:r>
      <w:r w:rsidR="00F707A0" w:rsidRPr="000132D8">
        <w:rPr>
          <w:rStyle w:val="fontstyle01"/>
          <w:rFonts w:asciiTheme="minorHAnsi" w:hAnsiTheme="minorHAnsi"/>
          <w:sz w:val="22"/>
          <w:szCs w:val="22"/>
          <w:lang w:val="en-US"/>
        </w:rPr>
        <w:t xml:space="preserve">igure 1, </w:t>
      </w:r>
      <w:r w:rsidR="00C7427F" w:rsidRPr="000132D8">
        <w:rPr>
          <w:rStyle w:val="fontstyle01"/>
          <w:rFonts w:asciiTheme="minorHAnsi" w:hAnsiTheme="minorHAnsi"/>
          <w:sz w:val="22"/>
          <w:szCs w:val="22"/>
          <w:lang w:val="en-US"/>
        </w:rPr>
        <w:t>microscopy</w:t>
      </w:r>
      <w:r w:rsidRPr="000132D8">
        <w:rPr>
          <w:rStyle w:val="fontstyle01"/>
          <w:rFonts w:asciiTheme="minorHAnsi" w:hAnsiTheme="minorHAnsi"/>
          <w:sz w:val="22"/>
          <w:szCs w:val="22"/>
          <w:lang w:val="en-US"/>
        </w:rPr>
        <w:t xml:space="preserve"> images (Figures 1a-1</w:t>
      </w:r>
      <w:r w:rsidR="003D64F9">
        <w:rPr>
          <w:rStyle w:val="fontstyle01"/>
          <w:rFonts w:asciiTheme="minorHAnsi" w:hAnsiTheme="minorHAnsi"/>
          <w:sz w:val="22"/>
          <w:szCs w:val="22"/>
          <w:lang w:val="en-US"/>
        </w:rPr>
        <w:t>c</w:t>
      </w:r>
      <w:r w:rsidRPr="000132D8">
        <w:rPr>
          <w:rStyle w:val="fontstyle01"/>
          <w:rFonts w:asciiTheme="minorHAnsi" w:hAnsiTheme="minorHAnsi"/>
          <w:sz w:val="22"/>
          <w:szCs w:val="22"/>
          <w:lang w:val="en-US"/>
        </w:rPr>
        <w:t xml:space="preserve">) and biomass </w:t>
      </w:r>
      <w:r w:rsidR="00C7427F" w:rsidRPr="000132D8">
        <w:rPr>
          <w:rStyle w:val="fontstyle01"/>
          <w:rFonts w:asciiTheme="minorHAnsi" w:hAnsiTheme="minorHAnsi"/>
          <w:sz w:val="22"/>
          <w:szCs w:val="22"/>
          <w:lang w:val="en-US"/>
        </w:rPr>
        <w:t>concentration developments</w:t>
      </w:r>
      <w:r w:rsidRPr="000132D8">
        <w:rPr>
          <w:rStyle w:val="fontstyle01"/>
          <w:rFonts w:asciiTheme="minorHAnsi" w:hAnsiTheme="minorHAnsi"/>
          <w:sz w:val="22"/>
          <w:szCs w:val="22"/>
          <w:lang w:val="en-US"/>
        </w:rPr>
        <w:t xml:space="preserve"> of </w:t>
      </w:r>
      <w:r w:rsidRPr="000132D8">
        <w:rPr>
          <w:rStyle w:val="fontstyle01"/>
          <w:rFonts w:asciiTheme="minorHAnsi" w:hAnsiTheme="minorHAnsi"/>
          <w:i/>
          <w:sz w:val="22"/>
          <w:szCs w:val="22"/>
          <w:lang w:val="en-US"/>
        </w:rPr>
        <w:t xml:space="preserve">S. clavuligerus </w:t>
      </w:r>
      <w:r w:rsidRPr="000132D8">
        <w:rPr>
          <w:rStyle w:val="fontstyle01"/>
          <w:rFonts w:asciiTheme="minorHAnsi" w:hAnsiTheme="minorHAnsi"/>
          <w:sz w:val="22"/>
          <w:szCs w:val="22"/>
          <w:lang w:val="en-US"/>
        </w:rPr>
        <w:t>(Figure 1e) for the STR and CT cultivations</w:t>
      </w:r>
      <w:r w:rsidR="00F707A0" w:rsidRPr="000132D8">
        <w:rPr>
          <w:rStyle w:val="fontstyle01"/>
          <w:rFonts w:asciiTheme="minorHAnsi" w:hAnsiTheme="minorHAnsi"/>
          <w:sz w:val="22"/>
          <w:szCs w:val="22"/>
          <w:lang w:val="en-US"/>
        </w:rPr>
        <w:t xml:space="preserve"> are presented</w:t>
      </w:r>
      <w:r w:rsidRPr="000132D8">
        <w:rPr>
          <w:rStyle w:val="fontstyle01"/>
          <w:rFonts w:asciiTheme="minorHAnsi" w:hAnsiTheme="minorHAnsi"/>
          <w:sz w:val="22"/>
          <w:szCs w:val="22"/>
          <w:lang w:val="en-US"/>
        </w:rPr>
        <w:t>. In CT cultivations</w:t>
      </w:r>
      <w:r w:rsidR="00C7427F" w:rsidRPr="000132D8">
        <w:rPr>
          <w:rStyle w:val="fontstyle01"/>
          <w:rFonts w:asciiTheme="minorHAnsi" w:hAnsiTheme="minorHAnsi"/>
          <w:sz w:val="22"/>
          <w:szCs w:val="22"/>
          <w:lang w:val="en-US"/>
        </w:rPr>
        <w:t>,</w:t>
      </w:r>
      <w:r w:rsidRPr="000132D8">
        <w:rPr>
          <w:rStyle w:val="fontstyle01"/>
          <w:rFonts w:asciiTheme="minorHAnsi" w:hAnsiTheme="minorHAnsi"/>
          <w:sz w:val="22"/>
          <w:szCs w:val="22"/>
          <w:lang w:val="en-US"/>
        </w:rPr>
        <w:t xml:space="preserve"> the calculated specific growth rate (µ</w:t>
      </w:r>
      <w:r w:rsidRPr="000132D8">
        <w:rPr>
          <w:rStyle w:val="fontstyle01"/>
          <w:rFonts w:asciiTheme="minorHAnsi" w:hAnsiTheme="minorHAnsi"/>
          <w:sz w:val="22"/>
          <w:szCs w:val="22"/>
          <w:vertAlign w:val="subscript"/>
          <w:lang w:val="en-US"/>
        </w:rPr>
        <w:t>max</w:t>
      </w:r>
      <w:r w:rsidRPr="000132D8">
        <w:rPr>
          <w:rStyle w:val="fontstyle01"/>
          <w:rFonts w:asciiTheme="minorHAnsi" w:hAnsiTheme="minorHAnsi"/>
          <w:sz w:val="22"/>
          <w:szCs w:val="22"/>
          <w:lang w:val="en-US"/>
        </w:rPr>
        <w:t xml:space="preserve">) and maximum biomass concentration </w:t>
      </w:r>
      <w:r w:rsidR="00F707A0" w:rsidRPr="000132D8">
        <w:rPr>
          <w:rStyle w:val="fontstyle01"/>
          <w:rFonts w:asciiTheme="minorHAnsi" w:hAnsiTheme="minorHAnsi"/>
          <w:sz w:val="22"/>
          <w:szCs w:val="22"/>
          <w:lang w:val="en-US"/>
        </w:rPr>
        <w:t>were 0.068 h</w:t>
      </w:r>
      <w:r w:rsidR="00F707A0" w:rsidRPr="000132D8">
        <w:rPr>
          <w:rStyle w:val="fontstyle01"/>
          <w:rFonts w:asciiTheme="minorHAnsi" w:hAnsiTheme="minorHAnsi"/>
          <w:sz w:val="22"/>
          <w:szCs w:val="22"/>
          <w:vertAlign w:val="superscript"/>
          <w:lang w:val="en-US"/>
        </w:rPr>
        <w:t>-1</w:t>
      </w:r>
      <w:r w:rsidRPr="000132D8">
        <w:rPr>
          <w:rStyle w:val="fontstyle01"/>
          <w:rFonts w:asciiTheme="minorHAnsi" w:hAnsiTheme="minorHAnsi"/>
          <w:sz w:val="22"/>
          <w:szCs w:val="22"/>
          <w:lang w:val="en-US"/>
        </w:rPr>
        <w:t xml:space="preserve"> </w:t>
      </w:r>
      <w:r w:rsidR="00F707A0" w:rsidRPr="000132D8">
        <w:rPr>
          <w:rStyle w:val="fontstyle01"/>
          <w:rFonts w:asciiTheme="minorHAnsi" w:hAnsiTheme="minorHAnsi"/>
          <w:sz w:val="22"/>
          <w:szCs w:val="22"/>
          <w:lang w:val="en-US"/>
        </w:rPr>
        <w:t xml:space="preserve">and </w:t>
      </w:r>
      <w:r w:rsidRPr="000132D8">
        <w:rPr>
          <w:rStyle w:val="fontstyle01"/>
          <w:rFonts w:asciiTheme="minorHAnsi" w:hAnsiTheme="minorHAnsi"/>
          <w:sz w:val="22"/>
          <w:szCs w:val="22"/>
          <w:lang w:val="en-US"/>
        </w:rPr>
        <w:t>10 g/L</w:t>
      </w:r>
      <w:r w:rsidR="00F707A0" w:rsidRPr="000132D8">
        <w:rPr>
          <w:rStyle w:val="fontstyle01"/>
          <w:rFonts w:asciiTheme="minorHAnsi" w:hAnsiTheme="minorHAnsi"/>
          <w:sz w:val="22"/>
          <w:szCs w:val="22"/>
          <w:lang w:val="en-US"/>
        </w:rPr>
        <w:t>, respectively</w:t>
      </w:r>
      <w:r w:rsidRPr="000132D8">
        <w:rPr>
          <w:rStyle w:val="fontstyle01"/>
          <w:rFonts w:asciiTheme="minorHAnsi" w:hAnsiTheme="minorHAnsi"/>
          <w:sz w:val="22"/>
          <w:szCs w:val="22"/>
          <w:lang w:val="en-US"/>
        </w:rPr>
        <w:t xml:space="preserve">. </w:t>
      </w:r>
      <w:r w:rsidR="00C7427F" w:rsidRPr="000132D8">
        <w:rPr>
          <w:rStyle w:val="fontstyle01"/>
          <w:rFonts w:asciiTheme="minorHAnsi" w:hAnsiTheme="minorHAnsi"/>
          <w:sz w:val="22"/>
          <w:szCs w:val="22"/>
          <w:lang w:val="en-US"/>
        </w:rPr>
        <w:t>A similar</w:t>
      </w:r>
      <w:r w:rsidRPr="000132D8">
        <w:rPr>
          <w:rStyle w:val="fontstyle01"/>
          <w:rFonts w:asciiTheme="minorHAnsi" w:hAnsiTheme="minorHAnsi"/>
          <w:sz w:val="22"/>
          <w:szCs w:val="22"/>
          <w:lang w:val="en-US"/>
        </w:rPr>
        <w:t xml:space="preserve"> µ</w:t>
      </w:r>
      <w:r w:rsidRPr="000132D8">
        <w:rPr>
          <w:rStyle w:val="fontstyle01"/>
          <w:rFonts w:asciiTheme="minorHAnsi" w:hAnsiTheme="minorHAnsi"/>
          <w:sz w:val="22"/>
          <w:szCs w:val="22"/>
          <w:vertAlign w:val="subscript"/>
          <w:lang w:val="en-US"/>
        </w:rPr>
        <w:t>max</w:t>
      </w:r>
      <w:r w:rsidRPr="000132D8">
        <w:rPr>
          <w:rStyle w:val="fontstyle01"/>
          <w:rFonts w:asciiTheme="minorHAnsi" w:hAnsiTheme="minorHAnsi"/>
          <w:sz w:val="22"/>
          <w:szCs w:val="22"/>
          <w:lang w:val="en-US"/>
        </w:rPr>
        <w:t xml:space="preserve"> (0.069 h</w:t>
      </w:r>
      <w:r w:rsidRPr="000132D8">
        <w:rPr>
          <w:rStyle w:val="fontstyle01"/>
          <w:rFonts w:asciiTheme="minorHAnsi" w:hAnsiTheme="minorHAnsi"/>
          <w:sz w:val="22"/>
          <w:szCs w:val="22"/>
          <w:vertAlign w:val="superscript"/>
          <w:lang w:val="en-US"/>
        </w:rPr>
        <w:t>-1</w:t>
      </w:r>
      <w:r w:rsidRPr="000132D8">
        <w:rPr>
          <w:rStyle w:val="fontstyle01"/>
          <w:rFonts w:asciiTheme="minorHAnsi" w:hAnsiTheme="minorHAnsi"/>
          <w:sz w:val="22"/>
          <w:szCs w:val="22"/>
          <w:lang w:val="en-US"/>
        </w:rPr>
        <w:t>)</w:t>
      </w:r>
      <w:r w:rsidR="00C7427F" w:rsidRPr="000132D8">
        <w:rPr>
          <w:rStyle w:val="fontstyle01"/>
          <w:rFonts w:asciiTheme="minorHAnsi" w:hAnsiTheme="minorHAnsi"/>
          <w:sz w:val="22"/>
          <w:szCs w:val="22"/>
          <w:lang w:val="en-US"/>
        </w:rPr>
        <w:t>,</w:t>
      </w:r>
      <w:r w:rsidR="00F707A0" w:rsidRPr="000132D8">
        <w:rPr>
          <w:rStyle w:val="fontstyle01"/>
          <w:rFonts w:asciiTheme="minorHAnsi" w:hAnsiTheme="minorHAnsi"/>
          <w:sz w:val="22"/>
          <w:szCs w:val="22"/>
          <w:lang w:val="en-US"/>
        </w:rPr>
        <w:t xml:space="preserve"> </w:t>
      </w:r>
      <w:r w:rsidR="00C7427F" w:rsidRPr="000132D8">
        <w:rPr>
          <w:rStyle w:val="fontstyle01"/>
          <w:rFonts w:asciiTheme="minorHAnsi" w:hAnsiTheme="minorHAnsi"/>
          <w:sz w:val="22"/>
          <w:szCs w:val="22"/>
          <w:lang w:val="en-US"/>
        </w:rPr>
        <w:t>but</w:t>
      </w:r>
      <w:r w:rsidR="00F707A0" w:rsidRPr="000132D8">
        <w:rPr>
          <w:rStyle w:val="fontstyle01"/>
          <w:rFonts w:asciiTheme="minorHAnsi" w:hAnsiTheme="minorHAnsi"/>
          <w:sz w:val="22"/>
          <w:szCs w:val="22"/>
          <w:lang w:val="en-US"/>
        </w:rPr>
        <w:t xml:space="preserve"> </w:t>
      </w:r>
      <w:r w:rsidR="00C7427F" w:rsidRPr="000132D8">
        <w:rPr>
          <w:rStyle w:val="fontstyle01"/>
          <w:rFonts w:asciiTheme="minorHAnsi" w:hAnsiTheme="minorHAnsi"/>
          <w:sz w:val="22"/>
          <w:szCs w:val="22"/>
          <w:lang w:val="en-US"/>
        </w:rPr>
        <w:t xml:space="preserve">higher </w:t>
      </w:r>
      <w:r w:rsidR="00F707A0" w:rsidRPr="000132D8">
        <w:rPr>
          <w:rStyle w:val="fontstyle01"/>
          <w:rFonts w:asciiTheme="minorHAnsi" w:hAnsiTheme="minorHAnsi"/>
          <w:sz w:val="22"/>
          <w:szCs w:val="22"/>
          <w:lang w:val="en-US"/>
        </w:rPr>
        <w:t xml:space="preserve">maximum </w:t>
      </w:r>
      <w:r w:rsidRPr="000132D8">
        <w:rPr>
          <w:rStyle w:val="fontstyle01"/>
          <w:rFonts w:asciiTheme="minorHAnsi" w:hAnsiTheme="minorHAnsi"/>
          <w:sz w:val="22"/>
          <w:szCs w:val="22"/>
          <w:lang w:val="en-US"/>
        </w:rPr>
        <w:t xml:space="preserve">biomass concentration </w:t>
      </w:r>
      <w:r w:rsidR="00F707A0" w:rsidRPr="000132D8">
        <w:rPr>
          <w:rStyle w:val="fontstyle01"/>
          <w:rFonts w:asciiTheme="minorHAnsi" w:hAnsiTheme="minorHAnsi"/>
          <w:sz w:val="22"/>
          <w:szCs w:val="22"/>
          <w:lang w:val="en-US"/>
        </w:rPr>
        <w:t>(</w:t>
      </w:r>
      <w:r w:rsidRPr="000132D8">
        <w:rPr>
          <w:rStyle w:val="fontstyle01"/>
          <w:rFonts w:asciiTheme="minorHAnsi" w:hAnsiTheme="minorHAnsi"/>
          <w:sz w:val="22"/>
          <w:szCs w:val="22"/>
          <w:lang w:val="en-US"/>
        </w:rPr>
        <w:t>14.5 g/L</w:t>
      </w:r>
      <w:r w:rsidR="00F707A0" w:rsidRPr="000132D8">
        <w:rPr>
          <w:rStyle w:val="fontstyle01"/>
          <w:rFonts w:asciiTheme="minorHAnsi" w:hAnsiTheme="minorHAnsi"/>
          <w:sz w:val="22"/>
          <w:szCs w:val="22"/>
          <w:lang w:val="en-US"/>
        </w:rPr>
        <w:t>) were obtained in STR</w:t>
      </w:r>
      <w:r w:rsidR="00C7427F" w:rsidRPr="000132D8">
        <w:rPr>
          <w:rStyle w:val="fontstyle01"/>
          <w:rFonts w:asciiTheme="minorHAnsi" w:hAnsiTheme="minorHAnsi"/>
          <w:sz w:val="22"/>
          <w:szCs w:val="22"/>
          <w:lang w:val="en-US"/>
        </w:rPr>
        <w:t xml:space="preserve"> cultivations</w:t>
      </w:r>
      <w:r w:rsidRPr="000132D8">
        <w:rPr>
          <w:rStyle w:val="fontstyle01"/>
          <w:rFonts w:asciiTheme="minorHAnsi" w:hAnsiTheme="minorHAnsi"/>
          <w:sz w:val="22"/>
          <w:szCs w:val="22"/>
          <w:lang w:val="en-US"/>
        </w:rPr>
        <w:t xml:space="preserve">. </w:t>
      </w:r>
      <w:r w:rsidR="00C7427F" w:rsidRPr="000132D8">
        <w:rPr>
          <w:rFonts w:asciiTheme="minorHAnsi" w:hAnsiTheme="minorHAnsi" w:cstheme="minorHAnsi"/>
          <w:sz w:val="22"/>
          <w:szCs w:val="22"/>
          <w:lang w:val="en-US"/>
        </w:rPr>
        <w:t>T</w:t>
      </w:r>
      <w:r w:rsidRPr="000132D8">
        <w:rPr>
          <w:rFonts w:asciiTheme="minorHAnsi" w:hAnsiTheme="minorHAnsi" w:cstheme="minorHAnsi"/>
          <w:sz w:val="22"/>
          <w:szCs w:val="22"/>
          <w:lang w:val="en-US"/>
        </w:rPr>
        <w:t xml:space="preserve">he increase of </w:t>
      </w:r>
      <w:r w:rsidR="000D5E0D" w:rsidRPr="000132D8">
        <w:rPr>
          <w:rFonts w:asciiTheme="minorHAnsi" w:hAnsiTheme="minorHAnsi" w:cstheme="minorHAnsi"/>
          <w:sz w:val="22"/>
          <w:szCs w:val="22"/>
          <w:lang w:val="en-US"/>
        </w:rPr>
        <w:t xml:space="preserve">agitation rate from 300 to 500 rpm in STR </w:t>
      </w:r>
      <w:r w:rsidRPr="000132D8">
        <w:rPr>
          <w:rFonts w:asciiTheme="minorHAnsi" w:hAnsiTheme="minorHAnsi" w:cstheme="minorHAnsi"/>
          <w:sz w:val="22"/>
          <w:szCs w:val="22"/>
          <w:lang w:val="en-US"/>
        </w:rPr>
        <w:t xml:space="preserve">caused </w:t>
      </w:r>
      <w:r w:rsidR="00C7427F" w:rsidRPr="000132D8">
        <w:rPr>
          <w:rFonts w:asciiTheme="minorHAnsi" w:hAnsiTheme="minorHAnsi" w:cstheme="minorHAnsi"/>
          <w:sz w:val="22"/>
          <w:szCs w:val="22"/>
          <w:lang w:val="en-US"/>
        </w:rPr>
        <w:t xml:space="preserve">a </w:t>
      </w:r>
      <w:r w:rsidRPr="000132D8">
        <w:rPr>
          <w:rFonts w:asciiTheme="minorHAnsi" w:hAnsiTheme="minorHAnsi"/>
          <w:sz w:val="22"/>
          <w:szCs w:val="22"/>
          <w:lang w:val="en-US"/>
        </w:rPr>
        <w:t xml:space="preserve">decrease in mycelia thickness of 22.5% </w:t>
      </w:r>
      <w:r w:rsidR="00C7427F" w:rsidRPr="000132D8">
        <w:rPr>
          <w:rFonts w:asciiTheme="minorHAnsi" w:hAnsiTheme="minorHAnsi"/>
          <w:sz w:val="22"/>
          <w:szCs w:val="22"/>
          <w:lang w:val="en-US"/>
        </w:rPr>
        <w:t>during</w:t>
      </w:r>
      <w:r w:rsidRPr="000132D8">
        <w:rPr>
          <w:rFonts w:asciiTheme="minorHAnsi" w:hAnsiTheme="minorHAnsi"/>
          <w:sz w:val="22"/>
          <w:szCs w:val="22"/>
          <w:lang w:val="en-US"/>
        </w:rPr>
        <w:t xml:space="preserve"> the cultivation time (Figure 1e)</w:t>
      </w:r>
      <w:r w:rsidR="000D5E0D" w:rsidRPr="000132D8">
        <w:rPr>
          <w:rFonts w:asciiTheme="minorHAnsi" w:hAnsiTheme="minorHAnsi"/>
          <w:sz w:val="22"/>
          <w:szCs w:val="22"/>
          <w:lang w:val="en-US"/>
        </w:rPr>
        <w:t xml:space="preserve"> as consequence of </w:t>
      </w:r>
      <w:r w:rsidR="000D5E0D" w:rsidRPr="000132D8">
        <w:rPr>
          <w:rFonts w:asciiTheme="minorHAnsi" w:hAnsiTheme="minorHAnsi"/>
          <w:sz w:val="22"/>
          <w:szCs w:val="22"/>
          <w:lang w:val="en-US"/>
        </w:rPr>
        <w:lastRenderedPageBreak/>
        <w:t>high shear forces</w:t>
      </w:r>
      <w:r w:rsidRPr="000132D8">
        <w:rPr>
          <w:rFonts w:asciiTheme="minorHAnsi" w:hAnsiTheme="minorHAnsi"/>
          <w:sz w:val="22"/>
          <w:szCs w:val="22"/>
          <w:lang w:val="en-US"/>
        </w:rPr>
        <w:t xml:space="preserve">. In contrast, the lower </w:t>
      </w:r>
      <w:r w:rsidR="007272FB" w:rsidRPr="000132D8">
        <w:rPr>
          <w:rFonts w:asciiTheme="minorHAnsi" w:hAnsiTheme="minorHAnsi"/>
          <w:sz w:val="22"/>
          <w:szCs w:val="22"/>
          <w:lang w:val="en-US"/>
        </w:rPr>
        <w:t xml:space="preserve">shear forces </w:t>
      </w:r>
      <w:r w:rsidRPr="000132D8">
        <w:rPr>
          <w:rFonts w:asciiTheme="minorHAnsi" w:hAnsiTheme="minorHAnsi"/>
          <w:sz w:val="22"/>
          <w:szCs w:val="22"/>
          <w:lang w:val="en-US"/>
        </w:rPr>
        <w:t xml:space="preserve">in CT reactor did not </w:t>
      </w:r>
      <w:r w:rsidR="003D64F9">
        <w:rPr>
          <w:rFonts w:asciiTheme="minorHAnsi" w:hAnsiTheme="minorHAnsi"/>
          <w:sz w:val="22"/>
          <w:szCs w:val="22"/>
          <w:lang w:val="en-US"/>
        </w:rPr>
        <w:t>cause</w:t>
      </w:r>
      <w:r w:rsidRPr="000132D8">
        <w:rPr>
          <w:rFonts w:asciiTheme="minorHAnsi" w:hAnsiTheme="minorHAnsi"/>
          <w:sz w:val="22"/>
          <w:szCs w:val="22"/>
          <w:lang w:val="en-US"/>
        </w:rPr>
        <w:t xml:space="preserve"> hyphal fragmentation</w:t>
      </w:r>
      <w:r w:rsidR="007272FB" w:rsidRPr="000132D8">
        <w:rPr>
          <w:rFonts w:asciiTheme="minorHAnsi" w:hAnsiTheme="minorHAnsi"/>
          <w:sz w:val="22"/>
          <w:szCs w:val="22"/>
          <w:lang w:val="en-US"/>
        </w:rPr>
        <w:t xml:space="preserve"> </w:t>
      </w:r>
      <w:r w:rsidR="003D64F9">
        <w:rPr>
          <w:rFonts w:asciiTheme="minorHAnsi" w:hAnsiTheme="minorHAnsi"/>
          <w:sz w:val="22"/>
          <w:szCs w:val="22"/>
          <w:lang w:val="en-US"/>
        </w:rPr>
        <w:t xml:space="preserve">leading to </w:t>
      </w:r>
      <w:r w:rsidRPr="000132D8">
        <w:rPr>
          <w:rFonts w:asciiTheme="minorHAnsi" w:hAnsiTheme="minorHAnsi"/>
          <w:sz w:val="22"/>
          <w:szCs w:val="22"/>
          <w:lang w:val="en-US"/>
        </w:rPr>
        <w:t>more aggregated and thicker mycelia</w:t>
      </w:r>
      <w:r w:rsidR="003D64F9">
        <w:rPr>
          <w:rFonts w:asciiTheme="minorHAnsi" w:hAnsiTheme="minorHAnsi"/>
          <w:sz w:val="22"/>
          <w:szCs w:val="22"/>
          <w:lang w:val="en-US"/>
        </w:rPr>
        <w:t xml:space="preserve">. </w:t>
      </w:r>
      <w:r w:rsidR="00F707A0" w:rsidRPr="000132D8">
        <w:rPr>
          <w:rFonts w:asciiTheme="minorHAnsi" w:hAnsiTheme="minorHAnsi"/>
          <w:sz w:val="22"/>
          <w:szCs w:val="22"/>
          <w:lang w:val="en-US"/>
        </w:rPr>
        <w:t xml:space="preserve">The </w:t>
      </w:r>
      <w:r w:rsidRPr="000132D8">
        <w:rPr>
          <w:rFonts w:asciiTheme="minorHAnsi" w:hAnsiTheme="minorHAnsi"/>
          <w:sz w:val="22"/>
          <w:szCs w:val="22"/>
          <w:lang w:val="en-US"/>
        </w:rPr>
        <w:t>mycelia</w:t>
      </w:r>
      <w:r w:rsidR="00F707A0" w:rsidRPr="000132D8">
        <w:rPr>
          <w:rFonts w:asciiTheme="minorHAnsi" w:hAnsiTheme="minorHAnsi"/>
          <w:sz w:val="22"/>
          <w:szCs w:val="22"/>
          <w:lang w:val="en-US"/>
        </w:rPr>
        <w:t>l</w:t>
      </w:r>
      <w:r w:rsidRPr="000132D8">
        <w:rPr>
          <w:rFonts w:asciiTheme="minorHAnsi" w:hAnsiTheme="minorHAnsi"/>
          <w:sz w:val="22"/>
          <w:szCs w:val="22"/>
          <w:lang w:val="en-US"/>
        </w:rPr>
        <w:t xml:space="preserve"> thickness </w:t>
      </w:r>
      <w:r w:rsidR="003D64F9">
        <w:rPr>
          <w:rFonts w:asciiTheme="minorHAnsi" w:hAnsiTheme="minorHAnsi"/>
          <w:sz w:val="22"/>
          <w:szCs w:val="22"/>
          <w:lang w:val="en-US"/>
        </w:rPr>
        <w:t xml:space="preserve">in CT </w:t>
      </w:r>
      <w:r w:rsidRPr="000132D8">
        <w:rPr>
          <w:rFonts w:asciiTheme="minorHAnsi" w:hAnsiTheme="minorHAnsi"/>
          <w:sz w:val="22"/>
          <w:szCs w:val="22"/>
          <w:lang w:val="en-US"/>
        </w:rPr>
        <w:t xml:space="preserve">increased 30.6% </w:t>
      </w:r>
      <w:r w:rsidR="00D86021" w:rsidRPr="000132D8">
        <w:rPr>
          <w:rFonts w:asciiTheme="minorHAnsi" w:hAnsiTheme="minorHAnsi"/>
          <w:sz w:val="22"/>
          <w:szCs w:val="22"/>
          <w:lang w:val="en-US"/>
        </w:rPr>
        <w:t xml:space="preserve">(Figure 1e) </w:t>
      </w:r>
      <w:r w:rsidR="00D86021">
        <w:rPr>
          <w:rFonts w:asciiTheme="minorHAnsi" w:hAnsiTheme="minorHAnsi"/>
          <w:sz w:val="22"/>
          <w:szCs w:val="22"/>
          <w:lang w:val="en-US"/>
        </w:rPr>
        <w:t xml:space="preserve"> </w:t>
      </w:r>
      <w:r w:rsidRPr="000132D8">
        <w:rPr>
          <w:rFonts w:asciiTheme="minorHAnsi" w:hAnsiTheme="minorHAnsi"/>
          <w:sz w:val="22"/>
          <w:szCs w:val="22"/>
          <w:lang w:val="en-US"/>
        </w:rPr>
        <w:t>during the same time of cultivation</w:t>
      </w:r>
      <w:r w:rsidR="003D64F9">
        <w:rPr>
          <w:rFonts w:asciiTheme="minorHAnsi" w:hAnsiTheme="minorHAnsi"/>
          <w:sz w:val="22"/>
          <w:szCs w:val="22"/>
          <w:lang w:val="en-US"/>
        </w:rPr>
        <w:t xml:space="preserve"> and comparable values of dissolved oxygen</w:t>
      </w:r>
      <w:r w:rsidRPr="000132D8">
        <w:rPr>
          <w:rFonts w:asciiTheme="minorHAnsi" w:hAnsiTheme="minorHAnsi"/>
          <w:sz w:val="22"/>
          <w:szCs w:val="22"/>
          <w:lang w:val="en-US"/>
        </w:rPr>
        <w:t xml:space="preserve"> </w:t>
      </w:r>
      <w:r w:rsidR="00F707A0" w:rsidRPr="000132D8">
        <w:rPr>
          <w:rFonts w:asciiTheme="minorHAnsi" w:hAnsiTheme="minorHAnsi"/>
          <w:sz w:val="22"/>
          <w:szCs w:val="22"/>
          <w:lang w:val="en-US"/>
        </w:rPr>
        <w:t xml:space="preserve">in </w:t>
      </w:r>
      <w:r w:rsidR="00C7427F" w:rsidRPr="000132D8">
        <w:rPr>
          <w:rFonts w:asciiTheme="minorHAnsi" w:hAnsiTheme="minorHAnsi"/>
          <w:sz w:val="22"/>
          <w:szCs w:val="22"/>
          <w:lang w:val="en-US"/>
        </w:rPr>
        <w:t xml:space="preserve">the </w:t>
      </w:r>
      <w:r w:rsidR="00F707A0" w:rsidRPr="000132D8">
        <w:rPr>
          <w:rFonts w:asciiTheme="minorHAnsi" w:hAnsiTheme="minorHAnsi"/>
          <w:sz w:val="22"/>
          <w:szCs w:val="22"/>
          <w:lang w:val="en-US"/>
        </w:rPr>
        <w:t>CT reactor</w:t>
      </w:r>
      <w:r w:rsidRPr="000132D8">
        <w:rPr>
          <w:rFonts w:asciiTheme="minorHAnsi" w:hAnsiTheme="minorHAnsi"/>
          <w:sz w:val="22"/>
          <w:szCs w:val="22"/>
          <w:shd w:val="clear" w:color="auto" w:fill="FFFFFF"/>
          <w:lang w:val="en-US"/>
        </w:rPr>
        <w:t>. T</w:t>
      </w:r>
      <w:r w:rsidRPr="000132D8">
        <w:rPr>
          <w:rFonts w:asciiTheme="minorHAnsi" w:hAnsiTheme="minorHAnsi"/>
          <w:sz w:val="22"/>
          <w:szCs w:val="22"/>
          <w:lang w:val="en-US"/>
        </w:rPr>
        <w:t xml:space="preserve">he higher biomass production observed in STR (Figure 1e) </w:t>
      </w:r>
      <w:r w:rsidR="00F707A0" w:rsidRPr="000132D8">
        <w:rPr>
          <w:rFonts w:asciiTheme="minorHAnsi" w:hAnsiTheme="minorHAnsi"/>
          <w:sz w:val="22"/>
          <w:szCs w:val="22"/>
          <w:lang w:val="en-US"/>
        </w:rPr>
        <w:t>wa</w:t>
      </w:r>
      <w:r w:rsidRPr="000132D8">
        <w:rPr>
          <w:rFonts w:asciiTheme="minorHAnsi" w:hAnsiTheme="minorHAnsi"/>
          <w:sz w:val="22"/>
          <w:szCs w:val="22"/>
          <w:lang w:val="en-US"/>
        </w:rPr>
        <w:t xml:space="preserve">s </w:t>
      </w:r>
      <w:r w:rsidR="00D86021">
        <w:rPr>
          <w:rFonts w:asciiTheme="minorHAnsi" w:hAnsiTheme="minorHAnsi"/>
          <w:sz w:val="22"/>
          <w:szCs w:val="22"/>
          <w:lang w:val="en-US"/>
        </w:rPr>
        <w:t xml:space="preserve">attributed to the generation of a considerable </w:t>
      </w:r>
      <w:r w:rsidR="00F707A0" w:rsidRPr="000132D8">
        <w:rPr>
          <w:rFonts w:asciiTheme="minorHAnsi" w:hAnsiTheme="minorHAnsi"/>
          <w:sz w:val="22"/>
          <w:szCs w:val="22"/>
          <w:lang w:val="en-US"/>
        </w:rPr>
        <w:t xml:space="preserve">number of </w:t>
      </w:r>
      <w:r w:rsidRPr="000132D8">
        <w:rPr>
          <w:rFonts w:asciiTheme="minorHAnsi" w:hAnsiTheme="minorHAnsi"/>
          <w:sz w:val="22"/>
          <w:szCs w:val="22"/>
          <w:shd w:val="clear" w:color="auto" w:fill="FFFFFF"/>
          <w:lang w:val="en-US"/>
        </w:rPr>
        <w:t xml:space="preserve">mycelial fragments capable to growth and reproduce </w:t>
      </w:r>
      <w:r w:rsidRPr="000132D8">
        <w:rPr>
          <w:rFonts w:asciiTheme="minorHAnsi" w:hAnsiTheme="minorHAnsi"/>
          <w:sz w:val="22"/>
          <w:szCs w:val="22"/>
          <w:shd w:val="clear" w:color="auto" w:fill="FFFFFF"/>
          <w:lang w:val="en-US"/>
        </w:rPr>
        <w:fldChar w:fldCharType="begin" w:fldLock="1"/>
      </w:r>
      <w:r w:rsidRPr="000132D8">
        <w:rPr>
          <w:rFonts w:asciiTheme="minorHAnsi" w:hAnsiTheme="minorHAnsi"/>
          <w:sz w:val="22"/>
          <w:szCs w:val="22"/>
          <w:shd w:val="clear" w:color="auto" w:fill="FFFFFF"/>
          <w:lang w:val="en-US"/>
        </w:rPr>
        <w:instrText>ADDIN CSL_CITATION {"citationItems":[{"id":"ITEM-1","itemData":{"DOI":"10.1128/MMBR.00019-15.Address","author":[{"dropping-particle":"","family":"Barka","given":"Essaid Ait","non-dropping-particle":"","parse-names":false,"suffix":""},{"dropping-particle":"","family":"Vatsa","given":"Parul","non-dropping-particle":"","parse-names":false,"suffix":""},{"dropping-particle":"","family":"Sanchez","given":"Lisa","non-dropping-particle":"","parse-names":false,"suffix":""},{"dropping-particle":"","family":"Gaveau-vaillant","given":"Nathalie","non-dropping-particle":"","parse-names":false,"suffix":""},{"dropping-particle":"","family":"Jacquard","given":"Cedric","non-dropping-particle":"","parse-names":false,"suffix":""},{"dropping-particle":"","family":"Klenk","given":"Hans-peter","non-dropping-particle":"","parse-names":false,"suffix":""},{"dropping-particle":"","family":"Clément","given":"Christophe","non-dropping-particle":"","parse-names":false,"suffix":""},{"dropping-particle":"","family":"Ouhdouch","given":"Yder","non-dropping-particle":"","parse-names":false,"suffix":""},{"dropping-particle":"Van","family":"Wezel","given":"P","non-dropping-particle":"","parse-names":false,"suffix":""}],"container-title":"Microbiology and Molecular Biology Reviews","id":"ITEM-1","issue":"1","issued":{"date-parts":[["2016"]]},"page":"1-44","title":"Taxonomy , Physiology , and Natural Products of Actinobacteria","type":"article-journal","volume":"80"},"uris":["http://www.mendeley.com/documents/?uuid=cde96b5a-6f5f-440d-bea1-3e6447270856"]},{"id":"ITEM-2","itemData":{"DOI":"10.1007/s00449-012-0794-1","ISBN":"1615-7591","ISSN":"16157591","PMID":"22923137","abstract":"Streptomyces are filamentous bacteria which are widely used industrially for the production of therapeutic biomolecules, especially antibiotics. Bioreactor operating conditions may impact the physiological response of Streptomyces especially agitation and aeration as they influence hydromechanical stress, oxygen and nutrient transfer. The understanding of the coupling between physiological response and bioreactor hydrodynamics lies on a simultaneous description of the flow and transfers encountered by the bacteria and of the microbial response in terms of growth, consumption, morphology, production or intracellular signals. This article reviews the experimental and numerical works dedicated to the study of the coupling between bioreactor hydrodynamics and antibiotics producing Streptomyces. In a first part, the description of hydrodynamics used in these works is presented and then the main relations used. In a second part, the assumptions made in these works are discussed and put into emphasize. Lastly, the various Streptomyces physiological responses observed are detailed and compared.","author":[{"dropping-particle":"","family":"Olmos","given":"E.","non-dropping-particle":"","parse-names":false,"suffix":""},{"dropping-particle":"","family":"Mehmood","given":"N.","non-dropping-particle":"","parse-names":false,"suffix":""},{"dropping-particle":"","family":"Haj Husein","given":"L.","non-dropping-particle":"","parse-names":false,"suffix":""},{"dropping-particle":"","family":"Goergen","given":"J. L.","non-dropping-particle":"","parse-names":false,"suffix":""},{"dropping-particle":"","family":"Fick","given":"M.","non-dropping-particle":"","parse-names":false,"suffix":""},{"dropping-particle":"","family":"Delaunay","given":"S.","non-dropping-particle":"","parse-names":false,"suffix":""}],"container-title":"Bioprocess and Biosystems Engineering","id":"ITEM-2","issue":"3","issued":{"date-parts":[["2013"]]},"page":"259-272","title":"Effects of bioreactor hydrodynamics on the physiology of Streptomyces","type":"article-journal","volume":"36"},"uris":["http://www.mendeley.com/documents/?uuid=e8e44d51-8417-4e48-82d1-cca207d1b9c4"]}],"mendeley":{"formattedCitation":"[2,3]","plainTextFormattedCitation":"[2,3]","previouslyFormattedCitation":"[2,3]"},"properties":{"noteIndex":0},"schema":"https://github.com/citation-style-language/schema/raw/master/csl-citation.json"}</w:instrText>
      </w:r>
      <w:r w:rsidRPr="000132D8">
        <w:rPr>
          <w:rFonts w:asciiTheme="minorHAnsi" w:hAnsiTheme="minorHAnsi"/>
          <w:sz w:val="22"/>
          <w:szCs w:val="22"/>
          <w:shd w:val="clear" w:color="auto" w:fill="FFFFFF"/>
          <w:lang w:val="en-US"/>
        </w:rPr>
        <w:fldChar w:fldCharType="separate"/>
      </w:r>
      <w:r w:rsidRPr="000132D8">
        <w:rPr>
          <w:rFonts w:asciiTheme="minorHAnsi" w:hAnsiTheme="minorHAnsi"/>
          <w:noProof/>
          <w:sz w:val="22"/>
          <w:szCs w:val="22"/>
          <w:shd w:val="clear" w:color="auto" w:fill="FFFFFF"/>
          <w:lang w:val="en-US"/>
        </w:rPr>
        <w:t>[2,3]</w:t>
      </w:r>
      <w:r w:rsidRPr="000132D8">
        <w:rPr>
          <w:rFonts w:asciiTheme="minorHAnsi" w:hAnsiTheme="minorHAnsi"/>
          <w:sz w:val="22"/>
          <w:szCs w:val="22"/>
          <w:shd w:val="clear" w:color="auto" w:fill="FFFFFF"/>
          <w:lang w:val="en-US"/>
        </w:rPr>
        <w:fldChar w:fldCharType="end"/>
      </w:r>
      <w:r w:rsidRPr="000132D8">
        <w:rPr>
          <w:rFonts w:asciiTheme="minorHAnsi" w:hAnsiTheme="minorHAnsi"/>
          <w:sz w:val="22"/>
          <w:szCs w:val="22"/>
          <w:shd w:val="clear" w:color="auto" w:fill="FFFFFF"/>
          <w:lang w:val="en-US"/>
        </w:rPr>
        <w:t>.</w:t>
      </w:r>
      <w:r w:rsidRPr="000132D8">
        <w:rPr>
          <w:rFonts w:asciiTheme="minorHAnsi" w:hAnsiTheme="minorHAnsi"/>
          <w:sz w:val="22"/>
          <w:szCs w:val="22"/>
          <w:lang w:val="en-US"/>
        </w:rPr>
        <w:t xml:space="preserve"> </w:t>
      </w:r>
    </w:p>
    <w:p w:rsidR="00EF6313" w:rsidRDefault="00EF6313" w:rsidP="00D86021">
      <w:pPr>
        <w:spacing w:line="240" w:lineRule="auto"/>
        <w:rPr>
          <w:rFonts w:asciiTheme="minorHAnsi" w:hAnsiTheme="minorHAnsi"/>
          <w:sz w:val="22"/>
          <w:szCs w:val="22"/>
          <w:lang w:val="en-US"/>
        </w:rPr>
      </w:pPr>
      <w:r w:rsidRPr="000132D8">
        <w:rPr>
          <w:rFonts w:asciiTheme="minorHAnsi" w:hAnsiTheme="minorHAnsi"/>
          <w:sz w:val="22"/>
          <w:szCs w:val="22"/>
          <w:lang w:val="en-US"/>
        </w:rPr>
        <w:t xml:space="preserve">CA production is promoted by phosphate limiting conditions </w:t>
      </w:r>
      <w:r w:rsidRPr="000132D8">
        <w:rPr>
          <w:rFonts w:asciiTheme="minorHAnsi" w:hAnsiTheme="minorHAnsi"/>
          <w:sz w:val="22"/>
          <w:szCs w:val="22"/>
          <w:lang w:val="en-US"/>
        </w:rPr>
        <w:fldChar w:fldCharType="begin" w:fldLock="1"/>
      </w:r>
      <w:r w:rsidRPr="000132D8">
        <w:rPr>
          <w:rFonts w:asciiTheme="minorHAnsi" w:hAnsiTheme="minorHAnsi"/>
          <w:sz w:val="22"/>
          <w:szCs w:val="22"/>
          <w:lang w:val="en-US"/>
        </w:rPr>
        <w:instrText>ADDIN CSL_CITATION {"citationItems":[{"id":"ITEM-1","itemData":{"DOI":"10.1002/btpr.2132","author":[{"dropping-particle":"","family":"Sánchez","given":"Claudia","non-dropping-particle":"","parse-names":false,"suffix":""},{"dropping-particle":"","family":"Quintero","given":"Juan Carlos","non-dropping-particle":"","parse-names":false,"suffix":""},{"dropping-particle":"","family":"Ochoa","given":"Silvia","non-dropping-particle":"","parse-names":false,"suffix":""}],"container-title":"Biotechnology progress","id":"ITEM-1","issue":"5","issued":{"date-parts":[["2015"]]},"page":"1226-1236","title":"Flux Balance Analysis in the Production of Clavulanic Acid by Streptomyces clavuligerus","type":"article-journal","volume":"31"},"uris":["http://www.mendeley.com/documents/?uuid=56739bc6-4d91-47ad-a784-5404c25a1ed3"]},{"id":"ITEM-2","itemData":{"ISBN":"0025301888","author":[{"dropping-particle":"","family":"Ramirez-malule","given":"Howard","non-dropping-particle":"","parse-names":false,"suffix":""},{"dropping-particle":"","family":"Junne","given":"Stefan","non-dropping-particle":"","parse-names":false,"suffix":""},{"dropping-particle":"","family":"Cruz-bournazou","given":"Mariano Nicolás","non-dropping-particle":"","parse-names":false,"suffix":""},{"dropping-particle":"","family":"Neubauer","given":"Peter","non-dropping-particle":"","parse-names":false,"suffix":""}],"id":"ITEM-2","issued":{"date-parts":[["2018"]]},"publisher":"Applied Microbiology and Biotechnology","title":"Streptomyces clavuligerus shows a strong association between TCA cycle intermediate accumulation and clavulanic acid biosynthesis","type":"article-journal"},"uris":["http://www.mendeley.com/documents/?uuid=e061b902-3664-4d5e-808e-d3d2784a62a4"]}],"mendeley":{"formattedCitation":"[1,4]","plainTextFormattedCitation":"[1,4]","previouslyFormattedCitation":"[4]"},"properties":{"noteIndex":0},"schema":"https://github.com/citation-style-language/schema/raw/master/csl-citation.json"}</w:instrText>
      </w:r>
      <w:r w:rsidRPr="000132D8">
        <w:rPr>
          <w:rFonts w:asciiTheme="minorHAnsi" w:hAnsiTheme="minorHAnsi"/>
          <w:sz w:val="22"/>
          <w:szCs w:val="22"/>
          <w:lang w:val="en-US"/>
        </w:rPr>
        <w:fldChar w:fldCharType="separate"/>
      </w:r>
      <w:r w:rsidRPr="000132D8">
        <w:rPr>
          <w:rFonts w:asciiTheme="minorHAnsi" w:hAnsiTheme="minorHAnsi"/>
          <w:noProof/>
          <w:sz w:val="22"/>
          <w:szCs w:val="22"/>
          <w:lang w:val="en-US"/>
        </w:rPr>
        <w:t>[1,4]</w:t>
      </w:r>
      <w:r w:rsidRPr="000132D8">
        <w:rPr>
          <w:rFonts w:asciiTheme="minorHAnsi" w:hAnsiTheme="minorHAnsi"/>
          <w:sz w:val="22"/>
          <w:szCs w:val="22"/>
          <w:lang w:val="en-US"/>
        </w:rPr>
        <w:fldChar w:fldCharType="end"/>
      </w:r>
      <w:r w:rsidRPr="000132D8">
        <w:rPr>
          <w:rFonts w:asciiTheme="minorHAnsi" w:hAnsiTheme="minorHAnsi"/>
          <w:sz w:val="22"/>
          <w:szCs w:val="22"/>
          <w:lang w:val="en-US"/>
        </w:rPr>
        <w:t>; although the latter condition was reached in STR and CT reactors,  CA release</w:t>
      </w:r>
      <w:r w:rsidR="00D86021">
        <w:rPr>
          <w:rFonts w:asciiTheme="minorHAnsi" w:hAnsiTheme="minorHAnsi"/>
          <w:sz w:val="22"/>
          <w:szCs w:val="22"/>
          <w:lang w:val="en-US"/>
        </w:rPr>
        <w:t xml:space="preserve"> was lower in </w:t>
      </w:r>
      <w:r w:rsidRPr="000132D8">
        <w:rPr>
          <w:rFonts w:asciiTheme="minorHAnsi" w:hAnsiTheme="minorHAnsi"/>
          <w:sz w:val="22"/>
          <w:szCs w:val="22"/>
          <w:lang w:val="en-US"/>
        </w:rPr>
        <w:t>CT</w:t>
      </w:r>
      <w:r w:rsidR="00D86021">
        <w:rPr>
          <w:rFonts w:asciiTheme="minorHAnsi" w:hAnsiTheme="minorHAnsi"/>
          <w:sz w:val="22"/>
          <w:szCs w:val="22"/>
          <w:lang w:val="en-US"/>
        </w:rPr>
        <w:t xml:space="preserve"> cultivations</w:t>
      </w:r>
      <w:r w:rsidRPr="000132D8">
        <w:rPr>
          <w:rFonts w:asciiTheme="minorHAnsi" w:hAnsiTheme="minorHAnsi"/>
          <w:sz w:val="22"/>
          <w:szCs w:val="22"/>
          <w:lang w:val="en-US"/>
        </w:rPr>
        <w:t xml:space="preserve">. </w:t>
      </w:r>
      <w:r w:rsidR="00F707A0" w:rsidRPr="000132D8">
        <w:rPr>
          <w:rFonts w:asciiTheme="minorHAnsi" w:hAnsiTheme="minorHAnsi"/>
          <w:sz w:val="22"/>
          <w:szCs w:val="22"/>
          <w:lang w:val="en-US"/>
        </w:rPr>
        <w:t xml:space="preserve">The </w:t>
      </w:r>
      <w:r w:rsidR="00DC5CF9" w:rsidRPr="000132D8">
        <w:rPr>
          <w:rFonts w:asciiTheme="minorHAnsi" w:hAnsiTheme="minorHAnsi"/>
          <w:sz w:val="22"/>
          <w:szCs w:val="22"/>
          <w:lang w:val="en-US"/>
        </w:rPr>
        <w:t xml:space="preserve">maximum </w:t>
      </w:r>
      <w:r w:rsidR="00F707A0" w:rsidRPr="000132D8">
        <w:rPr>
          <w:rFonts w:asciiTheme="minorHAnsi" w:hAnsiTheme="minorHAnsi"/>
          <w:sz w:val="22"/>
          <w:szCs w:val="22"/>
          <w:lang w:val="en-US"/>
        </w:rPr>
        <w:t>specific CA concentrations</w:t>
      </w:r>
      <w:r w:rsidR="00877AD7" w:rsidRPr="000132D8">
        <w:rPr>
          <w:rFonts w:asciiTheme="minorHAnsi" w:hAnsiTheme="minorHAnsi"/>
          <w:sz w:val="22"/>
          <w:szCs w:val="22"/>
          <w:lang w:val="en-US"/>
        </w:rPr>
        <w:t xml:space="preserve"> were 33.44</w:t>
      </w:r>
      <w:r w:rsidR="00F707A0" w:rsidRPr="000132D8">
        <w:rPr>
          <w:rFonts w:asciiTheme="minorHAnsi" w:hAnsiTheme="minorHAnsi"/>
          <w:sz w:val="22"/>
          <w:szCs w:val="22"/>
          <w:lang w:val="en-US"/>
        </w:rPr>
        <w:t xml:space="preserve"> mg/g CDW and </w:t>
      </w:r>
      <w:r w:rsidR="00877AD7" w:rsidRPr="000132D8">
        <w:rPr>
          <w:rFonts w:asciiTheme="minorHAnsi" w:hAnsiTheme="minorHAnsi"/>
          <w:sz w:val="22"/>
          <w:szCs w:val="22"/>
          <w:lang w:val="en-US"/>
        </w:rPr>
        <w:t>14.3</w:t>
      </w:r>
      <w:r w:rsidR="00F707A0" w:rsidRPr="000132D8">
        <w:rPr>
          <w:rFonts w:asciiTheme="minorHAnsi" w:hAnsiTheme="minorHAnsi"/>
          <w:sz w:val="22"/>
          <w:szCs w:val="22"/>
          <w:lang w:val="en-US"/>
        </w:rPr>
        <w:t xml:space="preserve"> mg/g CDW</w:t>
      </w:r>
      <w:r w:rsidR="00EA201B" w:rsidRPr="000132D8">
        <w:rPr>
          <w:rFonts w:asciiTheme="minorHAnsi" w:hAnsiTheme="minorHAnsi"/>
          <w:sz w:val="22"/>
          <w:szCs w:val="22"/>
          <w:lang w:val="en-US"/>
        </w:rPr>
        <w:t xml:space="preserve"> </w:t>
      </w:r>
      <w:r w:rsidR="00F707A0" w:rsidRPr="000132D8">
        <w:rPr>
          <w:rFonts w:asciiTheme="minorHAnsi" w:hAnsiTheme="minorHAnsi"/>
          <w:sz w:val="22"/>
          <w:szCs w:val="22"/>
          <w:lang w:val="en-US"/>
        </w:rPr>
        <w:t xml:space="preserve"> in the STR and CT cultivations, respectively. </w:t>
      </w:r>
      <w:r w:rsidR="00AD7B7A">
        <w:rPr>
          <w:rFonts w:asciiTheme="minorHAnsi" w:hAnsiTheme="minorHAnsi"/>
          <w:sz w:val="22"/>
          <w:szCs w:val="22"/>
          <w:lang w:val="en-US"/>
        </w:rPr>
        <w:t xml:space="preserve">In this regard, a reduction in oxygen uptake was observed in CT cultivations due to aggregation and clumping of mycelia. Oxygen uptake has a key role in the </w:t>
      </w:r>
      <w:r w:rsidR="00AD7B7A" w:rsidRPr="00AD7B7A">
        <w:rPr>
          <w:rFonts w:asciiTheme="minorHAnsi" w:hAnsiTheme="minorHAnsi"/>
          <w:sz w:val="22"/>
          <w:szCs w:val="22"/>
          <w:lang w:val="en-US"/>
        </w:rPr>
        <w:t xml:space="preserve">secondary </w:t>
      </w:r>
      <w:r w:rsidR="00AD7B7A">
        <w:rPr>
          <w:rFonts w:asciiTheme="minorHAnsi" w:hAnsiTheme="minorHAnsi"/>
          <w:sz w:val="22"/>
          <w:szCs w:val="22"/>
          <w:lang w:val="en-US"/>
        </w:rPr>
        <w:t xml:space="preserve">metabolism of </w:t>
      </w:r>
      <w:proofErr w:type="spellStart"/>
      <w:r w:rsidR="00AD7B7A" w:rsidRPr="00AD7B7A">
        <w:rPr>
          <w:rFonts w:asciiTheme="minorHAnsi" w:hAnsiTheme="minorHAnsi"/>
          <w:i/>
          <w:sz w:val="22"/>
          <w:szCs w:val="22"/>
          <w:lang w:val="en-US"/>
        </w:rPr>
        <w:t>S.clavuligerus</w:t>
      </w:r>
      <w:proofErr w:type="spellEnd"/>
      <w:r w:rsidR="00AD7B7A">
        <w:rPr>
          <w:rFonts w:asciiTheme="minorHAnsi" w:hAnsiTheme="minorHAnsi"/>
          <w:sz w:val="22"/>
          <w:szCs w:val="22"/>
          <w:lang w:val="en-US"/>
        </w:rPr>
        <w:t xml:space="preserve">, since several oxidation steps reactions require molecular oxygen to occur.  Thus, </w:t>
      </w:r>
      <w:r w:rsidRPr="000132D8">
        <w:rPr>
          <w:rFonts w:asciiTheme="minorHAnsi" w:hAnsiTheme="minorHAnsi"/>
          <w:sz w:val="22"/>
          <w:szCs w:val="22"/>
          <w:lang w:val="en-US"/>
        </w:rPr>
        <w:t xml:space="preserve">CA accumulation was further enhanced by the </w:t>
      </w:r>
      <w:r w:rsidR="00EA201B" w:rsidRPr="000132D8">
        <w:rPr>
          <w:rFonts w:asciiTheme="minorHAnsi" w:hAnsiTheme="minorHAnsi"/>
          <w:sz w:val="22"/>
          <w:szCs w:val="22"/>
          <w:lang w:val="en-US"/>
        </w:rPr>
        <w:t xml:space="preserve">high </w:t>
      </w:r>
      <w:r w:rsidRPr="000132D8">
        <w:rPr>
          <w:rFonts w:asciiTheme="minorHAnsi" w:hAnsiTheme="minorHAnsi"/>
          <w:sz w:val="22"/>
          <w:szCs w:val="22"/>
          <w:lang w:val="en-US"/>
        </w:rPr>
        <w:t>shear stress and hyphal fragmentation</w:t>
      </w:r>
      <w:r w:rsidR="00AD7B7A">
        <w:rPr>
          <w:rFonts w:asciiTheme="minorHAnsi" w:hAnsiTheme="minorHAnsi"/>
          <w:sz w:val="22"/>
          <w:szCs w:val="22"/>
          <w:lang w:val="en-US"/>
        </w:rPr>
        <w:t xml:space="preserve"> that </w:t>
      </w:r>
      <w:r w:rsidR="003D64F9">
        <w:rPr>
          <w:rFonts w:asciiTheme="minorHAnsi" w:hAnsiTheme="minorHAnsi"/>
          <w:sz w:val="22"/>
          <w:szCs w:val="22"/>
          <w:lang w:val="en-US"/>
        </w:rPr>
        <w:t>prevent</w:t>
      </w:r>
      <w:r w:rsidR="00AD7B7A">
        <w:rPr>
          <w:rFonts w:asciiTheme="minorHAnsi" w:hAnsiTheme="minorHAnsi"/>
          <w:sz w:val="22"/>
          <w:szCs w:val="22"/>
          <w:lang w:val="en-US"/>
        </w:rPr>
        <w:t xml:space="preserve"> the adhesion of filaments</w:t>
      </w:r>
      <w:r w:rsidR="003D64F9">
        <w:rPr>
          <w:rFonts w:asciiTheme="minorHAnsi" w:hAnsiTheme="minorHAnsi"/>
          <w:sz w:val="22"/>
          <w:szCs w:val="22"/>
          <w:lang w:val="en-US"/>
        </w:rPr>
        <w:t xml:space="preserve"> and limitations to oxygen diffusion</w:t>
      </w:r>
      <w:r w:rsidRPr="000132D8">
        <w:rPr>
          <w:rFonts w:asciiTheme="minorHAnsi" w:hAnsiTheme="minorHAnsi"/>
          <w:sz w:val="22"/>
          <w:szCs w:val="22"/>
          <w:lang w:val="en-US"/>
        </w:rPr>
        <w:t xml:space="preserve">. These results suggest that environmental conditions in CT reactor promoted a different carbon flux distribution as </w:t>
      </w:r>
      <w:r w:rsidR="004A5A5D" w:rsidRPr="000132D8">
        <w:rPr>
          <w:rFonts w:asciiTheme="minorHAnsi" w:hAnsiTheme="minorHAnsi"/>
          <w:sz w:val="22"/>
          <w:szCs w:val="22"/>
          <w:lang w:val="en-US"/>
        </w:rPr>
        <w:t xml:space="preserve">a </w:t>
      </w:r>
      <w:r w:rsidRPr="000132D8">
        <w:rPr>
          <w:rFonts w:asciiTheme="minorHAnsi" w:hAnsiTheme="minorHAnsi"/>
          <w:sz w:val="22"/>
          <w:szCs w:val="22"/>
          <w:lang w:val="en-US"/>
        </w:rPr>
        <w:t xml:space="preserve">consequence of less relative stress conditions, leading to a lower activity of secondary metabolism and hence, lower CA accumulation </w:t>
      </w:r>
      <w:r w:rsidRPr="000132D8">
        <w:rPr>
          <w:rFonts w:asciiTheme="minorHAnsi" w:hAnsiTheme="minorHAnsi"/>
          <w:sz w:val="22"/>
          <w:szCs w:val="22"/>
          <w:lang w:val="en-US"/>
        </w:rPr>
        <w:fldChar w:fldCharType="begin" w:fldLock="1"/>
      </w:r>
      <w:r w:rsidRPr="000132D8">
        <w:rPr>
          <w:rFonts w:asciiTheme="minorHAnsi" w:hAnsiTheme="minorHAnsi"/>
          <w:sz w:val="22"/>
          <w:szCs w:val="22"/>
          <w:lang w:val="en-US"/>
        </w:rPr>
        <w:instrText>ADDIN CSL_CITATION {"citationItems":[{"id":"ITEM-1","itemData":{"DOI":"10.1002/btpr.2132","author":[{"dropping-particle":"","family":"Sánchez","given":"Claudia","non-dropping-particle":"","parse-names":false,"suffix":""},{"dropping-particle":"","family":"Quintero","given":"Juan Carlos","non-dropping-particle":"","parse-names":false,"suffix":""},{"dropping-particle":"","family":"Ochoa","given":"Silvia","non-dropping-particle":"","parse-names":false,"suffix":""}],"container-title":"Biotechnology progress","id":"ITEM-1","issue":"5","issued":{"date-parts":[["2015"]]},"page":"1226-1236","title":"Flux Balance Analysis in the Production of Clavulanic Acid by Streptomyces clavuligerus","type":"article-journal","volume":"31"},"uris":["http://www.mendeley.com/documents/?uuid=56739bc6-4d91-47ad-a784-5404c25a1ed3"]}],"mendeley":{"formattedCitation":"[4]","plainTextFormattedCitation":"[4]","previouslyFormattedCitation":"[4]"},"properties":{"noteIndex":0},"schema":"https://github.com/citation-style-language/schema/raw/master/csl-citation.json"}</w:instrText>
      </w:r>
      <w:r w:rsidRPr="000132D8">
        <w:rPr>
          <w:rFonts w:asciiTheme="minorHAnsi" w:hAnsiTheme="minorHAnsi"/>
          <w:sz w:val="22"/>
          <w:szCs w:val="22"/>
          <w:lang w:val="en-US"/>
        </w:rPr>
        <w:fldChar w:fldCharType="separate"/>
      </w:r>
      <w:r w:rsidRPr="000132D8">
        <w:rPr>
          <w:rFonts w:asciiTheme="minorHAnsi" w:hAnsiTheme="minorHAnsi"/>
          <w:noProof/>
          <w:sz w:val="22"/>
          <w:szCs w:val="22"/>
          <w:lang w:val="en-US"/>
        </w:rPr>
        <w:t>[4]</w:t>
      </w:r>
      <w:r w:rsidRPr="000132D8">
        <w:rPr>
          <w:rFonts w:asciiTheme="minorHAnsi" w:hAnsiTheme="minorHAnsi"/>
          <w:sz w:val="22"/>
          <w:szCs w:val="22"/>
          <w:lang w:val="en-US"/>
        </w:rPr>
        <w:fldChar w:fldCharType="end"/>
      </w:r>
      <w:r w:rsidRPr="000132D8">
        <w:rPr>
          <w:rFonts w:asciiTheme="minorHAnsi" w:hAnsiTheme="minorHAnsi"/>
          <w:sz w:val="22"/>
          <w:szCs w:val="22"/>
          <w:lang w:val="en-US"/>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2039"/>
        <w:gridCol w:w="1971"/>
        <w:gridCol w:w="4777"/>
      </w:tblGrid>
      <w:tr w:rsidR="000132D8" w:rsidRPr="000132D8" w:rsidTr="00D86021">
        <w:trPr>
          <w:trHeight w:val="2985"/>
        </w:trPr>
        <w:tc>
          <w:tcPr>
            <w:tcW w:w="2036" w:type="dxa"/>
            <w:vAlign w:val="center"/>
          </w:tcPr>
          <w:p w:rsidR="005C638D" w:rsidRPr="000132D8" w:rsidRDefault="005C638D" w:rsidP="00D86021">
            <w:pPr>
              <w:spacing w:line="240" w:lineRule="auto"/>
              <w:jc w:val="left"/>
              <w:rPr>
                <w:rFonts w:asciiTheme="minorHAnsi" w:hAnsiTheme="minorHAnsi"/>
                <w:sz w:val="22"/>
                <w:szCs w:val="22"/>
                <w:lang w:val="en-US"/>
              </w:rPr>
            </w:pPr>
            <w:r w:rsidRPr="000132D8">
              <w:rPr>
                <w:rFonts w:asciiTheme="minorHAnsi" w:hAnsiTheme="minorHAnsi"/>
                <w:noProof/>
                <w:sz w:val="22"/>
                <w:szCs w:val="22"/>
                <w:lang w:val="it-IT" w:eastAsia="it-IT"/>
              </w:rPr>
              <w:drawing>
                <wp:inline distT="0" distB="0" distL="0" distR="0" wp14:anchorId="24E3902E" wp14:editId="491EF514">
                  <wp:extent cx="1224280" cy="12573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B20_12_1_RGB_Mono.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1930" cy="1275426"/>
                          </a:xfrm>
                          <a:prstGeom prst="rect">
                            <a:avLst/>
                          </a:prstGeom>
                        </pic:spPr>
                      </pic:pic>
                    </a:graphicData>
                  </a:graphic>
                </wp:inline>
              </w:drawing>
            </w:r>
          </w:p>
          <w:p w:rsidR="005C638D" w:rsidRPr="000132D8" w:rsidRDefault="005C638D" w:rsidP="00D86021">
            <w:pPr>
              <w:spacing w:line="240" w:lineRule="auto"/>
              <w:jc w:val="left"/>
              <w:rPr>
                <w:rFonts w:asciiTheme="minorHAnsi" w:hAnsiTheme="minorHAnsi"/>
                <w:sz w:val="22"/>
                <w:szCs w:val="22"/>
                <w:lang w:val="en-US"/>
              </w:rPr>
            </w:pPr>
            <w:r w:rsidRPr="000132D8">
              <w:rPr>
                <w:rFonts w:asciiTheme="minorHAnsi" w:hAnsiTheme="minorHAnsi"/>
                <w:sz w:val="22"/>
                <w:szCs w:val="22"/>
                <w:lang w:val="en-US"/>
              </w:rPr>
              <w:t>a.</w:t>
            </w:r>
          </w:p>
        </w:tc>
        <w:tc>
          <w:tcPr>
            <w:tcW w:w="1969" w:type="dxa"/>
            <w:vAlign w:val="center"/>
          </w:tcPr>
          <w:p w:rsidR="005C638D" w:rsidRPr="000132D8" w:rsidRDefault="005C638D" w:rsidP="00D86021">
            <w:pPr>
              <w:spacing w:line="240" w:lineRule="auto"/>
              <w:jc w:val="left"/>
              <w:rPr>
                <w:rFonts w:asciiTheme="minorHAnsi" w:hAnsiTheme="minorHAnsi"/>
                <w:sz w:val="22"/>
                <w:szCs w:val="22"/>
                <w:lang w:val="en-US"/>
              </w:rPr>
            </w:pPr>
            <w:r w:rsidRPr="000132D8">
              <w:rPr>
                <w:rFonts w:asciiTheme="minorHAnsi" w:hAnsiTheme="minorHAnsi"/>
                <w:noProof/>
                <w:sz w:val="22"/>
                <w:szCs w:val="22"/>
                <w:lang w:val="it-IT" w:eastAsia="it-IT"/>
              </w:rPr>
              <w:drawing>
                <wp:inline distT="0" distB="0" distL="0" distR="0" wp14:anchorId="43ACCBDE" wp14:editId="5715E80D">
                  <wp:extent cx="1171575" cy="124777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T3_12_3_RGB_1 DIA.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2444" cy="1248701"/>
                          </a:xfrm>
                          <a:prstGeom prst="rect">
                            <a:avLst/>
                          </a:prstGeom>
                        </pic:spPr>
                      </pic:pic>
                    </a:graphicData>
                  </a:graphic>
                </wp:inline>
              </w:drawing>
            </w:r>
          </w:p>
          <w:p w:rsidR="005C638D" w:rsidRPr="000132D8" w:rsidRDefault="005C638D" w:rsidP="00D86021">
            <w:pPr>
              <w:spacing w:line="240" w:lineRule="auto"/>
              <w:jc w:val="left"/>
              <w:rPr>
                <w:rFonts w:asciiTheme="minorHAnsi" w:hAnsiTheme="minorHAnsi"/>
                <w:sz w:val="22"/>
                <w:szCs w:val="22"/>
                <w:lang w:val="en-US"/>
              </w:rPr>
            </w:pPr>
            <w:r w:rsidRPr="000132D8">
              <w:rPr>
                <w:rFonts w:asciiTheme="minorHAnsi" w:hAnsiTheme="minorHAnsi"/>
                <w:sz w:val="22"/>
                <w:szCs w:val="22"/>
                <w:lang w:val="en-US"/>
              </w:rPr>
              <w:t>b.</w:t>
            </w:r>
          </w:p>
        </w:tc>
        <w:tc>
          <w:tcPr>
            <w:tcW w:w="4772" w:type="dxa"/>
          </w:tcPr>
          <w:p w:rsidR="005C638D" w:rsidRPr="000132D8" w:rsidRDefault="005C638D" w:rsidP="00D86021">
            <w:pPr>
              <w:spacing w:line="240" w:lineRule="auto"/>
              <w:rPr>
                <w:rFonts w:asciiTheme="minorHAnsi" w:hAnsiTheme="minorHAnsi"/>
                <w:noProof/>
                <w:sz w:val="22"/>
                <w:szCs w:val="22"/>
                <w:lang w:val="en-US"/>
              </w:rPr>
            </w:pPr>
            <w:r w:rsidRPr="000132D8">
              <w:rPr>
                <w:noProof/>
                <w:lang w:val="it-IT" w:eastAsia="it-IT"/>
              </w:rPr>
              <w:drawing>
                <wp:inline distT="0" distB="0" distL="0" distR="0" wp14:anchorId="7E7423D8" wp14:editId="48900F9A">
                  <wp:extent cx="2990850" cy="1790700"/>
                  <wp:effectExtent l="0" t="0" r="0" b="0"/>
                  <wp:docPr id="3" name="Gráfico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EF6313" w:rsidRPr="000132D8" w:rsidRDefault="00EF6313" w:rsidP="00D86021">
      <w:pPr>
        <w:pStyle w:val="Didascalia"/>
        <w:rPr>
          <w:rFonts w:asciiTheme="minorHAnsi" w:hAnsiTheme="minorHAnsi"/>
          <w:b w:val="0"/>
          <w:color w:val="auto"/>
          <w:szCs w:val="22"/>
          <w:lang w:val="en-US"/>
        </w:rPr>
      </w:pPr>
      <w:r w:rsidRPr="000132D8">
        <w:rPr>
          <w:rFonts w:asciiTheme="minorHAnsi" w:hAnsiTheme="minorHAnsi"/>
          <w:color w:val="auto"/>
          <w:szCs w:val="22"/>
          <w:lang w:val="en-US"/>
        </w:rPr>
        <w:t xml:space="preserve">Figure </w:t>
      </w:r>
      <w:r w:rsidRPr="000132D8">
        <w:rPr>
          <w:rFonts w:asciiTheme="minorHAnsi" w:hAnsiTheme="minorHAnsi"/>
          <w:color w:val="auto"/>
          <w:szCs w:val="22"/>
        </w:rPr>
        <w:t>1</w:t>
      </w:r>
      <w:r w:rsidRPr="000132D8">
        <w:rPr>
          <w:rFonts w:asciiTheme="minorHAnsi" w:hAnsiTheme="minorHAnsi"/>
          <w:color w:val="auto"/>
          <w:szCs w:val="22"/>
          <w:lang w:val="en-US"/>
        </w:rPr>
        <w:t xml:space="preserve">. </w:t>
      </w:r>
      <w:r w:rsidRPr="000132D8">
        <w:rPr>
          <w:rFonts w:asciiTheme="minorHAnsi" w:hAnsiTheme="minorHAnsi"/>
          <w:b w:val="0"/>
          <w:color w:val="auto"/>
          <w:szCs w:val="22"/>
          <w:lang w:val="en-US"/>
        </w:rPr>
        <w:t xml:space="preserve">Morphological response of </w:t>
      </w:r>
      <w:r w:rsidRPr="000132D8">
        <w:rPr>
          <w:rFonts w:asciiTheme="minorHAnsi" w:hAnsiTheme="minorHAnsi"/>
          <w:b w:val="0"/>
          <w:i/>
          <w:color w:val="auto"/>
          <w:szCs w:val="22"/>
          <w:lang w:val="en-US"/>
        </w:rPr>
        <w:t>S. clavuligerus</w:t>
      </w:r>
      <w:r w:rsidRPr="000132D8">
        <w:rPr>
          <w:rFonts w:asciiTheme="minorHAnsi" w:hAnsiTheme="minorHAnsi"/>
          <w:b w:val="0"/>
          <w:color w:val="auto"/>
          <w:szCs w:val="22"/>
          <w:lang w:val="en-US"/>
        </w:rPr>
        <w:t xml:space="preserve"> in STR and CT: a. STR (143 h); </w:t>
      </w:r>
      <w:r w:rsidR="00B510DE" w:rsidRPr="000132D8">
        <w:rPr>
          <w:rFonts w:asciiTheme="minorHAnsi" w:hAnsiTheme="minorHAnsi"/>
          <w:b w:val="0"/>
          <w:color w:val="auto"/>
          <w:szCs w:val="22"/>
          <w:lang w:val="en-US"/>
        </w:rPr>
        <w:t>b</w:t>
      </w:r>
      <w:r w:rsidRPr="000132D8">
        <w:rPr>
          <w:rFonts w:asciiTheme="minorHAnsi" w:hAnsiTheme="minorHAnsi"/>
          <w:b w:val="0"/>
          <w:color w:val="auto"/>
          <w:szCs w:val="22"/>
          <w:lang w:val="en-US"/>
        </w:rPr>
        <w:t>. CT (139 h); e. Time course of biomass in STR (</w:t>
      </w:r>
      <w:r w:rsidR="007C24A9" w:rsidRPr="000132D8">
        <w:rPr>
          <w:rFonts w:asciiTheme="minorHAnsi" w:hAnsiTheme="minorHAnsi"/>
          <w:b w:val="0"/>
          <w:color w:val="auto"/>
          <w:szCs w:val="22"/>
          <w:lang w:val="en-US"/>
        </w:rPr>
        <w:t>squares</w:t>
      </w:r>
      <w:r w:rsidRPr="000132D8">
        <w:rPr>
          <w:rFonts w:asciiTheme="minorHAnsi" w:hAnsiTheme="minorHAnsi"/>
          <w:b w:val="0"/>
          <w:color w:val="auto"/>
          <w:szCs w:val="22"/>
          <w:lang w:val="en-US"/>
        </w:rPr>
        <w:t>) and CT (circles) and mycelia thickness in STR (diamonds) and CT (</w:t>
      </w:r>
      <w:r w:rsidR="007C24A9" w:rsidRPr="000132D8">
        <w:rPr>
          <w:rFonts w:asciiTheme="minorHAnsi" w:hAnsiTheme="minorHAnsi"/>
          <w:b w:val="0"/>
          <w:color w:val="auto"/>
          <w:szCs w:val="22"/>
          <w:lang w:val="en-US"/>
        </w:rPr>
        <w:t>triangles</w:t>
      </w:r>
      <w:r w:rsidRPr="000132D8">
        <w:rPr>
          <w:rFonts w:asciiTheme="minorHAnsi" w:hAnsiTheme="minorHAnsi"/>
          <w:b w:val="0"/>
          <w:color w:val="auto"/>
          <w:szCs w:val="22"/>
          <w:lang w:val="en-US"/>
        </w:rPr>
        <w:t>).</w:t>
      </w:r>
    </w:p>
    <w:bookmarkEnd w:id="1"/>
    <w:p w:rsidR="00EF6313" w:rsidRPr="000132D8" w:rsidRDefault="00EF6313" w:rsidP="00D86021">
      <w:pPr>
        <w:snapToGrid w:val="0"/>
        <w:spacing w:before="240" w:line="240" w:lineRule="auto"/>
        <w:rPr>
          <w:rFonts w:asciiTheme="minorHAnsi" w:eastAsia="MS PGothic" w:hAnsiTheme="minorHAnsi"/>
          <w:color w:val="000000"/>
          <w:sz w:val="22"/>
          <w:szCs w:val="22"/>
          <w:lang w:val="en-US" w:eastAsia="ko-KR"/>
        </w:rPr>
      </w:pPr>
      <w:r w:rsidRPr="000132D8">
        <w:rPr>
          <w:rFonts w:asciiTheme="minorHAnsi" w:eastAsia="MS PGothic" w:hAnsiTheme="minorHAnsi"/>
          <w:b/>
          <w:bCs/>
          <w:color w:val="000000"/>
          <w:sz w:val="22"/>
          <w:szCs w:val="22"/>
          <w:lang w:val="en-US"/>
        </w:rPr>
        <w:t>4. Conclusion</w:t>
      </w:r>
      <w:r w:rsidRPr="000132D8">
        <w:rPr>
          <w:rFonts w:asciiTheme="minorHAnsi" w:eastAsia="MS PGothic" w:hAnsiTheme="minorHAnsi"/>
          <w:b/>
          <w:bCs/>
          <w:color w:val="000000"/>
          <w:sz w:val="22"/>
          <w:szCs w:val="22"/>
          <w:lang w:val="en-US" w:eastAsia="ko-KR"/>
        </w:rPr>
        <w:t>s</w:t>
      </w:r>
    </w:p>
    <w:p w:rsidR="00EF6313" w:rsidRPr="000132D8" w:rsidRDefault="00EF6313" w:rsidP="00D86021">
      <w:pPr>
        <w:spacing w:line="240" w:lineRule="auto"/>
        <w:rPr>
          <w:rFonts w:asciiTheme="minorHAnsi" w:hAnsiTheme="minorHAnsi"/>
          <w:sz w:val="22"/>
          <w:szCs w:val="22"/>
          <w:lang w:val="en-US"/>
        </w:rPr>
      </w:pPr>
      <w:r w:rsidRPr="000132D8">
        <w:rPr>
          <w:rFonts w:asciiTheme="minorHAnsi" w:hAnsiTheme="minorHAnsi"/>
          <w:sz w:val="22"/>
          <w:szCs w:val="22"/>
          <w:lang w:val="en-US"/>
        </w:rPr>
        <w:t xml:space="preserve">Low shear forces did not lead to significant hyphal fragmentation or lysis, on the contrary, it promoted mycelial thickening and branching in </w:t>
      </w:r>
      <w:r w:rsidRPr="000132D8">
        <w:rPr>
          <w:rFonts w:asciiTheme="minorHAnsi" w:hAnsiTheme="minorHAnsi"/>
          <w:i/>
          <w:sz w:val="22"/>
          <w:szCs w:val="22"/>
          <w:lang w:val="en-US"/>
        </w:rPr>
        <w:t>S. clavuligerus</w:t>
      </w:r>
      <w:r w:rsidRPr="000132D8">
        <w:rPr>
          <w:rFonts w:asciiTheme="minorHAnsi" w:hAnsiTheme="minorHAnsi"/>
          <w:sz w:val="22"/>
          <w:szCs w:val="22"/>
          <w:lang w:val="en-US"/>
        </w:rPr>
        <w:t xml:space="preserve">. Hence, the 2-D rocking-wave pattern of agitation favored the preservation of macromorphology in this filamentous organism. </w:t>
      </w:r>
    </w:p>
    <w:p w:rsidR="00EF6313" w:rsidRDefault="00F714F3" w:rsidP="00D86021">
      <w:pPr>
        <w:spacing w:line="240" w:lineRule="auto"/>
        <w:rPr>
          <w:rFonts w:asciiTheme="minorHAnsi" w:hAnsiTheme="minorHAnsi"/>
          <w:sz w:val="22"/>
          <w:szCs w:val="22"/>
          <w:lang w:val="en-US"/>
        </w:rPr>
      </w:pPr>
      <w:r>
        <w:rPr>
          <w:rFonts w:asciiTheme="minorHAnsi" w:hAnsiTheme="minorHAnsi"/>
          <w:sz w:val="22"/>
          <w:szCs w:val="22"/>
          <w:lang w:val="en-US"/>
        </w:rPr>
        <w:t>Oxygen plays a key role in</w:t>
      </w:r>
      <w:r w:rsidR="00EF6313" w:rsidRPr="000132D8">
        <w:rPr>
          <w:rFonts w:asciiTheme="minorHAnsi" w:hAnsiTheme="minorHAnsi"/>
          <w:sz w:val="22"/>
          <w:szCs w:val="22"/>
          <w:lang w:val="en-US"/>
        </w:rPr>
        <w:t xml:space="preserve"> enhanc</w:t>
      </w:r>
      <w:r>
        <w:rPr>
          <w:rFonts w:asciiTheme="minorHAnsi" w:hAnsiTheme="minorHAnsi"/>
          <w:sz w:val="22"/>
          <w:szCs w:val="22"/>
          <w:lang w:val="en-US"/>
        </w:rPr>
        <w:t>ing</w:t>
      </w:r>
      <w:r w:rsidR="00EF6313" w:rsidRPr="000132D8">
        <w:rPr>
          <w:rFonts w:asciiTheme="minorHAnsi" w:hAnsiTheme="minorHAnsi"/>
          <w:sz w:val="22"/>
          <w:szCs w:val="22"/>
          <w:lang w:val="en-US"/>
        </w:rPr>
        <w:t xml:space="preserve"> the CA productivity</w:t>
      </w:r>
      <w:r>
        <w:rPr>
          <w:rFonts w:asciiTheme="minorHAnsi" w:hAnsiTheme="minorHAnsi"/>
          <w:sz w:val="22"/>
          <w:szCs w:val="22"/>
          <w:lang w:val="en-US"/>
        </w:rPr>
        <w:t xml:space="preserve">, thus the </w:t>
      </w:r>
      <w:r w:rsidR="00EF6313" w:rsidRPr="000132D8">
        <w:rPr>
          <w:rFonts w:asciiTheme="minorHAnsi" w:hAnsiTheme="minorHAnsi"/>
          <w:sz w:val="22"/>
          <w:szCs w:val="22"/>
          <w:lang w:val="en-US"/>
        </w:rPr>
        <w:t xml:space="preserve">hyphal fragmentation during the exponential phase and moderate cellular stress seem to be critical for attaining high CA titers. </w:t>
      </w:r>
    </w:p>
    <w:p w:rsidR="00D86021" w:rsidRPr="00D86021" w:rsidRDefault="00D86021" w:rsidP="00D86021">
      <w:pPr>
        <w:spacing w:line="240" w:lineRule="auto"/>
        <w:rPr>
          <w:rFonts w:asciiTheme="minorHAnsi" w:hAnsiTheme="minorHAnsi"/>
          <w:szCs w:val="18"/>
          <w:lang w:val="en-US"/>
        </w:rPr>
      </w:pPr>
    </w:p>
    <w:p w:rsidR="00D86021" w:rsidRPr="00C8357C" w:rsidRDefault="00D86021" w:rsidP="00C8357C">
      <w:pPr>
        <w:pStyle w:val="MDPI62Acknowledgments"/>
        <w:spacing w:line="240" w:lineRule="auto"/>
        <w:rPr>
          <w:rFonts w:asciiTheme="minorHAnsi" w:hAnsiTheme="minorHAnsi" w:cstheme="minorHAnsi"/>
          <w:color w:val="222222"/>
          <w:szCs w:val="18"/>
          <w:shd w:val="clear" w:color="auto" w:fill="FFFFFF"/>
        </w:rPr>
      </w:pPr>
      <w:r w:rsidRPr="00C8357C">
        <w:rPr>
          <w:rFonts w:asciiTheme="minorHAnsi" w:hAnsiTheme="minorHAnsi" w:cstheme="minorHAnsi"/>
          <w:b/>
          <w:szCs w:val="18"/>
        </w:rPr>
        <w:t xml:space="preserve">Acknowledgement: </w:t>
      </w:r>
      <w:r w:rsidRPr="00C8357C">
        <w:rPr>
          <w:rFonts w:asciiTheme="minorHAnsi" w:hAnsiTheme="minorHAnsi" w:cstheme="minorHAnsi"/>
          <w:szCs w:val="18"/>
        </w:rPr>
        <w:t xml:space="preserve">The authors kindly acknowledge the support of </w:t>
      </w:r>
      <w:proofErr w:type="spellStart"/>
      <w:r w:rsidRPr="00C8357C">
        <w:rPr>
          <w:rFonts w:asciiTheme="minorHAnsi" w:hAnsiTheme="minorHAnsi" w:cstheme="minorHAnsi"/>
          <w:szCs w:val="18"/>
        </w:rPr>
        <w:t>Departamento</w:t>
      </w:r>
      <w:proofErr w:type="spellEnd"/>
      <w:r w:rsidRPr="00C8357C">
        <w:rPr>
          <w:rFonts w:asciiTheme="minorHAnsi" w:hAnsiTheme="minorHAnsi" w:cstheme="minorHAnsi"/>
          <w:szCs w:val="18"/>
        </w:rPr>
        <w:t xml:space="preserve"> </w:t>
      </w:r>
      <w:proofErr w:type="spellStart"/>
      <w:r w:rsidRPr="00C8357C">
        <w:rPr>
          <w:rFonts w:asciiTheme="minorHAnsi" w:hAnsiTheme="minorHAnsi" w:cstheme="minorHAnsi"/>
          <w:szCs w:val="18"/>
        </w:rPr>
        <w:t>Administrativo</w:t>
      </w:r>
      <w:proofErr w:type="spellEnd"/>
      <w:r w:rsidRPr="00C8357C">
        <w:rPr>
          <w:rFonts w:asciiTheme="minorHAnsi" w:hAnsiTheme="minorHAnsi" w:cstheme="minorHAnsi"/>
          <w:szCs w:val="18"/>
        </w:rPr>
        <w:t xml:space="preserve"> de </w:t>
      </w:r>
      <w:proofErr w:type="spellStart"/>
      <w:r w:rsidRPr="00C8357C">
        <w:rPr>
          <w:rFonts w:asciiTheme="minorHAnsi" w:hAnsiTheme="minorHAnsi" w:cstheme="minorHAnsi"/>
          <w:szCs w:val="18"/>
        </w:rPr>
        <w:t>Ciencia</w:t>
      </w:r>
      <w:proofErr w:type="spellEnd"/>
      <w:r w:rsidRPr="00C8357C">
        <w:rPr>
          <w:rFonts w:asciiTheme="minorHAnsi" w:hAnsiTheme="minorHAnsi" w:cstheme="minorHAnsi"/>
          <w:szCs w:val="18"/>
        </w:rPr>
        <w:t xml:space="preserve">, </w:t>
      </w:r>
      <w:proofErr w:type="spellStart"/>
      <w:r w:rsidRPr="00C8357C">
        <w:rPr>
          <w:rFonts w:asciiTheme="minorHAnsi" w:hAnsiTheme="minorHAnsi" w:cstheme="minorHAnsi"/>
          <w:szCs w:val="18"/>
        </w:rPr>
        <w:t>Tecnología</w:t>
      </w:r>
      <w:proofErr w:type="spellEnd"/>
      <w:r w:rsidRPr="00C8357C">
        <w:rPr>
          <w:rFonts w:asciiTheme="minorHAnsi" w:hAnsiTheme="minorHAnsi" w:cstheme="minorHAnsi"/>
          <w:szCs w:val="18"/>
        </w:rPr>
        <w:t xml:space="preserve"> e </w:t>
      </w:r>
      <w:proofErr w:type="spellStart"/>
      <w:r w:rsidRPr="00C8357C">
        <w:rPr>
          <w:rFonts w:asciiTheme="minorHAnsi" w:hAnsiTheme="minorHAnsi" w:cstheme="minorHAnsi"/>
          <w:szCs w:val="18"/>
        </w:rPr>
        <w:t>Innovación</w:t>
      </w:r>
      <w:proofErr w:type="spellEnd"/>
      <w:r w:rsidRPr="00C8357C">
        <w:rPr>
          <w:rFonts w:asciiTheme="minorHAnsi" w:hAnsiTheme="minorHAnsi" w:cstheme="minorHAnsi"/>
          <w:szCs w:val="18"/>
        </w:rPr>
        <w:t xml:space="preserve">– </w:t>
      </w:r>
      <w:proofErr w:type="spellStart"/>
      <w:r w:rsidRPr="00C8357C">
        <w:rPr>
          <w:rFonts w:asciiTheme="minorHAnsi" w:hAnsiTheme="minorHAnsi" w:cstheme="minorHAnsi"/>
          <w:szCs w:val="18"/>
        </w:rPr>
        <w:t>COLCENCIAS</w:t>
      </w:r>
      <w:proofErr w:type="spellEnd"/>
      <w:r w:rsidRPr="00C8357C">
        <w:rPr>
          <w:rFonts w:asciiTheme="minorHAnsi" w:hAnsiTheme="minorHAnsi" w:cstheme="minorHAnsi"/>
          <w:szCs w:val="18"/>
        </w:rPr>
        <w:t xml:space="preserve"> grant number </w:t>
      </w:r>
      <w:r w:rsidRPr="00C8357C">
        <w:rPr>
          <w:rFonts w:asciiTheme="minorHAnsi" w:hAnsiTheme="minorHAnsi" w:cstheme="minorHAnsi"/>
          <w:color w:val="222222"/>
          <w:szCs w:val="18"/>
          <w:shd w:val="clear" w:color="auto" w:fill="FFFFFF"/>
        </w:rPr>
        <w:t>111577657246 CT 432-2017.</w:t>
      </w:r>
    </w:p>
    <w:p w:rsidR="00EF6313" w:rsidRPr="00D86021" w:rsidRDefault="00EF6313" w:rsidP="00D86021">
      <w:pPr>
        <w:snapToGrid w:val="0"/>
        <w:spacing w:before="240" w:line="240" w:lineRule="auto"/>
        <w:rPr>
          <w:rFonts w:asciiTheme="minorHAnsi" w:eastAsia="MS PGothic" w:hAnsiTheme="minorHAnsi" w:cstheme="minorHAnsi"/>
          <w:b/>
          <w:bCs/>
          <w:color w:val="000000"/>
          <w:szCs w:val="18"/>
          <w:lang w:val="en-US"/>
        </w:rPr>
      </w:pPr>
      <w:r w:rsidRPr="00D86021">
        <w:rPr>
          <w:rFonts w:asciiTheme="minorHAnsi" w:eastAsia="MS PGothic" w:hAnsiTheme="minorHAnsi" w:cstheme="minorHAnsi"/>
          <w:b/>
          <w:bCs/>
          <w:color w:val="000000"/>
          <w:szCs w:val="18"/>
          <w:lang w:val="en-US"/>
        </w:rPr>
        <w:t>References</w:t>
      </w:r>
    </w:p>
    <w:p w:rsidR="00EF6313" w:rsidRPr="00D86021" w:rsidRDefault="00EF6313" w:rsidP="00D86021">
      <w:pPr>
        <w:widowControl w:val="0"/>
        <w:autoSpaceDE w:val="0"/>
        <w:autoSpaceDN w:val="0"/>
        <w:adjustRightInd w:val="0"/>
        <w:spacing w:line="240" w:lineRule="auto"/>
        <w:ind w:left="640" w:hanging="640"/>
        <w:rPr>
          <w:rFonts w:asciiTheme="minorHAnsi" w:hAnsiTheme="minorHAnsi" w:cstheme="minorHAnsi"/>
          <w:noProof/>
          <w:szCs w:val="18"/>
        </w:rPr>
      </w:pPr>
      <w:r w:rsidRPr="00D86021">
        <w:rPr>
          <w:rFonts w:asciiTheme="minorHAnsi" w:eastAsia="SimSun" w:hAnsiTheme="minorHAnsi" w:cstheme="minorHAnsi"/>
          <w:b/>
          <w:bCs/>
          <w:color w:val="000000"/>
          <w:szCs w:val="18"/>
          <w:lang w:val="en-US" w:eastAsia="zh-CN"/>
        </w:rPr>
        <w:fldChar w:fldCharType="begin" w:fldLock="1"/>
      </w:r>
      <w:r w:rsidRPr="00D86021">
        <w:rPr>
          <w:rFonts w:asciiTheme="minorHAnsi" w:eastAsia="SimSun" w:hAnsiTheme="minorHAnsi" w:cstheme="minorHAnsi"/>
          <w:b/>
          <w:bCs/>
          <w:color w:val="000000"/>
          <w:szCs w:val="18"/>
          <w:lang w:val="en-US" w:eastAsia="zh-CN"/>
        </w:rPr>
        <w:instrText xml:space="preserve">ADDIN Mendeley Bibliography CSL_BIBLIOGRAPHY </w:instrText>
      </w:r>
      <w:r w:rsidRPr="00D86021">
        <w:rPr>
          <w:rFonts w:asciiTheme="minorHAnsi" w:eastAsia="SimSun" w:hAnsiTheme="minorHAnsi" w:cstheme="minorHAnsi"/>
          <w:b/>
          <w:bCs/>
          <w:color w:val="000000"/>
          <w:szCs w:val="18"/>
          <w:lang w:val="en-US" w:eastAsia="zh-CN"/>
        </w:rPr>
        <w:fldChar w:fldCharType="separate"/>
      </w:r>
      <w:r w:rsidRPr="00D86021">
        <w:rPr>
          <w:rFonts w:asciiTheme="minorHAnsi" w:hAnsiTheme="minorHAnsi" w:cstheme="minorHAnsi"/>
          <w:noProof/>
          <w:szCs w:val="18"/>
        </w:rPr>
        <w:t>[1]</w:t>
      </w:r>
      <w:r w:rsidRPr="00D86021">
        <w:rPr>
          <w:rFonts w:asciiTheme="minorHAnsi" w:hAnsiTheme="minorHAnsi" w:cstheme="minorHAnsi"/>
          <w:noProof/>
          <w:szCs w:val="18"/>
        </w:rPr>
        <w:tab/>
        <w:t>H. Ramirez-malule, S. Junne, M.N. Cruz-bournazou, P. Neubauer, Streptomyces clavuligerus shows a strong association between TCA cycle intermediate accumulation and clavulanic acid biosynthesis, (2018).</w:t>
      </w:r>
    </w:p>
    <w:p w:rsidR="00EF6313" w:rsidRPr="00D86021" w:rsidRDefault="00EF6313" w:rsidP="00D86021">
      <w:pPr>
        <w:widowControl w:val="0"/>
        <w:autoSpaceDE w:val="0"/>
        <w:autoSpaceDN w:val="0"/>
        <w:adjustRightInd w:val="0"/>
        <w:spacing w:line="240" w:lineRule="auto"/>
        <w:ind w:left="640" w:hanging="640"/>
        <w:rPr>
          <w:rFonts w:asciiTheme="minorHAnsi" w:hAnsiTheme="minorHAnsi" w:cstheme="minorHAnsi"/>
          <w:noProof/>
          <w:szCs w:val="18"/>
        </w:rPr>
      </w:pPr>
      <w:r w:rsidRPr="00D86021">
        <w:rPr>
          <w:rFonts w:asciiTheme="minorHAnsi" w:hAnsiTheme="minorHAnsi" w:cstheme="minorHAnsi"/>
          <w:noProof/>
          <w:szCs w:val="18"/>
        </w:rPr>
        <w:t>[2]</w:t>
      </w:r>
      <w:r w:rsidRPr="00D86021">
        <w:rPr>
          <w:rFonts w:asciiTheme="minorHAnsi" w:hAnsiTheme="minorHAnsi" w:cstheme="minorHAnsi"/>
          <w:noProof/>
          <w:szCs w:val="18"/>
        </w:rPr>
        <w:tab/>
        <w:t>E.A. Barka, P. Vatsa, L. Sanchez, N. Gaveau-vaillant, C. Jacquard, H. Klenk, C. Clément, Y. Ouhdouch, P. Van Wezel, Taxonomy , Physiology , and Natural Products of Actinobacteria, Microbiol. Mol. Biol. Rev. 80 (2016) 1–44. doi:10.1128/MMBR.00019-15.Address.</w:t>
      </w:r>
    </w:p>
    <w:p w:rsidR="00704BDF" w:rsidRPr="00704BDF" w:rsidRDefault="00EF6313" w:rsidP="00C8357C">
      <w:pPr>
        <w:widowControl w:val="0"/>
        <w:autoSpaceDE w:val="0"/>
        <w:autoSpaceDN w:val="0"/>
        <w:adjustRightInd w:val="0"/>
        <w:spacing w:line="240" w:lineRule="auto"/>
        <w:ind w:left="640" w:hanging="640"/>
        <w:rPr>
          <w:rFonts w:asciiTheme="minorHAnsi" w:eastAsia="SimSun" w:hAnsiTheme="minorHAnsi"/>
          <w:sz w:val="22"/>
          <w:szCs w:val="22"/>
          <w:lang w:eastAsia="zh-CN"/>
        </w:rPr>
      </w:pPr>
      <w:r w:rsidRPr="00D86021">
        <w:rPr>
          <w:rFonts w:asciiTheme="minorHAnsi" w:hAnsiTheme="minorHAnsi" w:cstheme="minorHAnsi"/>
          <w:noProof/>
          <w:szCs w:val="18"/>
        </w:rPr>
        <w:t>[3]</w:t>
      </w:r>
      <w:r w:rsidRPr="00D86021">
        <w:rPr>
          <w:rFonts w:asciiTheme="minorHAnsi" w:hAnsiTheme="minorHAnsi" w:cstheme="minorHAnsi"/>
          <w:noProof/>
          <w:szCs w:val="18"/>
        </w:rPr>
        <w:tab/>
        <w:t>E. Olmos, N. Mehmood, L. Haj Husein, J.L. Goergen, M. Fick, S. Delaunay, Effects of bioreactor hydrodynamics on the physiology of Streptomyces, Bioprocess Biosyst. Eng. 36 (2013) 259–272. doi:10.1007/s00449-012-0794-1.</w:t>
      </w:r>
      <w:r w:rsidRPr="00D86021">
        <w:rPr>
          <w:rFonts w:asciiTheme="minorHAnsi" w:eastAsia="SimSun" w:hAnsiTheme="minorHAnsi" w:cstheme="minorHAnsi"/>
          <w:b/>
          <w:bCs/>
          <w:color w:val="000000"/>
          <w:szCs w:val="18"/>
          <w:lang w:val="en-US" w:eastAsia="zh-CN"/>
        </w:rPr>
        <w:fldChar w:fldCharType="end"/>
      </w: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664" w:rsidRDefault="009A4664" w:rsidP="004F5E36">
      <w:r>
        <w:separator/>
      </w:r>
    </w:p>
  </w:endnote>
  <w:endnote w:type="continuationSeparator" w:id="0">
    <w:p w:rsidR="009A4664" w:rsidRDefault="009A466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WarnockPro-Regular">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664" w:rsidRDefault="009A4664" w:rsidP="004F5E36">
      <w:r>
        <w:separator/>
      </w:r>
    </w:p>
  </w:footnote>
  <w:footnote w:type="continuationSeparator" w:id="0">
    <w:p w:rsidR="009A4664" w:rsidRDefault="009A4664"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776" w:rsidRDefault="000C7776">
    <w:pPr>
      <w:pStyle w:val="Intestazione"/>
    </w:pPr>
    <w:r>
      <w:rPr>
        <w:noProof/>
        <w:lang w:val="it-IT" w:eastAsia="it-IT"/>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BF7FDF"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Pr>
        <w:noProof/>
        <w:lang w:val="it-IT" w:eastAsia="it-IT"/>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776" w:rsidRPr="004F563B" w:rsidRDefault="000C7776" w:rsidP="00704BDF">
    <w:pPr>
      <w:ind w:left="-426" w:right="-285"/>
      <w:jc w:val="center"/>
      <w:rPr>
        <w:rFonts w:asciiTheme="minorHAnsi" w:hAnsiTheme="minorHAnsi"/>
        <w:b/>
        <w:i/>
        <w:color w:val="7030A0"/>
        <w:sz w:val="24"/>
        <w:szCs w:val="24"/>
        <w:lang w:val="en-US"/>
      </w:rPr>
    </w:pPr>
    <w:r>
      <w:rPr>
        <w:noProof/>
        <w:lang w:val="it-IT" w:eastAsia="it-IT"/>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 xml:space="preserve">th </w:t>
    </w:r>
    <w:r w:rsidRPr="004F563B">
      <w:rPr>
        <w:rFonts w:asciiTheme="minorHAnsi" w:hAnsiTheme="minorHAnsi"/>
        <w:b/>
        <w:i/>
        <w:color w:val="7030A0"/>
        <w:sz w:val="24"/>
        <w:szCs w:val="24"/>
        <w:lang w:val="en-US"/>
      </w:rPr>
      <w:t>EUROPEAN CONGRESS OF APPLIED BIOTECHNOLOGY</w:t>
    </w:r>
    <w:r w:rsidRPr="004F563B">
      <w:rPr>
        <w:rFonts w:asciiTheme="minorHAnsi" w:hAnsiTheme="minorHAnsi"/>
        <w:b/>
        <w:i/>
        <w:color w:val="7030A0"/>
        <w:sz w:val="24"/>
        <w:szCs w:val="24"/>
        <w:lang w:val="en-US"/>
      </w:rPr>
      <w:br/>
      <w:t xml:space="preserve">                               Florence 15-19 September 2019</w:t>
    </w:r>
  </w:p>
  <w:p w:rsidR="000C7776" w:rsidRDefault="000C7776">
    <w:pPr>
      <w:pStyle w:val="Intestazione"/>
    </w:pPr>
  </w:p>
  <w:p w:rsidR="000C7776" w:rsidRDefault="000C7776">
    <w:pPr>
      <w:pStyle w:val="Intestazione"/>
    </w:pP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C92DAD"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132D8"/>
    <w:rsid w:val="0003148D"/>
    <w:rsid w:val="00062A9A"/>
    <w:rsid w:val="000A03B2"/>
    <w:rsid w:val="000C7776"/>
    <w:rsid w:val="000D34BE"/>
    <w:rsid w:val="000D5E0D"/>
    <w:rsid w:val="000E36F1"/>
    <w:rsid w:val="000E3A73"/>
    <w:rsid w:val="000E414A"/>
    <w:rsid w:val="00101861"/>
    <w:rsid w:val="0013121F"/>
    <w:rsid w:val="00134DE4"/>
    <w:rsid w:val="00150E59"/>
    <w:rsid w:val="00155470"/>
    <w:rsid w:val="00161127"/>
    <w:rsid w:val="00184AD6"/>
    <w:rsid w:val="001A7F95"/>
    <w:rsid w:val="001B65C1"/>
    <w:rsid w:val="001C684B"/>
    <w:rsid w:val="001D53FC"/>
    <w:rsid w:val="001F2EC7"/>
    <w:rsid w:val="002065DB"/>
    <w:rsid w:val="002447EF"/>
    <w:rsid w:val="00251550"/>
    <w:rsid w:val="0027221A"/>
    <w:rsid w:val="00275B61"/>
    <w:rsid w:val="002D1F12"/>
    <w:rsid w:val="003009B7"/>
    <w:rsid w:val="0030469C"/>
    <w:rsid w:val="003238AA"/>
    <w:rsid w:val="00323FC2"/>
    <w:rsid w:val="003535C0"/>
    <w:rsid w:val="003723D4"/>
    <w:rsid w:val="00396927"/>
    <w:rsid w:val="003A7D1C"/>
    <w:rsid w:val="003D64F9"/>
    <w:rsid w:val="00405FF6"/>
    <w:rsid w:val="0046164A"/>
    <w:rsid w:val="00462DCD"/>
    <w:rsid w:val="00486B7F"/>
    <w:rsid w:val="004A5A5D"/>
    <w:rsid w:val="004D1162"/>
    <w:rsid w:val="004E4DD6"/>
    <w:rsid w:val="004F563B"/>
    <w:rsid w:val="004F5E36"/>
    <w:rsid w:val="005119A5"/>
    <w:rsid w:val="00520E94"/>
    <w:rsid w:val="005278B7"/>
    <w:rsid w:val="005346C8"/>
    <w:rsid w:val="00594E9F"/>
    <w:rsid w:val="005B61E6"/>
    <w:rsid w:val="005C638D"/>
    <w:rsid w:val="005C77E1"/>
    <w:rsid w:val="005D6A2F"/>
    <w:rsid w:val="005E1A82"/>
    <w:rsid w:val="005F0A28"/>
    <w:rsid w:val="005F0E5E"/>
    <w:rsid w:val="00620DEE"/>
    <w:rsid w:val="00625639"/>
    <w:rsid w:val="006366F8"/>
    <w:rsid w:val="0064184D"/>
    <w:rsid w:val="00660E3E"/>
    <w:rsid w:val="00662E74"/>
    <w:rsid w:val="006B01AC"/>
    <w:rsid w:val="006C5579"/>
    <w:rsid w:val="006E2D42"/>
    <w:rsid w:val="006F37E5"/>
    <w:rsid w:val="00704BDF"/>
    <w:rsid w:val="007272FB"/>
    <w:rsid w:val="00736B13"/>
    <w:rsid w:val="007447F3"/>
    <w:rsid w:val="007661C8"/>
    <w:rsid w:val="00777BAF"/>
    <w:rsid w:val="0078621E"/>
    <w:rsid w:val="007C24A9"/>
    <w:rsid w:val="007D52CD"/>
    <w:rsid w:val="00813288"/>
    <w:rsid w:val="008168FC"/>
    <w:rsid w:val="008479A2"/>
    <w:rsid w:val="0087637F"/>
    <w:rsid w:val="00877AD7"/>
    <w:rsid w:val="008A1512"/>
    <w:rsid w:val="008D0BEB"/>
    <w:rsid w:val="008E566E"/>
    <w:rsid w:val="00901EB6"/>
    <w:rsid w:val="009163BA"/>
    <w:rsid w:val="009446B2"/>
    <w:rsid w:val="009450CE"/>
    <w:rsid w:val="0095164B"/>
    <w:rsid w:val="00996483"/>
    <w:rsid w:val="009A4664"/>
    <w:rsid w:val="009E788A"/>
    <w:rsid w:val="00A01A77"/>
    <w:rsid w:val="00A1763D"/>
    <w:rsid w:val="00A17CEC"/>
    <w:rsid w:val="00A27EF0"/>
    <w:rsid w:val="00A76EFC"/>
    <w:rsid w:val="00A97F29"/>
    <w:rsid w:val="00AB0964"/>
    <w:rsid w:val="00AD7B7A"/>
    <w:rsid w:val="00AE377D"/>
    <w:rsid w:val="00B510DE"/>
    <w:rsid w:val="00B61DBF"/>
    <w:rsid w:val="00BC30C9"/>
    <w:rsid w:val="00BE3E58"/>
    <w:rsid w:val="00C01616"/>
    <w:rsid w:val="00C0162B"/>
    <w:rsid w:val="00C0593C"/>
    <w:rsid w:val="00C345B1"/>
    <w:rsid w:val="00C40142"/>
    <w:rsid w:val="00C57182"/>
    <w:rsid w:val="00C655FD"/>
    <w:rsid w:val="00C7427F"/>
    <w:rsid w:val="00C8357C"/>
    <w:rsid w:val="00C94434"/>
    <w:rsid w:val="00CA1C95"/>
    <w:rsid w:val="00CA5A9C"/>
    <w:rsid w:val="00CC3F4B"/>
    <w:rsid w:val="00CD044D"/>
    <w:rsid w:val="00CD5FE2"/>
    <w:rsid w:val="00D02B4C"/>
    <w:rsid w:val="00D52A6A"/>
    <w:rsid w:val="00D55C11"/>
    <w:rsid w:val="00D645E6"/>
    <w:rsid w:val="00D84576"/>
    <w:rsid w:val="00D86021"/>
    <w:rsid w:val="00DC5CF9"/>
    <w:rsid w:val="00DE0019"/>
    <w:rsid w:val="00DE264A"/>
    <w:rsid w:val="00E041E7"/>
    <w:rsid w:val="00E23CA1"/>
    <w:rsid w:val="00E409A8"/>
    <w:rsid w:val="00E47211"/>
    <w:rsid w:val="00E7209D"/>
    <w:rsid w:val="00EA201B"/>
    <w:rsid w:val="00EA50E1"/>
    <w:rsid w:val="00EE0131"/>
    <w:rsid w:val="00EF6313"/>
    <w:rsid w:val="00F30C64"/>
    <w:rsid w:val="00F707A0"/>
    <w:rsid w:val="00F714F3"/>
    <w:rsid w:val="00FB10C8"/>
    <w:rsid w:val="00FB730C"/>
    <w:rsid w:val="00FC2695"/>
    <w:rsid w:val="00FC3E03"/>
    <w:rsid w:val="00FD218A"/>
    <w:rsid w:val="00FE6A2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7C34FE3-EC2C-4588-BD34-33269FE5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character" w:customStyle="1" w:styleId="fontstyle01">
    <w:name w:val="fontstyle01"/>
    <w:basedOn w:val="Carpredefinitoparagrafo"/>
    <w:rsid w:val="00EF6313"/>
    <w:rPr>
      <w:rFonts w:ascii="WarnockPro-Regular" w:hAnsi="WarnockPro-Regular" w:hint="default"/>
      <w:b w:val="0"/>
      <w:bCs w:val="0"/>
      <w:i w:val="0"/>
      <w:iCs w:val="0"/>
      <w:color w:val="000000"/>
      <w:sz w:val="20"/>
      <w:szCs w:val="20"/>
    </w:rPr>
  </w:style>
  <w:style w:type="paragraph" w:customStyle="1" w:styleId="MDPI62Acknowledgments">
    <w:name w:val="MDPI_6.2_Acknowledgments"/>
    <w:qFormat/>
    <w:rsid w:val="00D86021"/>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Andres\Google%20Drive\Drive\MetabolicModeling\Results_summary_CT_STR_DAG.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70672175202201"/>
          <c:y val="6.7011879378617106E-2"/>
          <c:w val="0.71622952990887001"/>
          <c:h val="0.761253405020058"/>
        </c:manualLayout>
      </c:layout>
      <c:scatterChart>
        <c:scatterStyle val="smoothMarker"/>
        <c:varyColors val="0"/>
        <c:ser>
          <c:idx val="2"/>
          <c:order val="2"/>
          <c:tx>
            <c:v>Biomass STR</c:v>
          </c:tx>
          <c:spPr>
            <a:ln w="9525" cap="rnd">
              <a:solidFill>
                <a:srgbClr val="C00000"/>
              </a:solidFill>
              <a:round/>
            </a:ln>
            <a:effectLst/>
          </c:spPr>
          <c:marker>
            <c:symbol val="x"/>
            <c:size val="3"/>
            <c:spPr>
              <a:solidFill>
                <a:srgbClr val="C00000"/>
              </a:solidFill>
              <a:ln w="9525">
                <a:solidFill>
                  <a:srgbClr val="C00000"/>
                </a:solidFill>
              </a:ln>
              <a:effectLst/>
            </c:spPr>
          </c:marker>
          <c:errBars>
            <c:errDir val="y"/>
            <c:errBarType val="both"/>
            <c:errValType val="cust"/>
            <c:noEndCap val="0"/>
            <c:plus>
              <c:numRef>
                <c:f>Biomass!$CW$3:$CW$16</c:f>
                <c:numCache>
                  <c:formatCode>General</c:formatCode>
                  <c:ptCount val="14"/>
                  <c:pt idx="0">
                    <c:v>0.325269119</c:v>
                  </c:pt>
                  <c:pt idx="1">
                    <c:v>0.19445435999999999</c:v>
                  </c:pt>
                  <c:pt idx="2">
                    <c:v>0.67639916700000002</c:v>
                  </c:pt>
                  <c:pt idx="3">
                    <c:v>0.85615530100000004</c:v>
                  </c:pt>
                  <c:pt idx="4">
                    <c:v>0.62533646700000001</c:v>
                  </c:pt>
                  <c:pt idx="5">
                    <c:v>0.49285342599999998</c:v>
                  </c:pt>
                  <c:pt idx="6">
                    <c:v>0.82221417500000005</c:v>
                  </c:pt>
                  <c:pt idx="7">
                    <c:v>0.509672978</c:v>
                  </c:pt>
                  <c:pt idx="8">
                    <c:v>0.37885822299999999</c:v>
                  </c:pt>
                  <c:pt idx="9">
                    <c:v>0.84357839000000001</c:v>
                  </c:pt>
                  <c:pt idx="10">
                    <c:v>0.80857660399999998</c:v>
                  </c:pt>
                  <c:pt idx="11">
                    <c:v>0.61629509000000005</c:v>
                  </c:pt>
                  <c:pt idx="12">
                    <c:v>0.55477679999999996</c:v>
                  </c:pt>
                  <c:pt idx="13">
                    <c:v>0.83549819299999994</c:v>
                  </c:pt>
                </c:numCache>
              </c:numRef>
            </c:plus>
            <c:minus>
              <c:numRef>
                <c:f>Biomass!$CW$3:$CW$16</c:f>
                <c:numCache>
                  <c:formatCode>General</c:formatCode>
                  <c:ptCount val="14"/>
                  <c:pt idx="0">
                    <c:v>0.325269119</c:v>
                  </c:pt>
                  <c:pt idx="1">
                    <c:v>0.19445435999999999</c:v>
                  </c:pt>
                  <c:pt idx="2">
                    <c:v>0.67639916700000002</c:v>
                  </c:pt>
                  <c:pt idx="3">
                    <c:v>0.85615530100000004</c:v>
                  </c:pt>
                  <c:pt idx="4">
                    <c:v>0.62533646700000001</c:v>
                  </c:pt>
                  <c:pt idx="5">
                    <c:v>0.49285342599999998</c:v>
                  </c:pt>
                  <c:pt idx="6">
                    <c:v>0.82221417500000005</c:v>
                  </c:pt>
                  <c:pt idx="7">
                    <c:v>0.509672978</c:v>
                  </c:pt>
                  <c:pt idx="8">
                    <c:v>0.37885822299999999</c:v>
                  </c:pt>
                  <c:pt idx="9">
                    <c:v>0.84357839000000001</c:v>
                  </c:pt>
                  <c:pt idx="10">
                    <c:v>0.80857660399999998</c:v>
                  </c:pt>
                  <c:pt idx="11">
                    <c:v>0.61629509000000005</c:v>
                  </c:pt>
                  <c:pt idx="12">
                    <c:v>0.55477679999999996</c:v>
                  </c:pt>
                  <c:pt idx="13">
                    <c:v>0.83549819299999994</c:v>
                  </c:pt>
                </c:numCache>
              </c:numRef>
            </c:minus>
            <c:spPr>
              <a:noFill/>
              <a:ln w="9525" cap="flat" cmpd="sng" algn="ctr">
                <a:solidFill>
                  <a:srgbClr val="C00000"/>
                </a:solidFill>
                <a:round/>
              </a:ln>
              <a:effectLst/>
            </c:spPr>
          </c:errBars>
          <c:xVal>
            <c:numRef>
              <c:f>Biomass!$CU$3:$CU$16</c:f>
              <c:numCache>
                <c:formatCode>General</c:formatCode>
                <c:ptCount val="14"/>
                <c:pt idx="0">
                  <c:v>0</c:v>
                </c:pt>
                <c:pt idx="1">
                  <c:v>12.741666665</c:v>
                </c:pt>
                <c:pt idx="2">
                  <c:v>20.916666665000001</c:v>
                </c:pt>
                <c:pt idx="3">
                  <c:v>30.283333334999998</c:v>
                </c:pt>
                <c:pt idx="4">
                  <c:v>42.658333335000002</c:v>
                </c:pt>
                <c:pt idx="5">
                  <c:v>52.083333335000013</c:v>
                </c:pt>
                <c:pt idx="6">
                  <c:v>57.975000000000001</c:v>
                </c:pt>
                <c:pt idx="7">
                  <c:v>73.541666665000051</c:v>
                </c:pt>
                <c:pt idx="8">
                  <c:v>82.566666665</c:v>
                </c:pt>
                <c:pt idx="9">
                  <c:v>89.908333349999978</c:v>
                </c:pt>
                <c:pt idx="10">
                  <c:v>101.61666665</c:v>
                </c:pt>
                <c:pt idx="11">
                  <c:v>114.325</c:v>
                </c:pt>
                <c:pt idx="12">
                  <c:v>126.675</c:v>
                </c:pt>
                <c:pt idx="13">
                  <c:v>145</c:v>
                </c:pt>
              </c:numCache>
            </c:numRef>
          </c:xVal>
          <c:yVal>
            <c:numRef>
              <c:f>Biomass!$CV$3:$CV$16</c:f>
              <c:numCache>
                <c:formatCode>0.00</c:formatCode>
                <c:ptCount val="14"/>
                <c:pt idx="0">
                  <c:v>1.66</c:v>
                </c:pt>
                <c:pt idx="1">
                  <c:v>2.0437500000000002</c:v>
                </c:pt>
                <c:pt idx="2">
                  <c:v>4.5774999999999997</c:v>
                </c:pt>
                <c:pt idx="3">
                  <c:v>5.4874999999999998</c:v>
                </c:pt>
                <c:pt idx="4">
                  <c:v>11.1035</c:v>
                </c:pt>
                <c:pt idx="5">
                  <c:v>10.871499999999999</c:v>
                </c:pt>
                <c:pt idx="6">
                  <c:v>9.9385000000000012</c:v>
                </c:pt>
                <c:pt idx="7">
                  <c:v>11.0175</c:v>
                </c:pt>
                <c:pt idx="8">
                  <c:v>11.425000000000001</c:v>
                </c:pt>
                <c:pt idx="9">
                  <c:v>11.8965</c:v>
                </c:pt>
                <c:pt idx="10">
                  <c:v>14.51825</c:v>
                </c:pt>
                <c:pt idx="11">
                  <c:v>13.55</c:v>
                </c:pt>
                <c:pt idx="12">
                  <c:v>10.6435</c:v>
                </c:pt>
                <c:pt idx="13">
                  <c:v>9.9950000000000028</c:v>
                </c:pt>
              </c:numCache>
            </c:numRef>
          </c:yVal>
          <c:smooth val="0"/>
          <c:extLst xmlns:c16r2="http://schemas.microsoft.com/office/drawing/2015/06/chart">
            <c:ext xmlns:c16="http://schemas.microsoft.com/office/drawing/2014/chart" uri="{C3380CC4-5D6E-409C-BE32-E72D297353CC}">
              <c16:uniqueId val="{00000000-17B1-47F1-BE8D-948D4CB7D981}"/>
            </c:ext>
          </c:extLst>
        </c:ser>
        <c:ser>
          <c:idx val="3"/>
          <c:order val="3"/>
          <c:tx>
            <c:v>Biomass CT</c:v>
          </c:tx>
          <c:spPr>
            <a:ln w="9525" cap="rnd">
              <a:solidFill>
                <a:srgbClr val="002060"/>
              </a:solidFill>
              <a:round/>
            </a:ln>
            <a:effectLst/>
          </c:spPr>
          <c:marker>
            <c:symbol val="circle"/>
            <c:size val="4"/>
            <c:spPr>
              <a:solidFill>
                <a:srgbClr val="002060"/>
              </a:solidFill>
              <a:ln w="9525">
                <a:solidFill>
                  <a:srgbClr val="002060"/>
                </a:solidFill>
              </a:ln>
              <a:effectLst/>
            </c:spPr>
          </c:marker>
          <c:errBars>
            <c:errDir val="y"/>
            <c:errBarType val="both"/>
            <c:errValType val="cust"/>
            <c:noEndCap val="0"/>
            <c:plus>
              <c:numRef>
                <c:f>Biomass!$DI$3:$DI$18</c:f>
                <c:numCache>
                  <c:formatCode>General</c:formatCode>
                  <c:ptCount val="16"/>
                  <c:pt idx="0">
                    <c:v>0.60811183199999996</c:v>
                  </c:pt>
                  <c:pt idx="1">
                    <c:v>0.86934341999999998</c:v>
                  </c:pt>
                  <c:pt idx="2">
                    <c:v>0.67838379999999998</c:v>
                  </c:pt>
                  <c:pt idx="3">
                    <c:v>1.0081832589999999</c:v>
                  </c:pt>
                  <c:pt idx="4">
                    <c:v>1.060660172</c:v>
                  </c:pt>
                  <c:pt idx="5">
                    <c:v>0.91414213600000005</c:v>
                  </c:pt>
                  <c:pt idx="6">
                    <c:v>0.90620887100000003</c:v>
                  </c:pt>
                  <c:pt idx="7">
                    <c:v>0.52735064700000001</c:v>
                  </c:pt>
                  <c:pt idx="8">
                    <c:v>0.82842709999999997</c:v>
                  </c:pt>
                  <c:pt idx="9">
                    <c:v>0.73797257000000005</c:v>
                  </c:pt>
                  <c:pt idx="10">
                    <c:v>0.72792210000000002</c:v>
                  </c:pt>
                  <c:pt idx="11">
                    <c:v>0.89095454399999996</c:v>
                  </c:pt>
                  <c:pt idx="12">
                    <c:v>0.86378246000000003</c:v>
                  </c:pt>
                  <c:pt idx="13">
                    <c:v>0.70468344000000005</c:v>
                  </c:pt>
                  <c:pt idx="14">
                    <c:v>0.533345238</c:v>
                  </c:pt>
                  <c:pt idx="15">
                    <c:v>0.68700576999999996</c:v>
                  </c:pt>
                </c:numCache>
              </c:numRef>
            </c:plus>
            <c:minus>
              <c:numRef>
                <c:f>Biomass!$DI$3:$DI$18</c:f>
                <c:numCache>
                  <c:formatCode>General</c:formatCode>
                  <c:ptCount val="16"/>
                  <c:pt idx="0">
                    <c:v>0.60811183199999996</c:v>
                  </c:pt>
                  <c:pt idx="1">
                    <c:v>0.86934341999999998</c:v>
                  </c:pt>
                  <c:pt idx="2">
                    <c:v>0.67838379999999998</c:v>
                  </c:pt>
                  <c:pt idx="3">
                    <c:v>1.0081832589999999</c:v>
                  </c:pt>
                  <c:pt idx="4">
                    <c:v>1.060660172</c:v>
                  </c:pt>
                  <c:pt idx="5">
                    <c:v>0.91414213600000005</c:v>
                  </c:pt>
                  <c:pt idx="6">
                    <c:v>0.90620887100000003</c:v>
                  </c:pt>
                  <c:pt idx="7">
                    <c:v>0.52735064700000001</c:v>
                  </c:pt>
                  <c:pt idx="8">
                    <c:v>0.82842709999999997</c:v>
                  </c:pt>
                  <c:pt idx="9">
                    <c:v>0.73797257000000005</c:v>
                  </c:pt>
                  <c:pt idx="10">
                    <c:v>0.72792210000000002</c:v>
                  </c:pt>
                  <c:pt idx="11">
                    <c:v>0.89095454399999996</c:v>
                  </c:pt>
                  <c:pt idx="12">
                    <c:v>0.86378246000000003</c:v>
                  </c:pt>
                  <c:pt idx="13">
                    <c:v>0.70468344000000005</c:v>
                  </c:pt>
                  <c:pt idx="14">
                    <c:v>0.533345238</c:v>
                  </c:pt>
                  <c:pt idx="15">
                    <c:v>0.68700576999999996</c:v>
                  </c:pt>
                </c:numCache>
              </c:numRef>
            </c:minus>
            <c:spPr>
              <a:noFill/>
              <a:ln w="9525" cap="flat" cmpd="sng" algn="ctr">
                <a:solidFill>
                  <a:srgbClr val="002060"/>
                </a:solidFill>
                <a:round/>
              </a:ln>
              <a:effectLst/>
            </c:spPr>
          </c:errBars>
          <c:xVal>
            <c:numRef>
              <c:f>Biomass!$DG$3:$DG$17</c:f>
              <c:numCache>
                <c:formatCode>General</c:formatCode>
                <c:ptCount val="15"/>
                <c:pt idx="0">
                  <c:v>0</c:v>
                </c:pt>
                <c:pt idx="1">
                  <c:v>14.008333335</c:v>
                </c:pt>
                <c:pt idx="2">
                  <c:v>24.33</c:v>
                </c:pt>
                <c:pt idx="3">
                  <c:v>36.549999999999997</c:v>
                </c:pt>
                <c:pt idx="4">
                  <c:v>42.975000000000001</c:v>
                </c:pt>
                <c:pt idx="5">
                  <c:v>47.383333335000003</c:v>
                </c:pt>
                <c:pt idx="6">
                  <c:v>61.183333335</c:v>
                </c:pt>
                <c:pt idx="7">
                  <c:v>69</c:v>
                </c:pt>
                <c:pt idx="8">
                  <c:v>85.184999999999974</c:v>
                </c:pt>
                <c:pt idx="9">
                  <c:v>96.566666665</c:v>
                </c:pt>
                <c:pt idx="10">
                  <c:v>109.2</c:v>
                </c:pt>
                <c:pt idx="11">
                  <c:v>119.9</c:v>
                </c:pt>
                <c:pt idx="12">
                  <c:v>133.83333329999999</c:v>
                </c:pt>
                <c:pt idx="13">
                  <c:v>138.58333329999999</c:v>
                </c:pt>
                <c:pt idx="14">
                  <c:v>159.65833335000011</c:v>
                </c:pt>
              </c:numCache>
            </c:numRef>
          </c:xVal>
          <c:yVal>
            <c:numRef>
              <c:f>Biomass!$DH$3:$DH$17</c:f>
              <c:numCache>
                <c:formatCode>0.00</c:formatCode>
                <c:ptCount val="15"/>
                <c:pt idx="0">
                  <c:v>0.94</c:v>
                </c:pt>
                <c:pt idx="1">
                  <c:v>1.22</c:v>
                </c:pt>
                <c:pt idx="2">
                  <c:v>2.99</c:v>
                </c:pt>
                <c:pt idx="3">
                  <c:v>4.87</c:v>
                </c:pt>
                <c:pt idx="4">
                  <c:v>6.74</c:v>
                </c:pt>
                <c:pt idx="5">
                  <c:v>6.6599999999999993</c:v>
                </c:pt>
                <c:pt idx="6">
                  <c:v>9.8949999999999996</c:v>
                </c:pt>
                <c:pt idx="7">
                  <c:v>9.06</c:v>
                </c:pt>
                <c:pt idx="8">
                  <c:v>9.49</c:v>
                </c:pt>
                <c:pt idx="9">
                  <c:v>9.02</c:v>
                </c:pt>
                <c:pt idx="10">
                  <c:v>9.16</c:v>
                </c:pt>
                <c:pt idx="11">
                  <c:v>9.5600000000000023</c:v>
                </c:pt>
                <c:pt idx="12">
                  <c:v>10.4275</c:v>
                </c:pt>
                <c:pt idx="13">
                  <c:v>10.05125</c:v>
                </c:pt>
                <c:pt idx="14">
                  <c:v>10.095000000000001</c:v>
                </c:pt>
              </c:numCache>
            </c:numRef>
          </c:yVal>
          <c:smooth val="0"/>
          <c:extLst xmlns:c16r2="http://schemas.microsoft.com/office/drawing/2015/06/chart">
            <c:ext xmlns:c16="http://schemas.microsoft.com/office/drawing/2014/chart" uri="{C3380CC4-5D6E-409C-BE32-E72D297353CC}">
              <c16:uniqueId val="{00000001-17B1-47F1-BE8D-948D4CB7D981}"/>
            </c:ext>
          </c:extLst>
        </c:ser>
        <c:dLbls>
          <c:showLegendKey val="0"/>
          <c:showVal val="0"/>
          <c:showCatName val="0"/>
          <c:showSerName val="0"/>
          <c:showPercent val="0"/>
          <c:showBubbleSize val="0"/>
        </c:dLbls>
        <c:axId val="278023480"/>
        <c:axId val="278024264"/>
      </c:scatterChart>
      <c:scatterChart>
        <c:scatterStyle val="smoothMarker"/>
        <c:varyColors val="0"/>
        <c:ser>
          <c:idx val="0"/>
          <c:order val="0"/>
          <c:tx>
            <c:v>Thickness STR</c:v>
          </c:tx>
          <c:spPr>
            <a:ln w="9525" cap="rnd">
              <a:solidFill>
                <a:srgbClr val="0070C0">
                  <a:alpha val="98000"/>
                </a:srgbClr>
              </a:solidFill>
              <a:round/>
            </a:ln>
            <a:effectLst/>
          </c:spPr>
          <c:marker>
            <c:symbol val="diamond"/>
            <c:size val="4"/>
            <c:spPr>
              <a:solidFill>
                <a:srgbClr val="0070C0"/>
              </a:solidFill>
              <a:ln w="9525">
                <a:solidFill>
                  <a:srgbClr val="0070C0"/>
                </a:solidFill>
              </a:ln>
              <a:effectLst/>
            </c:spPr>
          </c:marker>
          <c:errBars>
            <c:errDir val="y"/>
            <c:errBarType val="both"/>
            <c:errValType val="cust"/>
            <c:noEndCap val="0"/>
            <c:plus>
              <c:numRef>
                <c:f>Thickness!$D$3:$D$16</c:f>
                <c:numCache>
                  <c:formatCode>General</c:formatCode>
                  <c:ptCount val="14"/>
                  <c:pt idx="0">
                    <c:v>0.30432551899999999</c:v>
                  </c:pt>
                  <c:pt idx="1">
                    <c:v>0.339897807</c:v>
                  </c:pt>
                  <c:pt idx="2">
                    <c:v>0.375470095</c:v>
                  </c:pt>
                  <c:pt idx="3">
                    <c:v>0.34568511400000002</c:v>
                  </c:pt>
                  <c:pt idx="4">
                    <c:v>0.315900134</c:v>
                  </c:pt>
                  <c:pt idx="5">
                    <c:v>0.30109324900000001</c:v>
                  </c:pt>
                  <c:pt idx="6">
                    <c:v>0.28628636400000002</c:v>
                  </c:pt>
                  <c:pt idx="7">
                    <c:v>0.27585840299999997</c:v>
                  </c:pt>
                  <c:pt idx="8">
                    <c:v>0.26543044300000002</c:v>
                  </c:pt>
                  <c:pt idx="9">
                    <c:v>0.25915493699999997</c:v>
                  </c:pt>
                  <c:pt idx="10">
                    <c:v>0.25601718400000001</c:v>
                  </c:pt>
                  <c:pt idx="11">
                    <c:v>0.25287943099999999</c:v>
                  </c:pt>
                  <c:pt idx="12">
                    <c:v>0.230808717</c:v>
                  </c:pt>
                  <c:pt idx="13">
                    <c:v>0.20873800300000001</c:v>
                  </c:pt>
                </c:numCache>
              </c:numRef>
            </c:plus>
            <c:minus>
              <c:numRef>
                <c:f>Thickness!$D$3:$D$16</c:f>
                <c:numCache>
                  <c:formatCode>General</c:formatCode>
                  <c:ptCount val="14"/>
                  <c:pt idx="0">
                    <c:v>0.30432551899999999</c:v>
                  </c:pt>
                  <c:pt idx="1">
                    <c:v>0.339897807</c:v>
                  </c:pt>
                  <c:pt idx="2">
                    <c:v>0.375470095</c:v>
                  </c:pt>
                  <c:pt idx="3">
                    <c:v>0.34568511400000002</c:v>
                  </c:pt>
                  <c:pt idx="4">
                    <c:v>0.315900134</c:v>
                  </c:pt>
                  <c:pt idx="5">
                    <c:v>0.30109324900000001</c:v>
                  </c:pt>
                  <c:pt idx="6">
                    <c:v>0.28628636400000002</c:v>
                  </c:pt>
                  <c:pt idx="7">
                    <c:v>0.27585840299999997</c:v>
                  </c:pt>
                  <c:pt idx="8">
                    <c:v>0.26543044300000002</c:v>
                  </c:pt>
                  <c:pt idx="9">
                    <c:v>0.25915493699999997</c:v>
                  </c:pt>
                  <c:pt idx="10">
                    <c:v>0.25601718400000001</c:v>
                  </c:pt>
                  <c:pt idx="11">
                    <c:v>0.25287943099999999</c:v>
                  </c:pt>
                  <c:pt idx="12">
                    <c:v>0.230808717</c:v>
                  </c:pt>
                  <c:pt idx="13">
                    <c:v>0.20873800300000001</c:v>
                  </c:pt>
                </c:numCache>
              </c:numRef>
            </c:minus>
            <c:spPr>
              <a:noFill/>
              <a:ln w="9525" cap="flat" cmpd="sng" algn="ctr">
                <a:solidFill>
                  <a:schemeClr val="accent1"/>
                </a:solidFill>
                <a:round/>
              </a:ln>
              <a:effectLst/>
            </c:spPr>
          </c:errBars>
          <c:xVal>
            <c:numRef>
              <c:f>Thickness!$B$3:$B$16</c:f>
              <c:numCache>
                <c:formatCode>0.0</c:formatCode>
                <c:ptCount val="14"/>
                <c:pt idx="0">
                  <c:v>0</c:v>
                </c:pt>
                <c:pt idx="1">
                  <c:v>12.483333330000001</c:v>
                </c:pt>
                <c:pt idx="2">
                  <c:v>22.533333330000001</c:v>
                </c:pt>
                <c:pt idx="3">
                  <c:v>37.366666669999987</c:v>
                </c:pt>
                <c:pt idx="4">
                  <c:v>48.616666669999987</c:v>
                </c:pt>
                <c:pt idx="5">
                  <c:v>61.666666669999998</c:v>
                </c:pt>
                <c:pt idx="6">
                  <c:v>68.95</c:v>
                </c:pt>
                <c:pt idx="7">
                  <c:v>85.783333329999991</c:v>
                </c:pt>
                <c:pt idx="8">
                  <c:v>98.033333329999991</c:v>
                </c:pt>
                <c:pt idx="9">
                  <c:v>109.41666669999999</c:v>
                </c:pt>
                <c:pt idx="10">
                  <c:v>117.5333333</c:v>
                </c:pt>
                <c:pt idx="11">
                  <c:v>134.55000000000001</c:v>
                </c:pt>
                <c:pt idx="12">
                  <c:v>143.35</c:v>
                </c:pt>
                <c:pt idx="13">
                  <c:v>157.9</c:v>
                </c:pt>
              </c:numCache>
            </c:numRef>
          </c:xVal>
          <c:yVal>
            <c:numRef>
              <c:f>Thickness!$C$3:$C$16</c:f>
              <c:numCache>
                <c:formatCode>0.0000</c:formatCode>
                <c:ptCount val="14"/>
                <c:pt idx="0">
                  <c:v>1.862408571</c:v>
                </c:pt>
                <c:pt idx="1">
                  <c:v>1.831898571</c:v>
                </c:pt>
                <c:pt idx="2">
                  <c:v>1.8013885709999999</c:v>
                </c:pt>
                <c:pt idx="3">
                  <c:v>1.7019385709999999</c:v>
                </c:pt>
                <c:pt idx="4">
                  <c:v>1.6024885710000001</c:v>
                </c:pt>
                <c:pt idx="5">
                  <c:v>1.4998757140000001</c:v>
                </c:pt>
                <c:pt idx="6">
                  <c:v>1.3972628570000001</c:v>
                </c:pt>
                <c:pt idx="7">
                  <c:v>1.414542857</c:v>
                </c:pt>
                <c:pt idx="8">
                  <c:v>1.431822857</c:v>
                </c:pt>
                <c:pt idx="9">
                  <c:v>1.385357143</c:v>
                </c:pt>
                <c:pt idx="10">
                  <c:v>1.362124286</c:v>
                </c:pt>
                <c:pt idx="11">
                  <c:v>1.338891429</c:v>
                </c:pt>
                <c:pt idx="12">
                  <c:v>1.3920042859999999</c:v>
                </c:pt>
                <c:pt idx="13">
                  <c:v>1.445117143</c:v>
                </c:pt>
              </c:numCache>
            </c:numRef>
          </c:yVal>
          <c:smooth val="1"/>
          <c:extLst xmlns:c16r2="http://schemas.microsoft.com/office/drawing/2015/06/chart">
            <c:ext xmlns:c16="http://schemas.microsoft.com/office/drawing/2014/chart" uri="{C3380CC4-5D6E-409C-BE32-E72D297353CC}">
              <c16:uniqueId val="{00000002-17B1-47F1-BE8D-948D4CB7D981}"/>
            </c:ext>
          </c:extLst>
        </c:ser>
        <c:ser>
          <c:idx val="1"/>
          <c:order val="1"/>
          <c:tx>
            <c:v>Thickness CT</c:v>
          </c:tx>
          <c:spPr>
            <a:ln w="9525" cap="rnd">
              <a:solidFill>
                <a:srgbClr val="00B050"/>
              </a:solidFill>
              <a:round/>
            </a:ln>
            <a:effectLst/>
          </c:spPr>
          <c:marker>
            <c:symbol val="triangle"/>
            <c:size val="4"/>
            <c:spPr>
              <a:solidFill>
                <a:srgbClr val="00B050"/>
              </a:solidFill>
              <a:ln w="9525">
                <a:solidFill>
                  <a:srgbClr val="00B050"/>
                </a:solidFill>
              </a:ln>
              <a:effectLst/>
            </c:spPr>
          </c:marker>
          <c:errBars>
            <c:errDir val="y"/>
            <c:errBarType val="both"/>
            <c:errValType val="cust"/>
            <c:noEndCap val="0"/>
            <c:plus>
              <c:numRef>
                <c:f>Thickness!$I$3:$I$17</c:f>
                <c:numCache>
                  <c:formatCode>General</c:formatCode>
                  <c:ptCount val="15"/>
                  <c:pt idx="0">
                    <c:v>0.25104043100000001</c:v>
                  </c:pt>
                  <c:pt idx="1">
                    <c:v>0.28380960999999999</c:v>
                  </c:pt>
                  <c:pt idx="2">
                    <c:v>0.316578788</c:v>
                  </c:pt>
                  <c:pt idx="3">
                    <c:v>0.333372434</c:v>
                  </c:pt>
                  <c:pt idx="4">
                    <c:v>0.35016607900000002</c:v>
                  </c:pt>
                  <c:pt idx="5">
                    <c:v>0.35890179799999999</c:v>
                  </c:pt>
                  <c:pt idx="6">
                    <c:v>0.367637516</c:v>
                  </c:pt>
                  <c:pt idx="7">
                    <c:v>0.35146298799999998</c:v>
                  </c:pt>
                  <c:pt idx="8">
                    <c:v>0.33528845899999998</c:v>
                  </c:pt>
                  <c:pt idx="9">
                    <c:v>0.30753171200000001</c:v>
                  </c:pt>
                  <c:pt idx="10">
                    <c:v>0.27977496400000001</c:v>
                  </c:pt>
                  <c:pt idx="11">
                    <c:v>0.24853984800000001</c:v>
                  </c:pt>
                  <c:pt idx="12">
                    <c:v>0.217304732</c:v>
                  </c:pt>
                  <c:pt idx="13">
                    <c:v>0.26251713199999999</c:v>
                  </c:pt>
                  <c:pt idx="14">
                    <c:v>0.30772953199999997</c:v>
                  </c:pt>
                </c:numCache>
              </c:numRef>
            </c:plus>
            <c:minus>
              <c:numRef>
                <c:f>Thickness!$I$3:$I$17</c:f>
                <c:numCache>
                  <c:formatCode>General</c:formatCode>
                  <c:ptCount val="15"/>
                  <c:pt idx="0">
                    <c:v>0.25104043100000001</c:v>
                  </c:pt>
                  <c:pt idx="1">
                    <c:v>0.28380960999999999</c:v>
                  </c:pt>
                  <c:pt idx="2">
                    <c:v>0.316578788</c:v>
                  </c:pt>
                  <c:pt idx="3">
                    <c:v>0.333372434</c:v>
                  </c:pt>
                  <c:pt idx="4">
                    <c:v>0.35016607900000002</c:v>
                  </c:pt>
                  <c:pt idx="5">
                    <c:v>0.35890179799999999</c:v>
                  </c:pt>
                  <c:pt idx="6">
                    <c:v>0.367637516</c:v>
                  </c:pt>
                  <c:pt idx="7">
                    <c:v>0.35146298799999998</c:v>
                  </c:pt>
                  <c:pt idx="8">
                    <c:v>0.33528845899999998</c:v>
                  </c:pt>
                  <c:pt idx="9">
                    <c:v>0.30753171200000001</c:v>
                  </c:pt>
                  <c:pt idx="10">
                    <c:v>0.27977496400000001</c:v>
                  </c:pt>
                  <c:pt idx="11">
                    <c:v>0.24853984800000001</c:v>
                  </c:pt>
                  <c:pt idx="12">
                    <c:v>0.217304732</c:v>
                  </c:pt>
                  <c:pt idx="13">
                    <c:v>0.26251713199999999</c:v>
                  </c:pt>
                  <c:pt idx="14">
                    <c:v>0.30772953199999997</c:v>
                  </c:pt>
                </c:numCache>
              </c:numRef>
            </c:minus>
            <c:spPr>
              <a:noFill/>
              <a:ln w="9525" cap="flat" cmpd="sng" algn="ctr">
                <a:solidFill>
                  <a:srgbClr val="00B050"/>
                </a:solidFill>
                <a:round/>
              </a:ln>
              <a:effectLst/>
            </c:spPr>
          </c:errBars>
          <c:xVal>
            <c:numRef>
              <c:f>Thickness!$G$3:$G$17</c:f>
              <c:numCache>
                <c:formatCode>General</c:formatCode>
                <c:ptCount val="15"/>
                <c:pt idx="0">
                  <c:v>0</c:v>
                </c:pt>
                <c:pt idx="1">
                  <c:v>13.3</c:v>
                </c:pt>
                <c:pt idx="2">
                  <c:v>23.5</c:v>
                </c:pt>
                <c:pt idx="3">
                  <c:v>37.5</c:v>
                </c:pt>
                <c:pt idx="4">
                  <c:v>43.3</c:v>
                </c:pt>
                <c:pt idx="5">
                  <c:v>49</c:v>
                </c:pt>
                <c:pt idx="6">
                  <c:v>62.9</c:v>
                </c:pt>
                <c:pt idx="7">
                  <c:v>69</c:v>
                </c:pt>
                <c:pt idx="8">
                  <c:v>87.5</c:v>
                </c:pt>
                <c:pt idx="9">
                  <c:v>97.3</c:v>
                </c:pt>
                <c:pt idx="10">
                  <c:v>110.4</c:v>
                </c:pt>
                <c:pt idx="11">
                  <c:v>121</c:v>
                </c:pt>
                <c:pt idx="12">
                  <c:v>133.80000000000001</c:v>
                </c:pt>
                <c:pt idx="13">
                  <c:v>138.6</c:v>
                </c:pt>
                <c:pt idx="14">
                  <c:v>156.9</c:v>
                </c:pt>
              </c:numCache>
            </c:numRef>
          </c:xVal>
          <c:yVal>
            <c:numRef>
              <c:f>Thickness!$H$3:$H$17</c:f>
              <c:numCache>
                <c:formatCode>0.0000</c:formatCode>
                <c:ptCount val="15"/>
                <c:pt idx="0">
                  <c:v>1.7364299999999999</c:v>
                </c:pt>
                <c:pt idx="1">
                  <c:v>1.878625</c:v>
                </c:pt>
                <c:pt idx="2">
                  <c:v>2.0208200000000001</c:v>
                </c:pt>
                <c:pt idx="3">
                  <c:v>2.0663100000000001</c:v>
                </c:pt>
                <c:pt idx="4">
                  <c:v>2.1118000000000001</c:v>
                </c:pt>
                <c:pt idx="5">
                  <c:v>2.1958500000000001</c:v>
                </c:pt>
                <c:pt idx="6">
                  <c:v>2.2799</c:v>
                </c:pt>
                <c:pt idx="7">
                  <c:v>2.2187749999999999</c:v>
                </c:pt>
                <c:pt idx="8">
                  <c:v>2.157649999999999</c:v>
                </c:pt>
                <c:pt idx="9">
                  <c:v>2.2008299999999998</c:v>
                </c:pt>
                <c:pt idx="10">
                  <c:v>2.2440099999999998</c:v>
                </c:pt>
                <c:pt idx="11">
                  <c:v>2.1804399999999999</c:v>
                </c:pt>
                <c:pt idx="12">
                  <c:v>2.11687</c:v>
                </c:pt>
                <c:pt idx="13">
                  <c:v>2.1526849999999991</c:v>
                </c:pt>
                <c:pt idx="14">
                  <c:v>2.2685</c:v>
                </c:pt>
              </c:numCache>
            </c:numRef>
          </c:yVal>
          <c:smooth val="1"/>
          <c:extLst xmlns:c16r2="http://schemas.microsoft.com/office/drawing/2015/06/chart">
            <c:ext xmlns:c16="http://schemas.microsoft.com/office/drawing/2014/chart" uri="{C3380CC4-5D6E-409C-BE32-E72D297353CC}">
              <c16:uniqueId val="{00000003-17B1-47F1-BE8D-948D4CB7D981}"/>
            </c:ext>
          </c:extLst>
        </c:ser>
        <c:dLbls>
          <c:showLegendKey val="0"/>
          <c:showVal val="0"/>
          <c:showCatName val="0"/>
          <c:showSerName val="0"/>
          <c:showPercent val="0"/>
          <c:showBubbleSize val="0"/>
        </c:dLbls>
        <c:axId val="301033872"/>
        <c:axId val="278022696"/>
      </c:scatterChart>
      <c:valAx>
        <c:axId val="278023480"/>
        <c:scaling>
          <c:orientation val="minMax"/>
          <c:max val="160"/>
          <c:min val="0"/>
        </c:scaling>
        <c:delete val="0"/>
        <c:axPos val="b"/>
        <c:title>
          <c:tx>
            <c:rich>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r>
                  <a:rPr lang="es-ES"/>
                  <a:t>Time (h)</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it-IT"/>
            </a:p>
          </c:tx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it-IT"/>
          </a:p>
        </c:txPr>
        <c:crossAx val="278024264"/>
        <c:crosses val="autoZero"/>
        <c:crossBetween val="midCat"/>
      </c:valAx>
      <c:valAx>
        <c:axId val="278024264"/>
        <c:scaling>
          <c:orientation val="minMax"/>
          <c:max val="16"/>
          <c:min val="0"/>
        </c:scaling>
        <c:delete val="0"/>
        <c:axPos val="l"/>
        <c:title>
          <c:tx>
            <c:rich>
              <a:bodyPr rot="-5400000" spcFirstLastPara="1" vertOverflow="ellipsis" vert="horz" wrap="square" anchor="ctr" anchorCtr="1"/>
              <a:lstStyle/>
              <a:p>
                <a:pPr>
                  <a:defRPr sz="800" b="0" i="0" u="none" strike="noStrike" kern="1200" baseline="0">
                    <a:solidFill>
                      <a:schemeClr val="tx1"/>
                    </a:solidFill>
                    <a:latin typeface="+mn-lt"/>
                    <a:ea typeface="+mn-ea"/>
                    <a:cs typeface="+mn-cs"/>
                  </a:defRPr>
                </a:pPr>
                <a:r>
                  <a:rPr lang="es-ES"/>
                  <a:t>Biomass (g CDW/L)</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it-IT"/>
            </a:p>
          </c:txPr>
        </c:title>
        <c:numFmt formatCode="0.0" sourceLinked="0"/>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it-IT"/>
          </a:p>
        </c:txPr>
        <c:crossAx val="278023480"/>
        <c:crosses val="autoZero"/>
        <c:crossBetween val="midCat"/>
      </c:valAx>
      <c:valAx>
        <c:axId val="278022696"/>
        <c:scaling>
          <c:orientation val="minMax"/>
          <c:max val="6"/>
        </c:scaling>
        <c:delete val="0"/>
        <c:axPos val="r"/>
        <c:title>
          <c:tx>
            <c:rich>
              <a:bodyPr rot="-5400000" spcFirstLastPara="1" vertOverflow="ellipsis" vert="horz" wrap="square" anchor="ctr" anchorCtr="1"/>
              <a:lstStyle/>
              <a:p>
                <a:pPr>
                  <a:defRPr sz="800" b="0" i="0" u="none" strike="noStrike" kern="1200" baseline="0">
                    <a:solidFill>
                      <a:schemeClr val="tx1"/>
                    </a:solidFill>
                    <a:latin typeface="+mn-lt"/>
                    <a:ea typeface="+mn-ea"/>
                    <a:cs typeface="+mn-cs"/>
                  </a:defRPr>
                </a:pPr>
                <a:r>
                  <a:rPr lang="es-ES"/>
                  <a:t>Filament Thickness (</a:t>
                </a:r>
                <a:r>
                  <a:rPr lang="el-GR"/>
                  <a:t>μ</a:t>
                </a:r>
                <a:r>
                  <a:rPr lang="es-ES"/>
                  <a:t>m)</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it-IT"/>
            </a:p>
          </c:txPr>
        </c:title>
        <c:numFmt formatCode="0.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it-IT"/>
          </a:p>
        </c:txPr>
        <c:crossAx val="301033872"/>
        <c:crosses val="max"/>
        <c:crossBetween val="midCat"/>
      </c:valAx>
      <c:valAx>
        <c:axId val="301033872"/>
        <c:scaling>
          <c:orientation val="minMax"/>
        </c:scaling>
        <c:delete val="1"/>
        <c:axPos val="b"/>
        <c:numFmt formatCode="0.0" sourceLinked="1"/>
        <c:majorTickMark val="out"/>
        <c:minorTickMark val="none"/>
        <c:tickLblPos val="nextTo"/>
        <c:crossAx val="278022696"/>
        <c:crosses val="autoZero"/>
        <c:crossBetween val="midCat"/>
      </c:valAx>
      <c:spPr>
        <a:noFill/>
        <a:ln>
          <a:solidFill>
            <a:schemeClr val="tx1"/>
          </a:solid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solidFill>
            <a:schemeClr val="tx1"/>
          </a:solidFill>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D6913-C6AA-4964-9F0D-81B974A80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2346</Words>
  <Characters>13378</Characters>
  <Application>Microsoft Office Word</Application>
  <DocSecurity>0</DocSecurity>
  <Lines>111</Lines>
  <Paragraphs>31</Paragraphs>
  <ScaleCrop>false</ScaleCrop>
  <HeadingPairs>
    <vt:vector size="6" baseType="variant">
      <vt:variant>
        <vt:lpstr>Titolo</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Dipartimento CMIC - Politecnico di Milano</Company>
  <LinksUpToDate>false</LinksUpToDate>
  <CharactersWithSpaces>15693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manuela</cp:lastModifiedBy>
  <cp:revision>2</cp:revision>
  <cp:lastPrinted>2015-05-12T18:31:00Z</cp:lastPrinted>
  <dcterms:created xsi:type="dcterms:W3CDTF">2019-07-31T08:52:00Z</dcterms:created>
  <dcterms:modified xsi:type="dcterms:W3CDTF">2019-07-31T08:52:00Z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ace41a09-8ef6-34d1-8865-edb85cd5aecd</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6th edition</vt:lpwstr>
  </property>
  <property fmtid="{D5CDD505-2E9C-101B-9397-08002B2CF9AE}" pid="6" name="Mendeley Recent Style Id 1_1">
    <vt:lpwstr>http://www.zotero.org/styles/antibiotics</vt:lpwstr>
  </property>
  <property fmtid="{D5CDD505-2E9C-101B-9397-08002B2CF9AE}" pid="7" name="Mendeley Recent Style Name 1_1">
    <vt:lpwstr>Antibiotics</vt:lpwstr>
  </property>
  <property fmtid="{D5CDD505-2E9C-101B-9397-08002B2CF9AE}" pid="8" name="Mendeley Recent Style Id 2_1">
    <vt:lpwstr>http://www.zotero.org/styles/biochemical-engineering-journal</vt:lpwstr>
  </property>
  <property fmtid="{D5CDD505-2E9C-101B-9397-08002B2CF9AE}" pid="9" name="Mendeley Recent Style Name 2_1">
    <vt:lpwstr>Biochemical Engineering Journal</vt:lpwstr>
  </property>
  <property fmtid="{D5CDD505-2E9C-101B-9397-08002B2CF9AE}" pid="10" name="Mendeley Recent Style Id 3_1">
    <vt:lpwstr>http://www.zotero.org/styles/biotechnology-letters</vt:lpwstr>
  </property>
  <property fmtid="{D5CDD505-2E9C-101B-9397-08002B2CF9AE}" pid="11" name="Mendeley Recent Style Name 3_1">
    <vt:lpwstr>Biotechnology Letters</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ies>
</file>