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661B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Micromixing efficiency in a rotor-stator Spinning Disc Reactor for liquids with different viscosities</w:t>
      </w:r>
    </w:p>
    <w:p w:rsidR="00DE0019" w:rsidRPr="00D221E4" w:rsidRDefault="00A661BB" w:rsidP="00704BDF">
      <w:pPr>
        <w:snapToGrid w:val="0"/>
        <w:spacing w:after="120"/>
        <w:jc w:val="center"/>
        <w:rPr>
          <w:rFonts w:eastAsia="SimSun"/>
          <w:color w:val="000000"/>
          <w:lang w:val="nl-NL" w:eastAsia="zh-CN"/>
        </w:rPr>
      </w:pPr>
      <w:r w:rsidRPr="00D221E4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 xml:space="preserve">Arturo </w:t>
      </w:r>
      <w:proofErr w:type="spellStart"/>
      <w:r w:rsidRPr="00D221E4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>Neissen</w:t>
      </w:r>
      <w:proofErr w:type="spellEnd"/>
      <w:r w:rsidRPr="00D221E4">
        <w:rPr>
          <w:rFonts w:asciiTheme="minorHAnsi" w:eastAsia="SimSun" w:hAnsiTheme="minorHAnsi"/>
          <w:color w:val="000000"/>
          <w:sz w:val="24"/>
          <w:szCs w:val="24"/>
          <w:u w:val="single"/>
          <w:lang w:val="nl-NL" w:eastAsia="zh-CN"/>
        </w:rPr>
        <w:t xml:space="preserve"> Manzano Martinez</w:t>
      </w:r>
      <w:r w:rsidR="00704BDF" w:rsidRPr="00D221E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nl-NL" w:eastAsia="zh-CN"/>
        </w:rPr>
        <w:t>1</w:t>
      </w:r>
      <w:r w:rsidR="00D221E4" w:rsidRPr="00D221E4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</w:t>
      </w:r>
      <w:r w:rsidR="002E3E4B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 xml:space="preserve"> Melissa Assirelli</w:t>
      </w:r>
      <w:r w:rsidR="002E3E4B" w:rsidRPr="002E3E4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2</w:t>
      </w:r>
      <w:r w:rsidR="002E3E4B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,</w:t>
      </w:r>
      <w:r w:rsidR="00736B13" w:rsidRPr="00D221E4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 xml:space="preserve"> </w:t>
      </w:r>
      <w:r w:rsidR="00D221E4" w:rsidRPr="00D221E4">
        <w:rPr>
          <w:rFonts w:asciiTheme="minorHAnsi" w:eastAsia="SimSun" w:hAnsiTheme="minorHAnsi"/>
          <w:color w:val="000000"/>
          <w:sz w:val="24"/>
          <w:szCs w:val="24"/>
          <w:lang w:val="nl-NL" w:eastAsia="zh-CN"/>
        </w:rPr>
        <w:t>John van der Schaaf</w:t>
      </w:r>
      <w:r w:rsidR="002E3E4B" w:rsidRPr="002E3E4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nl-NL" w:eastAsia="zh-CN"/>
        </w:rPr>
        <w:t>*</w:t>
      </w:r>
      <w:r w:rsidR="00FC3527" w:rsidRPr="00FC3527">
        <w:rPr>
          <w:rFonts w:eastAsia="SimSun"/>
          <w:color w:val="000000"/>
          <w:sz w:val="24"/>
          <w:szCs w:val="24"/>
          <w:vertAlign w:val="superscript"/>
          <w:lang w:val="nl-NL" w:eastAsia="zh-CN"/>
        </w:rPr>
        <w:t>1</w:t>
      </w:r>
    </w:p>
    <w:p w:rsidR="002E3E4B" w:rsidRPr="00DE0019" w:rsidRDefault="00704BDF" w:rsidP="002E3E4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221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Laboratory of Chemical Reactor Engineering, Department of Chemical Engineering and Chemistry</w:t>
      </w:r>
      <w:r w:rsidR="00FC352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E37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Eindhoven University of Technology, P.O. Box 513, 5600 MB Eindhoven, The Netherlands</w:t>
      </w:r>
      <w:r w:rsidR="002E3E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  <w:t xml:space="preserve">2 </w:t>
      </w:r>
      <w:proofErr w:type="spellStart"/>
      <w:r w:rsidR="002E3E4B" w:rsidRPr="002E3E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Nouryon</w:t>
      </w:r>
      <w:proofErr w:type="spellEnd"/>
      <w:r w:rsidR="002E3E4B" w:rsidRPr="002E3E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Specialty Chemicals</w:t>
      </w:r>
      <w:r w:rsidR="002E3E4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Deventer, The Netherlands</w:t>
      </w:r>
    </w:p>
    <w:p w:rsidR="00704BDF" w:rsidRPr="00E379DA" w:rsidRDefault="00E379DA" w:rsidP="00E379DA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E379DA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="002E3E4B">
        <w:rPr>
          <w:rStyle w:val="Hyperlink"/>
          <w:rFonts w:asciiTheme="minorHAnsi" w:eastAsia="MS PGothic" w:hAnsiTheme="minorHAnsi"/>
          <w:bCs/>
          <w:i/>
          <w:iCs/>
          <w:sz w:val="20"/>
          <w:lang w:val="en-US"/>
        </w:rPr>
        <w:t>j.vanderschaaf@tue.nl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015028" w:rsidRDefault="0001502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15028">
        <w:rPr>
          <w:rFonts w:asciiTheme="minorHAnsi" w:hAnsiTheme="minorHAnsi"/>
        </w:rPr>
        <w:t xml:space="preserve">Micromixing efficiency of </w:t>
      </w:r>
      <w:r w:rsidR="009C731F">
        <w:rPr>
          <w:rFonts w:asciiTheme="minorHAnsi" w:hAnsiTheme="minorHAnsi"/>
        </w:rPr>
        <w:t>three</w:t>
      </w:r>
      <w:r w:rsidRPr="00015028">
        <w:rPr>
          <w:rFonts w:asciiTheme="minorHAnsi" w:hAnsiTheme="minorHAnsi"/>
        </w:rPr>
        <w:t xml:space="preserve"> liquids with differ</w:t>
      </w:r>
      <w:r>
        <w:rPr>
          <w:rFonts w:asciiTheme="minorHAnsi" w:hAnsiTheme="minorHAnsi"/>
        </w:rPr>
        <w:t>ent viscosities is presented</w:t>
      </w:r>
    </w:p>
    <w:p w:rsidR="00704BDF" w:rsidRPr="00015028" w:rsidRDefault="00026A7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15028">
        <w:rPr>
          <w:rFonts w:asciiTheme="minorHAnsi" w:hAnsiTheme="minorHAnsi"/>
        </w:rPr>
        <w:t>Segregation index decreases with increasing rotational speeds in all situations</w:t>
      </w:r>
    </w:p>
    <w:p w:rsidR="00704BDF" w:rsidRPr="00EC66CC" w:rsidRDefault="0001502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Compared to a stirred vessel, </w:t>
      </w:r>
      <w:proofErr w:type="spellStart"/>
      <w:r>
        <w:rPr>
          <w:rFonts w:asciiTheme="minorHAnsi" w:hAnsiTheme="minorHAnsi"/>
        </w:rPr>
        <w:t>rs</w:t>
      </w:r>
      <w:proofErr w:type="spellEnd"/>
      <w:r>
        <w:rPr>
          <w:rFonts w:asciiTheme="minorHAnsi" w:hAnsiTheme="minorHAnsi"/>
        </w:rPr>
        <w:t>-SDR enhances mixing for liquids with different viscosities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015028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last years, Process Intensification (PI) and the development of novel equipment have become key approaches for engineers and scientist to address the challenges of the modern era</w:t>
      </w:r>
      <w:r w:rsidR="00E22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E22EFF">
        <w:rPr>
          <w:rFonts w:asciiTheme="minorHAnsi" w:eastAsia="MS PGothic" w:hAnsiTheme="minorHAnsi"/>
          <w:color w:val="000000"/>
          <w:sz w:val="22"/>
          <w:szCs w:val="22"/>
          <w:lang w:val="en-US"/>
        </w:rPr>
        <w:t>e.g</w:t>
      </w:r>
      <w:proofErr w:type="spellEnd"/>
      <w:r w:rsidR="00E22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reducing waste generation, emissions, energy consumption, etc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for a full implementation of new technology</w:t>
      </w:r>
      <w:r w:rsidR="00E22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chemical industry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sufficient knowledge is needed</w:t>
      </w:r>
      <w:r w:rsidR="00E22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make it attractive and to guarantee functionality in real situations. </w:t>
      </w:r>
    </w:p>
    <w:p w:rsidR="00E22EFF" w:rsidRDefault="00E22EF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way of reducing the energy-intensive separation steps in a process is by improving selectivity towards desired products, which may be difficult for fast reactions competing for a limiting reagent. In these cases, micromixing – the homogenization of the system at the smallest scale – plays a crucial </w:t>
      </w:r>
      <w:r w:rsidR="00D3215F">
        <w:rPr>
          <w:rFonts w:asciiTheme="minorHAnsi" w:eastAsia="MS PGothic" w:hAnsiTheme="minorHAnsi"/>
          <w:color w:val="000000"/>
          <w:sz w:val="22"/>
          <w:szCs w:val="22"/>
          <w:lang w:val="en-US"/>
        </w:rPr>
        <w:t>role.</w:t>
      </w:r>
      <w:r w:rsidR="00D3215F" w:rsidRPr="00D3215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34378" w:rsidRPr="008D0BEB" w:rsidRDefault="00CD0F1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results proved that the rotor-stator Spinning Disc Reactor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-SDR) can enhance selectivity for fast reactions, with estimated micromixing times ranging between 1×10</w:t>
      </w:r>
      <w:r w:rsidRPr="00CD0F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1×10</w:t>
      </w:r>
      <w:r w:rsidRPr="00CD0F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seconds. </w:t>
      </w:r>
      <w:r w:rsidRPr="00CD0F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[2]</w:t>
      </w:r>
      <w:r w:rsidR="00BB0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s</w:t>
      </w:r>
      <w:r w:rsidR="004343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ince industrial processes often involve reagents of different properties, </w:t>
      </w:r>
      <w:r w:rsidR="00BB0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characterization of micromixing efficiency of liquid</w:t>
      </w:r>
      <w:r w:rsidR="002202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with different viscosities </w:t>
      </w:r>
      <w:r w:rsidR="00BB0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needs to be investigated.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E79BE" w:rsidRDefault="00BB019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proofErr w:type="spellStart"/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Villermaux-Dushman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protocol for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characterization of 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micromixers”</w:t>
      </w:r>
      <w:r w:rsidRPr="00BB019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[3]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with two modifications. Instead of Sulfuric Acid, </w:t>
      </w:r>
      <w:proofErr w:type="spellStart"/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Perchloric</w:t>
      </w:r>
      <w:proofErr w:type="spellEnd"/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was chosen for being a strong, </w:t>
      </w:r>
      <w:proofErr w:type="spellStart"/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monoprotic</w:t>
      </w:r>
      <w:proofErr w:type="spellEnd"/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</w:t>
      </w:r>
      <w:r w:rsidR="00C96DFD" w:rsidRPr="00C96DF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[4]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Since the kinetics </w:t>
      </w:r>
      <w:r w:rsidR="00FC6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system </w:t>
      </w:r>
      <w:r w:rsidR="00C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a great deal of controversy</w:t>
      </w:r>
      <w:r w:rsidR="00FC6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iodide-iodate reaction was studied resulting in an empirical equation for the reaction rate </w:t>
      </w:r>
      <w:r w:rsidR="00FC6529" w:rsidRPr="00FC652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[5]</w:t>
      </w:r>
      <w:r w:rsidR="00FC65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is in agreement with a previous kinetic study </w:t>
      </w:r>
      <w:r w:rsidR="00FC6529" w:rsidRPr="00FC652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[6]</w:t>
      </w:r>
      <w:r w:rsidR="00FC65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406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E79BE" w:rsidRDefault="004E79B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6406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setup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-SDR </w:t>
      </w:r>
      <w:r w:rsidR="006406F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reported previously [2].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compare with traditional equipment, the protocol was performed under the same conditions (temperature, concentrations,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etc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in a 5 </w:t>
      </w:r>
      <w:r w:rsidR="00E35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L tank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354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stirred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propeller stirrer set at 900 </w:t>
      </w:r>
      <w:r w:rsidR="009C73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1200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RPM. </w:t>
      </w:r>
    </w:p>
    <w:p w:rsidR="00E354DB" w:rsidRDefault="00E354D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To achieve a comparison on micromixing efficiency between an aqueous system and a viscous/non-viscous system, only the viscosity of the acid solution was increased using 10</w:t>
      </w:r>
      <w:r w:rsidR="009C731F">
        <w:rPr>
          <w:rFonts w:asciiTheme="minorHAnsi" w:eastAsia="MS PGothic" w:hAnsiTheme="minorHAnsi"/>
          <w:color w:val="000000"/>
          <w:sz w:val="22"/>
          <w:szCs w:val="22"/>
          <w:lang w:val="en-US"/>
        </w:rPr>
        <w:t>-20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%vol of glycerol.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B86F4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55A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are summarized in Figure 1. As expected, segregation Index decreases with an increase in rotational speeds. </w:t>
      </w:r>
      <w:r w:rsidR="008034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an increase in viscosity reduces the micromixing efficiency as expected.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Surprisingly, at low rotational speeds the effects of an </w:t>
      </w:r>
      <w:r w:rsidR="008034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increment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viscosity seem to be less than at high rotational speeds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Further investigation is ongoing to explain these results</w:t>
      </w:r>
      <w:r w:rsidR="0080346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comparing 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estimated micromixing times 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rs</w:t>
      </w:r>
      <w:proofErr w:type="spellEnd"/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-SDR 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ones obtained in a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stirred vessel 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range of </w:t>
      </w:r>
      <w:r w:rsidR="002E3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local energy dissipation rate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>s used</w:t>
      </w:r>
      <w:r w:rsidR="008034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61F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361F35">
        <w:rPr>
          <w:rFonts w:asciiTheme="minorHAnsi" w:eastAsia="MS PGothic" w:hAnsiTheme="minorHAnsi"/>
          <w:color w:val="000000"/>
          <w:sz w:val="22"/>
          <w:szCs w:val="22"/>
          <w:lang w:val="en-US"/>
        </w:rPr>
        <w:t>rs</w:t>
      </w:r>
      <w:proofErr w:type="spellEnd"/>
      <w:r w:rsidR="00361F35">
        <w:rPr>
          <w:rFonts w:asciiTheme="minorHAnsi" w:eastAsia="MS PGothic" w:hAnsiTheme="minorHAnsi"/>
          <w:color w:val="000000"/>
          <w:sz w:val="22"/>
          <w:szCs w:val="22"/>
          <w:lang w:val="en-US"/>
        </w:rPr>
        <w:t>-SD</w:t>
      </w:r>
      <w:r w:rsidR="004C3E74">
        <w:rPr>
          <w:rFonts w:asciiTheme="minorHAnsi" w:eastAsia="MS PGothic" w:hAnsiTheme="minorHAnsi"/>
          <w:color w:val="000000"/>
          <w:sz w:val="22"/>
          <w:szCs w:val="22"/>
          <w:lang w:val="en-US"/>
        </w:rPr>
        <w:t>R exhibits a better performance</w:t>
      </w:r>
      <w:r w:rsidR="00361F3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due to the high energy input that can be transferred into a very small volume.</w:t>
      </w:r>
    </w:p>
    <w:p w:rsidR="00704BDF" w:rsidRPr="00DE0019" w:rsidRDefault="00AA3341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en-US"/>
        </w:rPr>
        <w:drawing>
          <wp:inline distT="0" distB="0" distL="0" distR="0" wp14:anchorId="15CF6B87" wp14:editId="7AD2ADD7">
            <wp:extent cx="2461260" cy="1828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03462">
        <w:rPr>
          <w:noProof/>
          <w:lang w:val="en-US"/>
        </w:rPr>
        <w:drawing>
          <wp:inline distT="0" distB="0" distL="0" distR="0" wp14:anchorId="5D64A811" wp14:editId="374C04EF">
            <wp:extent cx="3017520" cy="18288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361F35">
        <w:rPr>
          <w:rFonts w:asciiTheme="minorHAnsi" w:hAnsiTheme="minorHAnsi"/>
          <w:lang w:val="en-US"/>
        </w:rPr>
        <w:t xml:space="preserve">(a) </w:t>
      </w:r>
      <w:r w:rsidR="00AA3341">
        <w:rPr>
          <w:rFonts w:asciiTheme="minorHAnsi" w:hAnsiTheme="minorHAnsi"/>
          <w:lang w:val="en-US"/>
        </w:rPr>
        <w:t>The e</w:t>
      </w:r>
      <w:r w:rsidR="00AA3341">
        <w:rPr>
          <w:rFonts w:asciiTheme="minorHAnsi" w:eastAsia="MS PGothic" w:hAnsiTheme="minorHAnsi"/>
          <w:color w:val="000000"/>
          <w:szCs w:val="18"/>
          <w:lang w:val="en-US"/>
        </w:rPr>
        <w:t>ffect</w:t>
      </w:r>
      <w:r w:rsidR="00361F35">
        <w:rPr>
          <w:rFonts w:asciiTheme="minorHAnsi" w:eastAsia="MS PGothic" w:hAnsiTheme="minorHAnsi"/>
          <w:color w:val="000000"/>
          <w:szCs w:val="18"/>
          <w:lang w:val="en-US"/>
        </w:rPr>
        <w:t xml:space="preserve"> of segregation index</w:t>
      </w:r>
      <w:r w:rsidR="00AA3341">
        <w:rPr>
          <w:rFonts w:asciiTheme="minorHAnsi" w:eastAsia="MS PGothic" w:hAnsiTheme="minorHAnsi"/>
          <w:color w:val="000000"/>
          <w:szCs w:val="18"/>
          <w:lang w:val="en-US"/>
        </w:rPr>
        <w:t xml:space="preserve"> with varying rotational speeds for two different viscosities of the injected acid</w:t>
      </w:r>
      <w:r w:rsidR="00361F35">
        <w:rPr>
          <w:rFonts w:asciiTheme="minorHAnsi" w:eastAsia="MS PGothic" w:hAnsiTheme="minorHAnsi"/>
          <w:color w:val="000000"/>
          <w:szCs w:val="18"/>
          <w:lang w:val="en-US"/>
        </w:rPr>
        <w:t xml:space="preserve"> in two different reactors and</w:t>
      </w:r>
      <w:r w:rsidR="00B86F4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61F35">
        <w:rPr>
          <w:rFonts w:asciiTheme="minorHAnsi" w:eastAsia="MS PGothic" w:hAnsiTheme="minorHAnsi"/>
          <w:color w:val="000000"/>
          <w:szCs w:val="18"/>
          <w:lang w:val="en-US"/>
        </w:rPr>
        <w:t>(b) the estimated micromixing times as a function of energy dissip</w:t>
      </w:r>
      <w:bookmarkStart w:id="0" w:name="_GoBack"/>
      <w:bookmarkEnd w:id="0"/>
      <w:r w:rsidR="00361F35">
        <w:rPr>
          <w:rFonts w:asciiTheme="minorHAnsi" w:eastAsia="MS PGothic" w:hAnsiTheme="minorHAnsi"/>
          <w:color w:val="000000"/>
          <w:szCs w:val="18"/>
          <w:lang w:val="en-US"/>
        </w:rPr>
        <w:t>ation rate.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B55AF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-SDR not only shows better micromixing efficiency when compared to a stirred vessel, but it is also less affected by the addition of a liquid of higher viscosity. </w:t>
      </w:r>
    </w:p>
    <w:p w:rsidR="00704BDF" w:rsidRPr="008D0BEB" w:rsidRDefault="00361F35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D3215F" w:rsidRPr="00D3215F" w:rsidRDefault="00D3215F" w:rsidP="0080346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D3215F">
        <w:rPr>
          <w:rFonts w:asciiTheme="minorHAnsi" w:hAnsiTheme="minorHAnsi"/>
          <w:color w:val="000000"/>
        </w:rPr>
        <w:t xml:space="preserve">Bourne, J. R. (2003). Mixing and the Selectivity of Chemical Reactions. </w:t>
      </w:r>
      <w:r w:rsidR="00803462">
        <w:rPr>
          <w:rFonts w:asciiTheme="minorHAnsi" w:hAnsiTheme="minorHAnsi"/>
          <w:color w:val="000000"/>
        </w:rPr>
        <w:t xml:space="preserve">Organic Process Research &amp; </w:t>
      </w:r>
      <w:r w:rsidRPr="00D3215F">
        <w:rPr>
          <w:rFonts w:asciiTheme="minorHAnsi" w:hAnsiTheme="minorHAnsi"/>
          <w:color w:val="000000"/>
        </w:rPr>
        <w:t xml:space="preserve">Development, 7(4), 471–508. </w:t>
      </w:r>
      <w:hyperlink r:id="rId12" w:history="1">
        <w:r w:rsidRPr="00B30E71">
          <w:rPr>
            <w:rStyle w:val="Hyperlink"/>
            <w:rFonts w:asciiTheme="minorHAnsi" w:hAnsiTheme="minorHAnsi"/>
          </w:rPr>
          <w:t>https://doi.org/10.1021/op020074q</w:t>
        </w:r>
      </w:hyperlink>
      <w:r>
        <w:rPr>
          <w:rFonts w:asciiTheme="minorHAnsi" w:hAnsiTheme="minorHAnsi"/>
          <w:color w:val="000000"/>
        </w:rPr>
        <w:t xml:space="preserve"> </w:t>
      </w:r>
    </w:p>
    <w:p w:rsidR="00CD0F1B" w:rsidRPr="00C96DFD" w:rsidRDefault="00CD0F1B" w:rsidP="0080346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CD0F1B">
        <w:rPr>
          <w:rFonts w:asciiTheme="minorHAnsi" w:hAnsiTheme="minorHAnsi"/>
          <w:color w:val="000000"/>
          <w:lang w:val="nl-NL"/>
        </w:rPr>
        <w:t xml:space="preserve">Manzano Martínez, A. N., Van Eeten, K. M. P., Schouten, J. C., &amp; Van Der Schaaf, J. (2017). </w:t>
      </w:r>
      <w:r w:rsidRPr="00CD0F1B">
        <w:rPr>
          <w:rFonts w:asciiTheme="minorHAnsi" w:hAnsiTheme="minorHAnsi"/>
          <w:color w:val="000000"/>
        </w:rPr>
        <w:t xml:space="preserve">Micromixing in a Rotor-Stator Spinning Disc Reactor. Industrial and Engineering Chemistry Research, 56(45), 13454–13460. </w:t>
      </w:r>
      <w:hyperlink r:id="rId13" w:history="1">
        <w:r w:rsidRPr="00B30E71">
          <w:rPr>
            <w:rStyle w:val="Hyperlink"/>
            <w:rFonts w:asciiTheme="minorHAnsi" w:hAnsiTheme="minorHAnsi"/>
          </w:rPr>
          <w:t>https://doi.org/10.1021/acs.iecr.7b01324</w:t>
        </w:r>
      </w:hyperlink>
    </w:p>
    <w:p w:rsidR="00C96DFD" w:rsidRDefault="00C96DFD" w:rsidP="0080346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C96DFD">
        <w:rPr>
          <w:rFonts w:asciiTheme="minorHAnsi" w:eastAsia="SimSun" w:hAnsiTheme="minorHAnsi"/>
          <w:sz w:val="22"/>
          <w:szCs w:val="22"/>
          <w:lang w:eastAsia="zh-CN"/>
        </w:rPr>
        <w:t>Commenge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eastAsia="zh-CN"/>
        </w:rPr>
        <w:t xml:space="preserve">, J. M., &amp; Falk, L. (2011). </w:t>
      </w:r>
      <w:proofErr w:type="spellStart"/>
      <w:r w:rsidRPr="00C96DFD">
        <w:rPr>
          <w:rFonts w:asciiTheme="minorHAnsi" w:eastAsia="SimSun" w:hAnsiTheme="minorHAnsi"/>
          <w:sz w:val="22"/>
          <w:szCs w:val="22"/>
          <w:lang w:eastAsia="zh-CN"/>
        </w:rPr>
        <w:t>Villermaux-Dushman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eastAsia="zh-CN"/>
        </w:rPr>
        <w:t xml:space="preserve"> protocol for experimental characterization of micromixers. Chemical Engineering and Processing: Process Intensification, 50(10), 979–990. </w:t>
      </w:r>
      <w:hyperlink r:id="rId14" w:history="1">
        <w:r w:rsidRPr="00B30E71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https://doi.org/10.1016/j.cep.2011.06.006</w:t>
        </w:r>
      </w:hyperlink>
      <w:r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p w:rsidR="00C96DFD" w:rsidRDefault="00C96DFD" w:rsidP="0080346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>Baqueiro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 xml:space="preserve">, C., Ibaseta, N., </w:t>
      </w:r>
      <w:proofErr w:type="spellStart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>Guichardon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 xml:space="preserve">, P., &amp; </w:t>
      </w:r>
      <w:proofErr w:type="spellStart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>Falk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val="es-MX" w:eastAsia="zh-CN"/>
        </w:rPr>
        <w:t xml:space="preserve">, L. (2018). </w:t>
      </w:r>
      <w:r w:rsidRPr="00C96DFD">
        <w:rPr>
          <w:rFonts w:asciiTheme="minorHAnsi" w:eastAsia="SimSun" w:hAnsiTheme="minorHAnsi"/>
          <w:sz w:val="22"/>
          <w:szCs w:val="22"/>
          <w:lang w:eastAsia="zh-CN"/>
        </w:rPr>
        <w:t xml:space="preserve">Influence of reagents choice (buffer, acid and inert salt) on triiodide production in the </w:t>
      </w:r>
      <w:proofErr w:type="spellStart"/>
      <w:r w:rsidRPr="00C96DFD">
        <w:rPr>
          <w:rFonts w:asciiTheme="minorHAnsi" w:eastAsia="SimSun" w:hAnsiTheme="minorHAnsi"/>
          <w:sz w:val="22"/>
          <w:szCs w:val="22"/>
          <w:lang w:eastAsia="zh-CN"/>
        </w:rPr>
        <w:t>Villermaux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eastAsia="zh-CN"/>
        </w:rPr>
        <w:t>–</w:t>
      </w:r>
      <w:proofErr w:type="spellStart"/>
      <w:r w:rsidRPr="00C96DFD">
        <w:rPr>
          <w:rFonts w:asciiTheme="minorHAnsi" w:eastAsia="SimSun" w:hAnsiTheme="minorHAnsi"/>
          <w:sz w:val="22"/>
          <w:szCs w:val="22"/>
          <w:lang w:eastAsia="zh-CN"/>
        </w:rPr>
        <w:t>Dushman</w:t>
      </w:r>
      <w:proofErr w:type="spellEnd"/>
      <w:r w:rsidRPr="00C96DFD">
        <w:rPr>
          <w:rFonts w:asciiTheme="minorHAnsi" w:eastAsia="SimSun" w:hAnsiTheme="minorHAnsi"/>
          <w:sz w:val="22"/>
          <w:szCs w:val="22"/>
          <w:lang w:eastAsia="zh-CN"/>
        </w:rPr>
        <w:t xml:space="preserve"> method applied to a stirred vessel. Chemical Engineering Research and Design, 136, 25–31. </w:t>
      </w:r>
      <w:hyperlink r:id="rId15" w:history="1">
        <w:r w:rsidRPr="00B30E71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https://doi.org/10.1016/J.CHERD.2018.04.017</w:t>
        </w:r>
      </w:hyperlink>
    </w:p>
    <w:p w:rsidR="00C96DFD" w:rsidRDefault="00FC6529" w:rsidP="0080346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FC6529">
        <w:rPr>
          <w:rFonts w:asciiTheme="minorHAnsi" w:eastAsia="SimSun" w:hAnsiTheme="minorHAnsi"/>
          <w:sz w:val="22"/>
          <w:szCs w:val="22"/>
          <w:lang w:eastAsia="zh-CN"/>
        </w:rPr>
        <w:t xml:space="preserve">Kinetic study of the iodide-iodate reaction for micromixing characterization. / Manzano Martinez, A.N.; Haase, Sander; van der </w:t>
      </w:r>
      <w:proofErr w:type="spellStart"/>
      <w:r w:rsidRPr="00FC6529">
        <w:rPr>
          <w:rFonts w:asciiTheme="minorHAnsi" w:eastAsia="SimSun" w:hAnsiTheme="minorHAnsi"/>
          <w:sz w:val="22"/>
          <w:szCs w:val="22"/>
          <w:lang w:eastAsia="zh-CN"/>
        </w:rPr>
        <w:t>Schaaf</w:t>
      </w:r>
      <w:proofErr w:type="spellEnd"/>
      <w:r w:rsidRPr="00FC6529">
        <w:rPr>
          <w:rFonts w:asciiTheme="minorHAnsi" w:eastAsia="SimSun" w:hAnsiTheme="minorHAnsi"/>
          <w:sz w:val="22"/>
          <w:szCs w:val="22"/>
          <w:lang w:eastAsia="zh-CN"/>
        </w:rPr>
        <w:t>, J.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Pr="00FC6529">
        <w:rPr>
          <w:rFonts w:asciiTheme="minorHAnsi" w:eastAsia="SimSun" w:hAnsiTheme="minorHAnsi"/>
          <w:sz w:val="22"/>
          <w:szCs w:val="22"/>
          <w:lang w:eastAsia="zh-CN"/>
        </w:rPr>
        <w:t>2018. Poster session presented at CHAINS 2018 (</w:t>
      </w:r>
      <w:proofErr w:type="spellStart"/>
      <w:r w:rsidRPr="00FC6529">
        <w:rPr>
          <w:rFonts w:asciiTheme="minorHAnsi" w:eastAsia="SimSun" w:hAnsiTheme="minorHAnsi"/>
          <w:sz w:val="22"/>
          <w:szCs w:val="22"/>
          <w:lang w:eastAsia="zh-CN"/>
        </w:rPr>
        <w:t>CHemistry</w:t>
      </w:r>
      <w:proofErr w:type="spellEnd"/>
      <w:r w:rsidRPr="00FC6529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gramStart"/>
      <w:r w:rsidRPr="00FC6529">
        <w:rPr>
          <w:rFonts w:asciiTheme="minorHAnsi" w:eastAsia="SimSun" w:hAnsiTheme="minorHAnsi"/>
          <w:sz w:val="22"/>
          <w:szCs w:val="22"/>
          <w:lang w:eastAsia="zh-CN"/>
        </w:rPr>
        <w:t>As</w:t>
      </w:r>
      <w:proofErr w:type="gramEnd"/>
      <w:r w:rsidRPr="00FC6529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spellStart"/>
      <w:r w:rsidRPr="00FC6529">
        <w:rPr>
          <w:rFonts w:asciiTheme="minorHAnsi" w:eastAsia="SimSun" w:hAnsiTheme="minorHAnsi"/>
          <w:sz w:val="22"/>
          <w:szCs w:val="22"/>
          <w:lang w:eastAsia="zh-CN"/>
        </w:rPr>
        <w:t>INnovating</w:t>
      </w:r>
      <w:proofErr w:type="spellEnd"/>
      <w:r w:rsidRPr="00FC6529">
        <w:rPr>
          <w:rFonts w:asciiTheme="minorHAnsi" w:eastAsia="SimSun" w:hAnsiTheme="minorHAnsi"/>
          <w:sz w:val="22"/>
          <w:szCs w:val="22"/>
          <w:lang w:eastAsia="zh-CN"/>
        </w:rPr>
        <w:t xml:space="preserve"> Science), </w:t>
      </w:r>
      <w:proofErr w:type="spellStart"/>
      <w:r w:rsidRPr="00FC6529">
        <w:rPr>
          <w:rFonts w:asciiTheme="minorHAnsi" w:eastAsia="SimSun" w:hAnsiTheme="minorHAnsi"/>
          <w:sz w:val="22"/>
          <w:szCs w:val="22"/>
          <w:lang w:eastAsia="zh-CN"/>
        </w:rPr>
        <w:t>Veldhoven</w:t>
      </w:r>
      <w:proofErr w:type="spellEnd"/>
      <w:r w:rsidRPr="00FC6529">
        <w:rPr>
          <w:rFonts w:asciiTheme="minorHAnsi" w:eastAsia="SimSun" w:hAnsiTheme="minorHAnsi"/>
          <w:sz w:val="22"/>
          <w:szCs w:val="22"/>
          <w:lang w:eastAsia="zh-CN"/>
        </w:rPr>
        <w:t>, Netherlands.</w:t>
      </w:r>
    </w:p>
    <w:p w:rsidR="00704BDF" w:rsidRPr="00361F35" w:rsidRDefault="00FC6529" w:rsidP="00043B4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361F35">
        <w:rPr>
          <w:rFonts w:asciiTheme="minorHAnsi" w:eastAsia="SimSun" w:hAnsiTheme="minorHAnsi"/>
          <w:sz w:val="22"/>
          <w:szCs w:val="22"/>
          <w:lang w:val="es-MX" w:eastAsia="zh-CN"/>
        </w:rPr>
        <w:t xml:space="preserve">Palmer, D. A., &amp; </w:t>
      </w:r>
      <w:proofErr w:type="spellStart"/>
      <w:r w:rsidRPr="00361F35">
        <w:rPr>
          <w:rFonts w:asciiTheme="minorHAnsi" w:eastAsia="SimSun" w:hAnsiTheme="minorHAnsi"/>
          <w:sz w:val="22"/>
          <w:szCs w:val="22"/>
          <w:lang w:val="es-MX" w:eastAsia="zh-CN"/>
        </w:rPr>
        <w:t>Lyons</w:t>
      </w:r>
      <w:proofErr w:type="spellEnd"/>
      <w:r w:rsidRPr="00361F35">
        <w:rPr>
          <w:rFonts w:asciiTheme="minorHAnsi" w:eastAsia="SimSun" w:hAnsiTheme="minorHAnsi"/>
          <w:sz w:val="22"/>
          <w:szCs w:val="22"/>
          <w:lang w:val="es-MX" w:eastAsia="zh-CN"/>
        </w:rPr>
        <w:t xml:space="preserve">, L. J. (1989). </w:t>
      </w:r>
      <w:r w:rsidRPr="00361F35">
        <w:rPr>
          <w:rFonts w:asciiTheme="minorHAnsi" w:eastAsia="SimSun" w:hAnsiTheme="minorHAnsi"/>
          <w:sz w:val="22"/>
          <w:szCs w:val="22"/>
          <w:lang w:eastAsia="zh-CN"/>
        </w:rPr>
        <w:t xml:space="preserve">Kinetics of iodine hydrolysis in unbuffered solutions. Retrieved from </w:t>
      </w:r>
      <w:hyperlink r:id="rId16" w:history="1">
        <w:r w:rsidRPr="00361F35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https://inis.iaea.org/search/search.aspx?orig_q=RN:22075560</w:t>
        </w:r>
      </w:hyperlink>
    </w:p>
    <w:sectPr w:rsidR="00704BDF" w:rsidRPr="00361F3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7D" w:rsidRDefault="0054697D" w:rsidP="004F5E36">
      <w:r>
        <w:separator/>
      </w:r>
    </w:p>
  </w:endnote>
  <w:endnote w:type="continuationSeparator" w:id="0">
    <w:p w:rsidR="0054697D" w:rsidRDefault="0054697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7D" w:rsidRDefault="0054697D" w:rsidP="004F5E36">
      <w:r>
        <w:separator/>
      </w:r>
    </w:p>
  </w:footnote>
  <w:footnote w:type="continuationSeparator" w:id="0">
    <w:p w:rsidR="0054697D" w:rsidRDefault="0054697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80CA5"/>
    <w:multiLevelType w:val="hybridMultilevel"/>
    <w:tmpl w:val="2C761452"/>
    <w:lvl w:ilvl="0" w:tplc="D3FE6C96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5028"/>
    <w:rsid w:val="00026A70"/>
    <w:rsid w:val="0003148D"/>
    <w:rsid w:val="00062A9A"/>
    <w:rsid w:val="000A03B2"/>
    <w:rsid w:val="000B66EB"/>
    <w:rsid w:val="000D03CD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E2FD6"/>
    <w:rsid w:val="001F2EC7"/>
    <w:rsid w:val="002065DB"/>
    <w:rsid w:val="00220259"/>
    <w:rsid w:val="002447EF"/>
    <w:rsid w:val="00251550"/>
    <w:rsid w:val="0027221A"/>
    <w:rsid w:val="00275B61"/>
    <w:rsid w:val="002D1F12"/>
    <w:rsid w:val="002E3E4B"/>
    <w:rsid w:val="003009B7"/>
    <w:rsid w:val="0030469C"/>
    <w:rsid w:val="00361F35"/>
    <w:rsid w:val="003723D4"/>
    <w:rsid w:val="003A7D1C"/>
    <w:rsid w:val="00434378"/>
    <w:rsid w:val="00447B5A"/>
    <w:rsid w:val="0046164A"/>
    <w:rsid w:val="00462DCD"/>
    <w:rsid w:val="004C3E74"/>
    <w:rsid w:val="004D1162"/>
    <w:rsid w:val="004E4DD6"/>
    <w:rsid w:val="004E79BE"/>
    <w:rsid w:val="004F5E36"/>
    <w:rsid w:val="005119A5"/>
    <w:rsid w:val="005278B7"/>
    <w:rsid w:val="005346C8"/>
    <w:rsid w:val="0054697D"/>
    <w:rsid w:val="00594E9F"/>
    <w:rsid w:val="005B61E6"/>
    <w:rsid w:val="005C126D"/>
    <w:rsid w:val="005C77E1"/>
    <w:rsid w:val="005D6A2F"/>
    <w:rsid w:val="005E1A82"/>
    <w:rsid w:val="005F0A28"/>
    <w:rsid w:val="005F0E5E"/>
    <w:rsid w:val="00620DEE"/>
    <w:rsid w:val="00625639"/>
    <w:rsid w:val="006406FD"/>
    <w:rsid w:val="0064184D"/>
    <w:rsid w:val="00660E3E"/>
    <w:rsid w:val="00662E74"/>
    <w:rsid w:val="006A58D2"/>
    <w:rsid w:val="006C5579"/>
    <w:rsid w:val="00704BDF"/>
    <w:rsid w:val="00736B13"/>
    <w:rsid w:val="0074061B"/>
    <w:rsid w:val="007447F3"/>
    <w:rsid w:val="0075517F"/>
    <w:rsid w:val="007661C8"/>
    <w:rsid w:val="007D52CD"/>
    <w:rsid w:val="00803462"/>
    <w:rsid w:val="00813288"/>
    <w:rsid w:val="008168FC"/>
    <w:rsid w:val="008479A2"/>
    <w:rsid w:val="008623D8"/>
    <w:rsid w:val="0087637F"/>
    <w:rsid w:val="008A1512"/>
    <w:rsid w:val="008D0BEB"/>
    <w:rsid w:val="008E566E"/>
    <w:rsid w:val="00901EB6"/>
    <w:rsid w:val="009450CE"/>
    <w:rsid w:val="0095164B"/>
    <w:rsid w:val="00996483"/>
    <w:rsid w:val="009C731F"/>
    <w:rsid w:val="009E788A"/>
    <w:rsid w:val="00A1763D"/>
    <w:rsid w:val="00A17CEC"/>
    <w:rsid w:val="00A27EF0"/>
    <w:rsid w:val="00A661BB"/>
    <w:rsid w:val="00A76EFC"/>
    <w:rsid w:val="00A9626B"/>
    <w:rsid w:val="00A97F29"/>
    <w:rsid w:val="00AA3341"/>
    <w:rsid w:val="00AB0964"/>
    <w:rsid w:val="00AE377D"/>
    <w:rsid w:val="00B55AF5"/>
    <w:rsid w:val="00B61DBF"/>
    <w:rsid w:val="00B86F4F"/>
    <w:rsid w:val="00BB019E"/>
    <w:rsid w:val="00BC30C9"/>
    <w:rsid w:val="00BE3E58"/>
    <w:rsid w:val="00C01616"/>
    <w:rsid w:val="00C0162B"/>
    <w:rsid w:val="00C10B61"/>
    <w:rsid w:val="00C345B1"/>
    <w:rsid w:val="00C40142"/>
    <w:rsid w:val="00C57182"/>
    <w:rsid w:val="00C655FD"/>
    <w:rsid w:val="00C867B1"/>
    <w:rsid w:val="00C94434"/>
    <w:rsid w:val="00C96DFD"/>
    <w:rsid w:val="00CA1C95"/>
    <w:rsid w:val="00CA5A9C"/>
    <w:rsid w:val="00CD0F1B"/>
    <w:rsid w:val="00CD5FE2"/>
    <w:rsid w:val="00D02B4C"/>
    <w:rsid w:val="00D221E4"/>
    <w:rsid w:val="00D3215F"/>
    <w:rsid w:val="00D4297F"/>
    <w:rsid w:val="00D84576"/>
    <w:rsid w:val="00DE0019"/>
    <w:rsid w:val="00DE264A"/>
    <w:rsid w:val="00E041E7"/>
    <w:rsid w:val="00E22EFF"/>
    <w:rsid w:val="00E23CA1"/>
    <w:rsid w:val="00E31CC7"/>
    <w:rsid w:val="00E354DB"/>
    <w:rsid w:val="00E379DA"/>
    <w:rsid w:val="00E409A8"/>
    <w:rsid w:val="00E7209D"/>
    <w:rsid w:val="00E8247F"/>
    <w:rsid w:val="00EA50E1"/>
    <w:rsid w:val="00EB2CAC"/>
    <w:rsid w:val="00EE0131"/>
    <w:rsid w:val="00F30C64"/>
    <w:rsid w:val="00FB730C"/>
    <w:rsid w:val="00FC2695"/>
    <w:rsid w:val="00FC3527"/>
    <w:rsid w:val="00FC3E03"/>
    <w:rsid w:val="00FC652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E379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E3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021/acs.iecr.7b013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21/op020074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is.iaea.org/search/search.aspx?orig_q=RN:220755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HERD.2018.04.017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016/j.cep.2011.06.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anzano\Documents\Heterogeneous%20phase%20mixing%20in%20SDR%20for%20intensified%20reactions\Experiments\IPIC-ECCE%202019\Preliminary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anzano\Documents\Heterogeneous%20phase%20mixing%20in%20SDR%20for%20intensified%20reactions\Experiments\IPIC-ECCE%202019\Preliminary%20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Aqueous solution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Sheet5!$D$7:$D$10</c:f>
              <c:numCache>
                <c:formatCode>General</c:formatCode>
                <c:ptCount val="4"/>
                <c:pt idx="0">
                  <c:v>300</c:v>
                </c:pt>
                <c:pt idx="1">
                  <c:v>450</c:v>
                </c:pt>
                <c:pt idx="2">
                  <c:v>600</c:v>
                </c:pt>
                <c:pt idx="3">
                  <c:v>750</c:v>
                </c:pt>
              </c:numCache>
            </c:numRef>
          </c:xVal>
          <c:yVal>
            <c:numRef>
              <c:f>Sheet5!$E$7:$E$10</c:f>
              <c:numCache>
                <c:formatCode>General</c:formatCode>
                <c:ptCount val="4"/>
                <c:pt idx="0">
                  <c:v>8.3475261747987722E-2</c:v>
                </c:pt>
                <c:pt idx="1">
                  <c:v>6.6695667045007304E-2</c:v>
                </c:pt>
                <c:pt idx="2">
                  <c:v>5.1493342643102347E-2</c:v>
                </c:pt>
                <c:pt idx="3">
                  <c:v>4.7574060144515359E-2</c:v>
                </c:pt>
              </c:numCache>
            </c:numRef>
          </c:yVal>
          <c:smooth val="0"/>
        </c:ser>
        <c:ser>
          <c:idx val="1"/>
          <c:order val="1"/>
          <c:tx>
            <c:v>10%vol glycerol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Sheet5!$D$7:$D$10</c:f>
              <c:numCache>
                <c:formatCode>General</c:formatCode>
                <c:ptCount val="4"/>
                <c:pt idx="0">
                  <c:v>300</c:v>
                </c:pt>
                <c:pt idx="1">
                  <c:v>450</c:v>
                </c:pt>
                <c:pt idx="2">
                  <c:v>600</c:v>
                </c:pt>
                <c:pt idx="3">
                  <c:v>750</c:v>
                </c:pt>
              </c:numCache>
            </c:numRef>
          </c:xVal>
          <c:yVal>
            <c:numRef>
              <c:f>Sheet5!$F$7:$F$10</c:f>
              <c:numCache>
                <c:formatCode>General</c:formatCode>
                <c:ptCount val="4"/>
                <c:pt idx="0">
                  <c:v>8.2071983787658606E-2</c:v>
                </c:pt>
                <c:pt idx="1">
                  <c:v>7.2828958740933605E-2</c:v>
                </c:pt>
                <c:pt idx="2">
                  <c:v>6.6340834867153128E-2</c:v>
                </c:pt>
                <c:pt idx="3">
                  <c:v>6.8697477366234327E-2</c:v>
                </c:pt>
              </c:numCache>
            </c:numRef>
          </c:yVal>
          <c:smooth val="0"/>
        </c:ser>
        <c:ser>
          <c:idx val="4"/>
          <c:order val="2"/>
          <c:tx>
            <c:v>20%vol glycerol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Sheet5!$D$7:$D$10</c:f>
              <c:numCache>
                <c:formatCode>General</c:formatCode>
                <c:ptCount val="4"/>
                <c:pt idx="0">
                  <c:v>300</c:v>
                </c:pt>
                <c:pt idx="1">
                  <c:v>450</c:v>
                </c:pt>
                <c:pt idx="2">
                  <c:v>600</c:v>
                </c:pt>
                <c:pt idx="3">
                  <c:v>750</c:v>
                </c:pt>
              </c:numCache>
            </c:numRef>
          </c:xVal>
          <c:yVal>
            <c:numRef>
              <c:f>Sheet5!$G$7:$G$10</c:f>
              <c:numCache>
                <c:formatCode>General</c:formatCode>
                <c:ptCount val="4"/>
                <c:pt idx="0">
                  <c:v>9.3446811690164069E-2</c:v>
                </c:pt>
                <c:pt idx="1">
                  <c:v>7.3897653129506136E-2</c:v>
                </c:pt>
                <c:pt idx="2">
                  <c:v>6.5720007259118529E-2</c:v>
                </c:pt>
                <c:pt idx="3">
                  <c:v>6.0164703210555615E-2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1547904"/>
        <c:axId val="461549864"/>
        <c:extLst>
          <c:ext xmlns:c15="http://schemas.microsoft.com/office/drawing/2012/chart" uri="{02D57815-91ED-43cb-92C2-25804820EDAC}">
            <c15:filteredScatterSeries>
              <c15:ser>
                <c:idx val="2"/>
                <c:order val="3"/>
                <c:tx>
                  <c:v>Aqueous solution - SV</c:v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x"/>
                  <c:size val="6"/>
                  <c:spPr>
                    <a:noFill/>
                    <a:ln w="15875">
                      <a:solidFill>
                        <a:schemeClr val="accent1"/>
                      </a:solidFill>
                      <a:round/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Sheet5!$D$11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900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Sheet5!$E$11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0.15070845633126281</c:v>
                      </c:pt>
                    </c:numCache>
                  </c:numRef>
                </c:yVal>
                <c:smooth val="0"/>
              </c15:ser>
            </c15:filteredScatterSeries>
            <c15:filteredScatterSeries>
              <c15:ser>
                <c:idx val="3"/>
                <c:order val="4"/>
                <c:tx>
                  <c:v>10%vol glycerol - SV</c:v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x"/>
                  <c:size val="6"/>
                  <c:spPr>
                    <a:noFill/>
                    <a:ln w="15875">
                      <a:solidFill>
                        <a:schemeClr val="accent2"/>
                      </a:solidFill>
                      <a:round/>
                    </a:ln>
                    <a:effectLst/>
                  </c:spPr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Sheet5!$D$11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900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Sheet5!$F$11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0.24314187190088238</c:v>
                      </c:pt>
                    </c:numCache>
                  </c:numRef>
                </c:yVal>
                <c:smooth val="0"/>
              </c15:ser>
            </c15:filteredScatterSeries>
          </c:ext>
        </c:extLst>
      </c:scatterChart>
      <c:valAx>
        <c:axId val="461547904"/>
        <c:scaling>
          <c:orientation val="minMax"/>
          <c:max val="10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 [rpm]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>
                <a:alpha val="53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549864"/>
        <c:crosses val="autoZero"/>
        <c:crossBetween val="midCat"/>
      </c:valAx>
      <c:valAx>
        <c:axId val="461549864"/>
        <c:scaling>
          <c:orientation val="minMax"/>
          <c:max val="0.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 X</a:t>
                </a:r>
                <a:r>
                  <a:rPr lang="en-US" baseline="-25000"/>
                  <a:t>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547904"/>
        <c:crosses val="autoZero"/>
        <c:crossBetween val="midCat"/>
      </c:valAx>
      <c:spPr>
        <a:noFill/>
        <a:ln w="12700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28925753475861959"/>
          <c:y val="0.46570811461067368"/>
          <c:w val="0.45790448794519878"/>
          <c:h val="0.1935837707786527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Aqueous solution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Sheet5!$V$7:$V$10</c:f>
              <c:numCache>
                <c:formatCode>0.00E+00</c:formatCode>
                <c:ptCount val="4"/>
                <c:pt idx="0">
                  <c:v>66.482786552988443</c:v>
                </c:pt>
                <c:pt idx="1">
                  <c:v>160.71387572938764</c:v>
                </c:pt>
                <c:pt idx="2">
                  <c:v>379.18077653196963</c:v>
                </c:pt>
                <c:pt idx="3">
                  <c:v>703.01042342644519</c:v>
                </c:pt>
              </c:numCache>
            </c:numRef>
          </c:xVal>
          <c:yVal>
            <c:numRef>
              <c:f>Sheet5!$J$7:$J$10</c:f>
              <c:numCache>
                <c:formatCode>General</c:formatCode>
                <c:ptCount val="4"/>
                <c:pt idx="0">
                  <c:v>4.5100000000000001E-4</c:v>
                </c:pt>
                <c:pt idx="1">
                  <c:v>3.1E-4</c:v>
                </c:pt>
                <c:pt idx="2">
                  <c:v>2.0900000000000001E-4</c:v>
                </c:pt>
                <c:pt idx="3">
                  <c:v>1.8200000000000001E-4</c:v>
                </c:pt>
              </c:numCache>
            </c:numRef>
          </c:yVal>
          <c:smooth val="0"/>
        </c:ser>
        <c:ser>
          <c:idx val="1"/>
          <c:order val="1"/>
          <c:tx>
            <c:v>10%vol glycerol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Sheet5!$V$7:$V$10</c:f>
              <c:numCache>
                <c:formatCode>0.00E+00</c:formatCode>
                <c:ptCount val="4"/>
                <c:pt idx="0">
                  <c:v>66.482786552988443</c:v>
                </c:pt>
                <c:pt idx="1">
                  <c:v>160.71387572938764</c:v>
                </c:pt>
                <c:pt idx="2">
                  <c:v>379.18077653196963</c:v>
                </c:pt>
                <c:pt idx="3">
                  <c:v>703.01042342644519</c:v>
                </c:pt>
              </c:numCache>
            </c:numRef>
          </c:xVal>
          <c:yVal>
            <c:numRef>
              <c:f>Sheet5!$K$7:$K$10</c:f>
              <c:numCache>
                <c:formatCode>General</c:formatCode>
                <c:ptCount val="4"/>
                <c:pt idx="0">
                  <c:v>4.4200000000000001E-4</c:v>
                </c:pt>
                <c:pt idx="1">
                  <c:v>3.6000000000000002E-4</c:v>
                </c:pt>
                <c:pt idx="2">
                  <c:v>3.0600000000000001E-4</c:v>
                </c:pt>
                <c:pt idx="3">
                  <c:v>3.2600000000000001E-4</c:v>
                </c:pt>
              </c:numCache>
            </c:numRef>
          </c:yVal>
          <c:smooth val="0"/>
        </c:ser>
        <c:ser>
          <c:idx val="5"/>
          <c:order val="2"/>
          <c:tx>
            <c:v>20%vol glycerol - rs-SDR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noFill/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Sheet5!$V$7:$V$10</c:f>
              <c:numCache>
                <c:formatCode>0.00E+00</c:formatCode>
                <c:ptCount val="4"/>
                <c:pt idx="0">
                  <c:v>66.482786552988443</c:v>
                </c:pt>
                <c:pt idx="1">
                  <c:v>160.71387572938764</c:v>
                </c:pt>
                <c:pt idx="2">
                  <c:v>379.18077653196963</c:v>
                </c:pt>
                <c:pt idx="3">
                  <c:v>703.01042342644519</c:v>
                </c:pt>
              </c:numCache>
            </c:numRef>
          </c:xVal>
          <c:yVal>
            <c:numRef>
              <c:f>Sheet5!$L$7:$L$10</c:f>
              <c:numCache>
                <c:formatCode>General</c:formatCode>
                <c:ptCount val="4"/>
                <c:pt idx="0">
                  <c:v>5.5999999999999995E-4</c:v>
                </c:pt>
                <c:pt idx="1">
                  <c:v>3.6499999999999998E-4</c:v>
                </c:pt>
                <c:pt idx="2">
                  <c:v>3.0400000000000002E-4</c:v>
                </c:pt>
                <c:pt idx="3">
                  <c:v>2.6400000000000002E-4</c:v>
                </c:pt>
              </c:numCache>
            </c:numRef>
          </c:yVal>
          <c:smooth val="0"/>
        </c:ser>
        <c:ser>
          <c:idx val="2"/>
          <c:order val="3"/>
          <c:tx>
            <c:v>Aqueous solution - SV</c:v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1587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Sheet5!$V$11:$V$12</c:f>
              <c:numCache>
                <c:formatCode>0.00E+00</c:formatCode>
                <c:ptCount val="2"/>
                <c:pt idx="0">
                  <c:v>12.656250000000007</c:v>
                </c:pt>
                <c:pt idx="1">
                  <c:v>40.000000000000014</c:v>
                </c:pt>
              </c:numCache>
            </c:numRef>
          </c:xVal>
          <c:yVal>
            <c:numRef>
              <c:f>Sheet5!$J$11:$J$12</c:f>
              <c:numCache>
                <c:formatCode>General</c:formatCode>
                <c:ptCount val="2"/>
                <c:pt idx="0">
                  <c:v>1.67E-3</c:v>
                </c:pt>
                <c:pt idx="1">
                  <c:v>8.1700000000000002E-4</c:v>
                </c:pt>
              </c:numCache>
            </c:numRef>
          </c:yVal>
          <c:smooth val="0"/>
        </c:ser>
        <c:ser>
          <c:idx val="3"/>
          <c:order val="4"/>
          <c:tx>
            <c:v>10%vol glycerol - SV</c:v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1587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Sheet5!$V$11:$V$12</c:f>
              <c:numCache>
                <c:formatCode>0.00E+00</c:formatCode>
                <c:ptCount val="2"/>
                <c:pt idx="0">
                  <c:v>12.656250000000007</c:v>
                </c:pt>
                <c:pt idx="1">
                  <c:v>40.000000000000014</c:v>
                </c:pt>
              </c:numCache>
            </c:numRef>
          </c:xVal>
          <c:yVal>
            <c:numRef>
              <c:f>Sheet5!$K$11:$K$12</c:f>
              <c:numCache>
                <c:formatCode>General</c:formatCode>
                <c:ptCount val="2"/>
                <c:pt idx="0">
                  <c:v>7.6400000000000001E-3</c:v>
                </c:pt>
                <c:pt idx="1">
                  <c:v>9.4799999999999995E-4</c:v>
                </c:pt>
              </c:numCache>
            </c:numRef>
          </c:yVal>
          <c:smooth val="0"/>
        </c:ser>
        <c:ser>
          <c:idx val="6"/>
          <c:order val="5"/>
          <c:tx>
            <c:v>20%vol glycerol - SV</c:v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1587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Sheet5!$V$12</c:f>
              <c:numCache>
                <c:formatCode>0.00E+00</c:formatCode>
                <c:ptCount val="1"/>
                <c:pt idx="0">
                  <c:v>40.000000000000014</c:v>
                </c:pt>
              </c:numCache>
            </c:numRef>
          </c:xVal>
          <c:yVal>
            <c:numRef>
              <c:f>Sheet5!$L$12</c:f>
              <c:numCache>
                <c:formatCode>General</c:formatCode>
                <c:ptCount val="1"/>
                <c:pt idx="0">
                  <c:v>1.07E-3</c:v>
                </c:pt>
              </c:numCache>
            </c:numRef>
          </c:yVal>
          <c:smooth val="0"/>
        </c:ser>
        <c:ser>
          <c:idx val="4"/>
          <c:order val="6"/>
          <c:tx>
            <c:v>Engulfment time</c:v>
          </c:tx>
          <c:spPr>
            <a:ln w="635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Sheet5!$V$7:$V$11</c:f>
              <c:numCache>
                <c:formatCode>0.00E+00</c:formatCode>
                <c:ptCount val="5"/>
                <c:pt idx="0">
                  <c:v>66.482786552988443</c:v>
                </c:pt>
                <c:pt idx="1">
                  <c:v>160.71387572938764</c:v>
                </c:pt>
                <c:pt idx="2">
                  <c:v>379.18077653196963</c:v>
                </c:pt>
                <c:pt idx="3">
                  <c:v>703.01042342644519</c:v>
                </c:pt>
                <c:pt idx="4">
                  <c:v>12.656250000000007</c:v>
                </c:pt>
              </c:numCache>
            </c:numRef>
          </c:xVal>
          <c:yVal>
            <c:numRef>
              <c:f>Sheet5!$X$7:$X$11</c:f>
              <c:numCache>
                <c:formatCode>General</c:formatCode>
                <c:ptCount val="5"/>
                <c:pt idx="0">
                  <c:v>1.396200835962727E-3</c:v>
                </c:pt>
                <c:pt idx="1">
                  <c:v>8.979989182317941E-4</c:v>
                </c:pt>
                <c:pt idx="2">
                  <c:v>5.8462764119385387E-4</c:v>
                </c:pt>
                <c:pt idx="3">
                  <c:v>4.29360035933121E-4</c:v>
                </c:pt>
                <c:pt idx="4">
                  <c:v>3.1999999999999989E-3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4569000"/>
        <c:axId val="285737224"/>
        <c:extLst/>
      </c:scatterChart>
      <c:valAx>
        <c:axId val="464569000"/>
        <c:scaling>
          <c:logBase val="10"/>
          <c:orientation val="minMax"/>
          <c:max val="1000"/>
          <c:min val="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Local energy dissipation [W/kg]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E+00" sourceLinked="1"/>
        <c:majorTickMark val="out"/>
        <c:minorTickMark val="out"/>
        <c:tickLblPos val="low"/>
        <c:spPr>
          <a:noFill/>
          <a:ln w="12700" cap="flat" cmpd="sng" algn="ctr">
            <a:solidFill>
              <a:schemeClr val="tx1">
                <a:alpha val="53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737224"/>
        <c:crosses val="autoZero"/>
        <c:crossBetween val="midCat"/>
      </c:valAx>
      <c:valAx>
        <c:axId val="285737224"/>
        <c:scaling>
          <c:logBase val="10"/>
          <c:orientation val="minMax"/>
          <c:max val="0.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 t</a:t>
                </a:r>
                <a:r>
                  <a:rPr lang="en-US" baseline="-25000"/>
                  <a:t>mix</a:t>
                </a:r>
                <a:r>
                  <a:rPr lang="en-US" baseline="0"/>
                  <a:t> [s]</a:t>
                </a:r>
                <a:endParaRPr lang="en-US" baseline="-250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E+00" sourceLinked="0"/>
        <c:majorTickMark val="in"/>
        <c:minorTickMark val="in"/>
        <c:tickLblPos val="nextTo"/>
        <c:spPr>
          <a:noFill/>
          <a:ln w="12700" cap="flat" cmpd="sng" algn="ctr">
            <a:solidFill>
              <a:schemeClr val="tx1"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569000"/>
        <c:crosses val="autoZero"/>
        <c:crossBetween val="midCat"/>
      </c:valAx>
      <c:spPr>
        <a:noFill/>
        <a:ln w="12700">
          <a:solidFill>
            <a:schemeClr val="tx1"/>
          </a:solidFill>
        </a:ln>
        <a:effectLst/>
      </c:spPr>
    </c:plotArea>
    <c:legend>
      <c:legendPos val="t"/>
      <c:layout>
        <c:manualLayout>
          <c:xMode val="edge"/>
          <c:yMode val="edge"/>
          <c:x val="0.45123975980275183"/>
          <c:y val="0.1111111111111111"/>
          <c:w val="0.42580330867732441"/>
          <c:h val="0.3356791338582677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8765-CA90-4CA9-ABD7-D122858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Manzano Martinez, A.N.</cp:lastModifiedBy>
  <cp:revision>10</cp:revision>
  <cp:lastPrinted>2015-05-12T18:31:00Z</cp:lastPrinted>
  <dcterms:created xsi:type="dcterms:W3CDTF">2019-01-11T07:51:00Z</dcterms:created>
  <dcterms:modified xsi:type="dcterms:W3CDTF">2019-01-15T16:51:00Z</dcterms:modified>
</cp:coreProperties>
</file>