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7F0B8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CBA829C" w14:textId="77777777" w:rsidR="00704BDF" w:rsidRPr="00DE0019" w:rsidRDefault="003640A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Chlori</w:t>
      </w:r>
      <w:r w:rsidR="00EB5898">
        <w:rPr>
          <w:rFonts w:asciiTheme="minorHAnsi" w:eastAsia="MS PGothic" w:hAnsiTheme="minorHAnsi"/>
          <w:b/>
          <w:bCs/>
          <w:sz w:val="28"/>
          <w:szCs w:val="28"/>
          <w:lang w:val="en-US"/>
        </w:rPr>
        <w:t>ne-free oxidation of starch and its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derivatives using alkaline hydrogen peroxide and </w:t>
      </w:r>
      <w:r w:rsidR="00EB5898">
        <w:rPr>
          <w:rFonts w:asciiTheme="minorHAnsi" w:eastAsia="MS PGothic" w:hAnsiTheme="minorHAnsi"/>
          <w:b/>
          <w:bCs/>
          <w:sz w:val="28"/>
          <w:szCs w:val="28"/>
          <w:lang w:val="en-US"/>
        </w:rPr>
        <w:t>w</w:t>
      </w:r>
      <w:r w:rsidR="00C74CE0">
        <w:rPr>
          <w:rFonts w:asciiTheme="minorHAnsi" w:eastAsia="MS PGothic" w:hAnsiTheme="minorHAnsi"/>
          <w:b/>
          <w:bCs/>
          <w:sz w:val="28"/>
          <w:szCs w:val="28"/>
          <w:lang w:val="en-US"/>
        </w:rPr>
        <w:t>ater-</w:t>
      </w:r>
      <w:r w:rsidR="00EB5898">
        <w:rPr>
          <w:rFonts w:asciiTheme="minorHAnsi" w:eastAsia="MS PGothic" w:hAnsiTheme="minorHAnsi"/>
          <w:b/>
          <w:bCs/>
          <w:sz w:val="28"/>
          <w:szCs w:val="28"/>
          <w:lang w:val="en-US"/>
        </w:rPr>
        <w:t>soluble iron-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and manganese-based catalysts</w:t>
      </w:r>
    </w:p>
    <w:p w14:paraId="5A316440" w14:textId="1C1CCD28" w:rsidR="00DE0019" w:rsidRPr="00DE0019" w:rsidRDefault="003640AC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Homer Genuino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Tim Meinds</w:t>
      </w:r>
      <w:r w:rsidR="0052466C" w:rsidRPr="0052466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="0052466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Marcel Staal</w:t>
      </w:r>
      <w:r w:rsidR="0052466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52466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52466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Jelle</w:t>
      </w:r>
      <w:proofErr w:type="spellEnd"/>
      <w:r w:rsidR="0052466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Brinksma</w:t>
      </w:r>
      <w:r w:rsidR="0052466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52466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Thomas Wielema</w:t>
      </w:r>
      <w:r w:rsidR="0052466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52466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Francesco Picchioni</w:t>
      </w:r>
      <w:r w:rsidR="0052466C" w:rsidRPr="0052466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52466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Peter Deuss</w:t>
      </w:r>
      <w:r w:rsidR="0052466C" w:rsidRPr="0052466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52466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Wesley Brown</w:t>
      </w:r>
      <w:r w:rsidR="0052466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52466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Hero Heeres</w:t>
      </w:r>
      <w:r w:rsidR="0052466C" w:rsidRPr="0052466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52466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,*</w:t>
      </w:r>
    </w:p>
    <w:p w14:paraId="33DFD354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3640A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Chemical Engineering, Engineering and Technology institute Groningen (ENTEG), University of Groningen, </w:t>
      </w:r>
      <w:r w:rsidR="00EB589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Groningen, </w:t>
      </w:r>
      <w:r w:rsidR="003640A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The Netherlands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proofErr w:type="spellStart"/>
      <w:r w:rsidR="003640A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Avebe</w:t>
      </w:r>
      <w:proofErr w:type="spellEnd"/>
      <w:r w:rsidR="003640A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C74CE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Foxhol</w:t>
      </w:r>
      <w:proofErr w:type="spellEnd"/>
      <w:r w:rsidR="003640A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="00EB589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C74CE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Foxhol</w:t>
      </w:r>
      <w:proofErr w:type="spellEnd"/>
      <w:r w:rsidR="00C74CE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="00EB589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The Netherlands</w:t>
      </w:r>
      <w:r w:rsidR="003640A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2466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3 </w:t>
      </w:r>
      <w:proofErr w:type="spellStart"/>
      <w:r w:rsidR="0052466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Stratingh</w:t>
      </w:r>
      <w:proofErr w:type="spellEnd"/>
      <w:r w:rsidR="0052466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Institute for Chemistry, University of Groningen, Groningen, The Netherlands</w:t>
      </w:r>
    </w:p>
    <w:p w14:paraId="2CBAFC75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3640AC">
        <w:rPr>
          <w:rFonts w:asciiTheme="minorHAnsi" w:eastAsia="MS PGothic" w:hAnsiTheme="minorHAnsi"/>
          <w:bCs/>
          <w:i/>
          <w:iCs/>
          <w:sz w:val="20"/>
          <w:lang w:val="en-US"/>
        </w:rPr>
        <w:t>h.j.heeres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3640AC">
        <w:rPr>
          <w:rFonts w:asciiTheme="minorHAnsi" w:eastAsia="MS PGothic" w:hAnsiTheme="minorHAnsi"/>
          <w:bCs/>
          <w:i/>
          <w:iCs/>
          <w:sz w:val="20"/>
          <w:lang w:val="en-US"/>
        </w:rPr>
        <w:t>rug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3640AC">
        <w:rPr>
          <w:rFonts w:asciiTheme="minorHAnsi" w:eastAsia="MS PGothic" w:hAnsiTheme="minorHAnsi"/>
          <w:bCs/>
          <w:i/>
          <w:iCs/>
          <w:sz w:val="20"/>
          <w:lang w:val="en-US"/>
        </w:rPr>
        <w:t>nl</w:t>
      </w:r>
    </w:p>
    <w:p w14:paraId="1C73DE29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41E9394" w14:textId="77777777" w:rsidR="00704BDF" w:rsidRDefault="0052466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Pr="0052466C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O</w:t>
      </w:r>
      <w:r w:rsidRPr="0052466C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</w:t>
      </w:r>
      <w:r w:rsidR="00613FD8">
        <w:rPr>
          <w:rFonts w:asciiTheme="minorHAnsi" w:hAnsiTheme="minorHAnsi"/>
        </w:rPr>
        <w:t>combined with</w:t>
      </w:r>
      <w:r w:rsidR="0055048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iron </w:t>
      </w:r>
      <w:r w:rsidR="00613FD8">
        <w:rPr>
          <w:rFonts w:asciiTheme="minorHAnsi" w:hAnsiTheme="minorHAnsi"/>
        </w:rPr>
        <w:t>or</w:t>
      </w:r>
      <w:r w:rsidR="004F7DE9">
        <w:rPr>
          <w:rFonts w:asciiTheme="minorHAnsi" w:hAnsiTheme="minorHAnsi"/>
        </w:rPr>
        <w:t xml:space="preserve"> manganese</w:t>
      </w:r>
      <w:r w:rsidR="00613FD8">
        <w:rPr>
          <w:rFonts w:asciiTheme="minorHAnsi" w:hAnsiTheme="minorHAnsi"/>
        </w:rPr>
        <w:t xml:space="preserve"> complex</w:t>
      </w:r>
      <w:r w:rsidR="004F7DE9">
        <w:rPr>
          <w:rFonts w:asciiTheme="minorHAnsi" w:hAnsiTheme="minorHAnsi"/>
        </w:rPr>
        <w:t xml:space="preserve"> </w:t>
      </w:r>
      <w:r w:rsidR="00613FD8">
        <w:rPr>
          <w:rFonts w:asciiTheme="minorHAnsi" w:hAnsiTheme="minorHAnsi"/>
        </w:rPr>
        <w:t>is an</w:t>
      </w:r>
      <w:r w:rsidR="0055048F">
        <w:rPr>
          <w:rFonts w:asciiTheme="minorHAnsi" w:hAnsiTheme="minorHAnsi"/>
        </w:rPr>
        <w:t xml:space="preserve"> efficient </w:t>
      </w:r>
      <w:r w:rsidR="00613FD8">
        <w:rPr>
          <w:rFonts w:asciiTheme="minorHAnsi" w:hAnsiTheme="minorHAnsi"/>
        </w:rPr>
        <w:t>system</w:t>
      </w:r>
      <w:r w:rsidR="0055048F">
        <w:rPr>
          <w:rFonts w:asciiTheme="minorHAnsi" w:hAnsiTheme="minorHAnsi"/>
        </w:rPr>
        <w:t xml:space="preserve"> for starch oxidation</w:t>
      </w:r>
    </w:p>
    <w:p w14:paraId="44104F96" w14:textId="77777777" w:rsidR="003C7726" w:rsidRDefault="003C7726" w:rsidP="003C772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Interplay between catalyst stability and applied process parameters dictates efficiency</w:t>
      </w:r>
    </w:p>
    <w:p w14:paraId="40C9F786" w14:textId="77777777" w:rsidR="0052466C" w:rsidRDefault="0055048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5048F">
        <w:rPr>
          <w:rFonts w:asciiTheme="minorHAnsi" w:hAnsiTheme="minorHAnsi"/>
          <w:i/>
        </w:rPr>
        <w:t>I</w:t>
      </w:r>
      <w:r w:rsidR="00DD65F1" w:rsidRPr="00DD65F1">
        <w:rPr>
          <w:rFonts w:asciiTheme="minorHAnsi" w:hAnsiTheme="minorHAnsi"/>
          <w:i/>
        </w:rPr>
        <w:t>n situ</w:t>
      </w:r>
      <w:r>
        <w:rPr>
          <w:rFonts w:asciiTheme="minorHAnsi" w:hAnsiTheme="minorHAnsi"/>
        </w:rPr>
        <w:t xml:space="preserve"> Raman spectroscopic technique </w:t>
      </w:r>
      <w:r w:rsidR="00FA5929">
        <w:rPr>
          <w:rFonts w:asciiTheme="minorHAnsi" w:hAnsiTheme="minorHAnsi"/>
        </w:rPr>
        <w:t>i</w:t>
      </w:r>
      <w:r>
        <w:rPr>
          <w:rFonts w:asciiTheme="minorHAnsi" w:hAnsiTheme="minorHAnsi"/>
        </w:rPr>
        <w:t>s developed to monitor catalyst stability</w:t>
      </w:r>
    </w:p>
    <w:p w14:paraId="1F2994D7" w14:textId="77777777" w:rsidR="00704BDF" w:rsidRDefault="00FA5929" w:rsidP="00AF1BA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Studies on model compounds provide insights into the mechanism of starch oxidation</w:t>
      </w:r>
    </w:p>
    <w:p w14:paraId="193FC8AF" w14:textId="77777777" w:rsidR="00AF1BAD" w:rsidRPr="00AF1BAD" w:rsidRDefault="00AF1BAD" w:rsidP="00AF1BAD">
      <w:pPr>
        <w:pStyle w:val="AbstractBody"/>
        <w:ind w:left="1440"/>
        <w:rPr>
          <w:rFonts w:asciiTheme="minorHAnsi" w:hAnsiTheme="minorHAnsi"/>
        </w:rPr>
      </w:pPr>
    </w:p>
    <w:p w14:paraId="3F02AD7A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4C5FB3B" w14:textId="77777777" w:rsidR="009B3D34" w:rsidRDefault="004F7DE9" w:rsidP="00E93D3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Oxidation is an attractive strategy to effectively reduce </w:t>
      </w:r>
      <w:r w:rsidR="00DD65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high-molecular weight </w:t>
      </w:r>
      <w:r w:rsidR="00DD65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AF1B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native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starch and improve its stability for various applications</w:t>
      </w:r>
      <w:r w:rsidR="00AF1B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paper and textile industries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Sodium hypochlorite </w:t>
      </w:r>
      <w:r w:rsidR="00C91F53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C91F53">
        <w:rPr>
          <w:rFonts w:asciiTheme="minorHAnsi" w:eastAsia="MS PGothic" w:hAnsiTheme="minorHAnsi"/>
          <w:color w:val="000000"/>
          <w:sz w:val="22"/>
          <w:szCs w:val="22"/>
          <w:lang w:val="en-US"/>
        </w:rPr>
        <w:t>NaOCl</w:t>
      </w:r>
      <w:proofErr w:type="spellEnd"/>
      <w:r w:rsidR="00C91F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a common oxidizing agent due to its efficiency in lowering the viscosity </w:t>
      </w:r>
      <w:r w:rsidR="00843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well as</w:t>
      </w:r>
      <w:r w:rsidR="00AF1B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introducing carbonyl/carboxyl functionality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polysaccharide structure (</w:t>
      </w:r>
      <w:r w:rsidR="00C91F53" w:rsidRPr="00C63393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Figure</w:t>
      </w:r>
      <w:r w:rsidR="00EB5898" w:rsidRPr="00C63393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1</w:t>
      </w:r>
      <w:r w:rsidR="00DD65F1" w:rsidRPr="00C63393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, left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r w:rsidR="00AF1B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 w:rsidR="00843A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is highly desired to </w:t>
      </w:r>
      <w:r w:rsidR="00AF1BAD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843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eplace</w:t>
      </w:r>
      <w:r w:rsidR="009B3D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91F53">
        <w:rPr>
          <w:rFonts w:asciiTheme="minorHAnsi" w:eastAsia="MS PGothic" w:hAnsiTheme="minorHAnsi"/>
          <w:color w:val="000000"/>
          <w:sz w:val="22"/>
          <w:szCs w:val="22"/>
          <w:lang w:val="en-US"/>
        </w:rPr>
        <w:t>NaOCl</w:t>
      </w:r>
      <w:proofErr w:type="spellEnd"/>
      <w:r w:rsidR="00AF1BA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more environmentally-</w:t>
      </w:r>
      <w:r w:rsidR="009B3D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benign 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>alternatives.</w:t>
      </w:r>
      <w:r w:rsidR="00DD65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93D3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work</w:t>
      </w:r>
      <w:r w:rsidR="00DD65F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H</w:t>
      </w:r>
      <w:r w:rsidR="00DD65F1" w:rsidRPr="003650F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D65F1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DD65F1" w:rsidRPr="003650F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D65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used</w:t>
      </w:r>
      <w:r w:rsidR="00E93D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instead,</w:t>
      </w:r>
      <w:r w:rsidR="00DD65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650F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combination</w:t>
      </w:r>
      <w:r w:rsidR="00843A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iron (III) </w:t>
      </w:r>
      <w:proofErr w:type="spellStart"/>
      <w:r w:rsidR="00843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tetrasulfonato</w:t>
      </w:r>
      <w:r w:rsidR="003650F1">
        <w:rPr>
          <w:rFonts w:asciiTheme="minorHAnsi" w:eastAsia="MS PGothic" w:hAnsiTheme="minorHAnsi"/>
          <w:color w:val="000000"/>
          <w:sz w:val="22"/>
          <w:szCs w:val="22"/>
          <w:lang w:val="en-US"/>
        </w:rPr>
        <w:t>phthalocyanine</w:t>
      </w:r>
      <w:proofErr w:type="spellEnd"/>
      <w:r w:rsidR="003650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3650F1">
        <w:rPr>
          <w:rFonts w:asciiTheme="minorHAnsi" w:eastAsia="MS PGothic" w:hAnsiTheme="minorHAnsi"/>
          <w:color w:val="000000"/>
          <w:sz w:val="22"/>
          <w:szCs w:val="22"/>
          <w:lang w:val="en-US"/>
        </w:rPr>
        <w:t>FePcS</w:t>
      </w:r>
      <w:proofErr w:type="spellEnd"/>
      <w:r w:rsidR="003650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843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or</w:t>
      </w:r>
      <w:r w:rsidR="003650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manganese (IV) 1,4,7-trimethyl-1,4,7-triazacyclononane (</w:t>
      </w:r>
      <w:proofErr w:type="spellStart"/>
      <w:r w:rsidR="003650F1">
        <w:rPr>
          <w:rFonts w:asciiTheme="minorHAnsi" w:eastAsia="MS PGothic" w:hAnsiTheme="minorHAnsi"/>
          <w:color w:val="000000"/>
          <w:sz w:val="22"/>
          <w:szCs w:val="22"/>
          <w:lang w:val="en-US"/>
        </w:rPr>
        <w:t>tmtacn</w:t>
      </w:r>
      <w:proofErr w:type="spellEnd"/>
      <w:r w:rsidR="003650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E93D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</w:t>
      </w:r>
      <w:r w:rsidR="00843A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93D3F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catalyst (</w:t>
      </w:r>
      <w:r w:rsidR="00C91F53" w:rsidRPr="00C63393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Figure</w:t>
      </w:r>
      <w:r w:rsidR="00E93D3F" w:rsidRPr="00C63393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 1, right</w:t>
      </w:r>
      <w:r w:rsidR="00E93D3F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</w:p>
    <w:p w14:paraId="1A440571" w14:textId="77777777" w:rsidR="00E93D3F" w:rsidRDefault="002D682C" w:rsidP="00E93D3F">
      <w:pPr>
        <w:snapToGrid w:val="0"/>
        <w:spacing w:after="120"/>
        <w:jc w:val="left"/>
        <w:rPr>
          <w:rFonts w:asciiTheme="minorHAnsi" w:hAnsiTheme="minorHAnsi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8100F" wp14:editId="304CCEEA">
                <wp:simplePos x="0" y="0"/>
                <wp:positionH relativeFrom="column">
                  <wp:posOffset>3592830</wp:posOffset>
                </wp:positionH>
                <wp:positionV relativeFrom="paragraph">
                  <wp:posOffset>1635760</wp:posOffset>
                </wp:positionV>
                <wp:extent cx="9144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0CC2F" w14:textId="77777777" w:rsidR="00731A44" w:rsidRDefault="00C91F53">
                            <w:r w:rsidRPr="004F7DE9">
                              <w:rPr>
                                <w:rFonts w:asciiTheme="minorHAnsi" w:eastAsia="MS PGothic" w:hAnsiTheme="minorHAnsi"/>
                                <w:color w:val="000000"/>
                                <w:sz w:val="22"/>
                                <w:szCs w:val="22"/>
                                <w:lang w:val="nl-NL"/>
                              </w:rPr>
                              <w:object w:dxaOrig="5256" w:dyaOrig="1649" w14:anchorId="11AC298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in;height:45.9pt" o:ole="">
                                  <v:imagedata r:id="rId10" o:title=""/>
                                </v:shape>
                                <o:OLEObject Type="Embed" ProgID="ChemDraw.Document.6.0" ShapeID="_x0000_i1026" DrawAspect="Content" ObjectID="_1609079626" r:id="rId1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9pt;margin-top:128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" filled="f" stroked="f" strokeweight=".5pt">
                <v:textbox>
                  <w:txbxContent>
                    <w:p w:rsidR="00731A44" w:rsidRDefault="00C91F53">
                      <w:r w:rsidRPr="004F7DE9">
                        <w:rPr>
                          <w:rFonts w:asciiTheme="minorHAnsi" w:eastAsia="MS PGothic" w:hAnsiTheme="minorHAnsi"/>
                          <w:color w:val="000000"/>
                          <w:sz w:val="22"/>
                          <w:szCs w:val="22"/>
                          <w:lang w:val="nl-NL"/>
                        </w:rPr>
                        <w:object w:dxaOrig="5256" w:dyaOrig="1649">
                          <v:shape id="_x0000_i1063" type="#_x0000_t75" style="width:2in;height:45.9pt" o:ole="">
                            <v:imagedata r:id="rId14" o:title=""/>
                          </v:shape>
                          <o:OLEObject Type="Embed" ProgID="ChemDraw.Document.6.0" ShapeID="_x0000_i1063" DrawAspect="Content" ObjectID="_1609015098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24C3A">
        <w:rPr>
          <w:rFonts w:asciiTheme="minorHAnsi" w:eastAsia="MS PGothic" w:hAnsiTheme="minorHAnsi"/>
          <w:noProof/>
          <w:color w:val="000000"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ABB15" wp14:editId="69D7CBF6">
                <wp:simplePos x="0" y="0"/>
                <wp:positionH relativeFrom="column">
                  <wp:posOffset>2406015</wp:posOffset>
                </wp:positionH>
                <wp:positionV relativeFrom="paragraph">
                  <wp:posOffset>170815</wp:posOffset>
                </wp:positionV>
                <wp:extent cx="0" cy="21145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17C9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5pt,13.45pt" to="189.45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" strokecolor="black [3213]" strokeweight=".5pt"/>
            </w:pict>
          </mc:Fallback>
        </mc:AlternateContent>
      </w:r>
      <w:r w:rsidR="00731A44" w:rsidRPr="00731A44">
        <w:rPr>
          <w:rFonts w:asciiTheme="minorHAnsi" w:eastAsia="MS PGothic" w:hAnsiTheme="minorHAnsi"/>
          <w:noProof/>
          <w:color w:val="000000"/>
          <w:sz w:val="22"/>
          <w:szCs w:val="22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B88ED3" wp14:editId="414BE668">
                <wp:simplePos x="0" y="0"/>
                <wp:positionH relativeFrom="column">
                  <wp:posOffset>2368695</wp:posOffset>
                </wp:positionH>
                <wp:positionV relativeFrom="paragraph">
                  <wp:posOffset>90950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4717" w14:textId="77777777" w:rsidR="00731A44" w:rsidRDefault="00731A44">
                            <w:r w:rsidRPr="004F7DE9">
                              <w:rPr>
                                <w:rFonts w:asciiTheme="minorHAnsi" w:eastAsia="MS PGothic" w:hAnsiTheme="minorHAnsi"/>
                                <w:color w:val="000000"/>
                                <w:sz w:val="22"/>
                                <w:szCs w:val="22"/>
                                <w:lang w:val="nl-NL"/>
                              </w:rPr>
                              <w:object w:dxaOrig="4288" w:dyaOrig="3938" w14:anchorId="14C26422">
                                <v:shape id="_x0000_i1028" type="#_x0000_t75" style="width:139.55pt;height:128.6pt">
                                  <v:imagedata r:id="rId16" o:title=""/>
                                </v:shape>
                                <o:OLEObject Type="Embed" ProgID="ChemDraw.Document.6.0" ShapeID="_x0000_i1028" DrawAspect="Content" ObjectID="_1609079627" r:id="rId1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6.5pt;margin-top:7.1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" filled="f" stroked="f">
                <v:textbox style="mso-fit-shape-to-text:t">
                  <w:txbxContent>
                    <w:p w:rsidR="00731A44" w:rsidRDefault="00731A44">
                      <w:r w:rsidRPr="004F7DE9">
                        <w:rPr>
                          <w:rFonts w:asciiTheme="minorHAnsi" w:eastAsia="MS PGothic" w:hAnsiTheme="minorHAnsi"/>
                          <w:color w:val="000000"/>
                          <w:sz w:val="22"/>
                          <w:szCs w:val="22"/>
                          <w:lang w:val="nl-NL"/>
                        </w:rPr>
                        <w:object w:dxaOrig="4288" w:dyaOrig="3938">
                          <v:shape id="_x0000_i1078" type="#_x0000_t75" style="width:139.55pt;height:128.6pt">
                            <v:imagedata r:id="rId18" o:title=""/>
                          </v:shape>
                          <o:OLEObject Type="Embed" ProgID="ChemDraw.Document.6.0" ShapeID="_x0000_i1078" DrawAspect="Content" ObjectID="_1609015099" r:id="rId19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6347" w:rsidRPr="00C5239A">
        <w:rPr>
          <w:rFonts w:asciiTheme="minorHAnsi" w:hAnsiTheme="minorHAnsi"/>
          <w:lang w:val="nl-NL"/>
        </w:rPr>
        <w:object w:dxaOrig="7731" w:dyaOrig="8150" w14:anchorId="17D2EEA3">
          <v:shape id="_x0000_i1029" type="#_x0000_t75" style="width:173.95pt;height:182.55pt" o:ole="">
            <v:imagedata r:id="rId20" o:title=""/>
          </v:shape>
          <o:OLEObject Type="Embed" ProgID="ChemDraw.Document.6.0" ShapeID="_x0000_i1029" DrawAspect="Content" ObjectID="_1609079625" r:id="rId21"/>
        </w:object>
      </w:r>
    </w:p>
    <w:p w14:paraId="3E916EF5" w14:textId="77777777" w:rsidR="00EB5898" w:rsidRPr="00E93D3F" w:rsidRDefault="00EB5898" w:rsidP="00E93D3F">
      <w:pPr>
        <w:snapToGrid w:val="0"/>
        <w:spacing w:after="120"/>
        <w:jc w:val="left"/>
        <w:rPr>
          <w:rFonts w:asciiTheme="minorHAnsi" w:hAnsiTheme="minorHAnsi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Catalytic oxidation of hydroxyl groups to carbonyl and carboxyl groups, and subsequent cleavage of the glycosidic bonds</w:t>
      </w:r>
      <w:r w:rsidR="00E24C3A">
        <w:rPr>
          <w:rFonts w:asciiTheme="minorHAnsi" w:eastAsia="MS PGothic" w:hAnsiTheme="minorHAnsi"/>
          <w:color w:val="000000"/>
          <w:szCs w:val="18"/>
          <w:lang w:val="en-US"/>
        </w:rPr>
        <w:t xml:space="preserve"> (left)</w:t>
      </w:r>
      <w:r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E24C3A">
        <w:rPr>
          <w:rFonts w:asciiTheme="minorHAnsi" w:eastAsia="MS PGothic" w:hAnsiTheme="minorHAnsi"/>
          <w:color w:val="000000"/>
          <w:szCs w:val="18"/>
          <w:lang w:val="en-US"/>
        </w:rPr>
        <w:t xml:space="preserve"> Structure of iron and manganese complexes </w:t>
      </w:r>
      <w:r w:rsidR="00E93D3F">
        <w:rPr>
          <w:rFonts w:asciiTheme="minorHAnsi" w:eastAsia="MS PGothic" w:hAnsiTheme="minorHAnsi"/>
          <w:color w:val="000000"/>
          <w:szCs w:val="18"/>
          <w:lang w:val="en-US"/>
        </w:rPr>
        <w:t>as catalysts</w:t>
      </w:r>
      <w:r w:rsidR="00F2567A">
        <w:rPr>
          <w:rFonts w:asciiTheme="minorHAnsi" w:eastAsia="MS PGothic" w:hAnsiTheme="minorHAnsi"/>
          <w:color w:val="000000"/>
          <w:szCs w:val="18"/>
          <w:lang w:val="en-US"/>
        </w:rPr>
        <w:t xml:space="preserve"> used</w:t>
      </w:r>
      <w:r w:rsidR="00E93D3F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E24C3A">
        <w:rPr>
          <w:rFonts w:asciiTheme="minorHAnsi" w:eastAsia="MS PGothic" w:hAnsiTheme="minorHAnsi"/>
          <w:color w:val="000000"/>
          <w:szCs w:val="18"/>
          <w:lang w:val="en-US"/>
        </w:rPr>
        <w:t xml:space="preserve">in this </w:t>
      </w:r>
      <w:r w:rsidR="00E93D3F">
        <w:rPr>
          <w:rFonts w:asciiTheme="minorHAnsi" w:eastAsia="MS PGothic" w:hAnsiTheme="minorHAnsi"/>
          <w:color w:val="000000"/>
          <w:szCs w:val="18"/>
          <w:lang w:val="en-US"/>
        </w:rPr>
        <w:t xml:space="preserve">present </w:t>
      </w:r>
      <w:r w:rsidR="00E24C3A">
        <w:rPr>
          <w:rFonts w:asciiTheme="minorHAnsi" w:eastAsia="MS PGothic" w:hAnsiTheme="minorHAnsi"/>
          <w:color w:val="000000"/>
          <w:szCs w:val="18"/>
          <w:lang w:val="en-US"/>
        </w:rPr>
        <w:t>work (right).</w:t>
      </w:r>
    </w:p>
    <w:p w14:paraId="6C5A7B9A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2. Methods</w:t>
      </w:r>
    </w:p>
    <w:p w14:paraId="6644B18A" w14:textId="02A8EF96" w:rsidR="00731A44" w:rsidRDefault="00C4719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Typically, p</w:t>
      </w:r>
      <w:r w:rsidR="00CC37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otato starch slurry in water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(39 wt.%) </w:t>
      </w:r>
      <w:r w:rsidR="00CC375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prepared and hea</w:t>
      </w:r>
      <w:r w:rsidR="00935F66">
        <w:rPr>
          <w:rFonts w:asciiTheme="minorHAnsi" w:eastAsia="MS PGothic" w:hAnsiTheme="minorHAnsi"/>
          <w:color w:val="000000"/>
          <w:sz w:val="22"/>
          <w:szCs w:val="22"/>
          <w:lang w:val="en-US"/>
        </w:rPr>
        <w:t>ted to the desired temperature</w:t>
      </w:r>
      <w:r w:rsidR="00843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 </w:t>
      </w:r>
      <w:r w:rsidR="00843A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adjusted 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0E06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10 or 11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NaOH</w:t>
      </w:r>
      <w:r w:rsidR="00935F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catalyst was </w:t>
      </w:r>
      <w:r w:rsidR="00843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subsequently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added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followed by H</w:t>
      </w:r>
      <w:r w:rsidRPr="00C4719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C4719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influence of process parameters (</w:t>
      </w:r>
      <w:r w:rsidR="00B303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i.e.,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time, temperature, oxidant, </w:t>
      </w:r>
      <w:r w:rsidR="00B303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catalyst and starch concentrations) for reactions carried out in both batch and continuous-flow set-ups on yield, viscosity, 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degree of substitution (DS) 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wa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 investigated. Y</w:t>
      </w:r>
      <w:r w:rsidR="00935F66">
        <w:rPr>
          <w:rFonts w:asciiTheme="minorHAnsi" w:eastAsia="MS PGothic" w:hAnsiTheme="minorHAnsi"/>
          <w:color w:val="000000"/>
          <w:sz w:val="22"/>
          <w:szCs w:val="22"/>
          <w:lang w:val="en-US"/>
        </w:rPr>
        <w:t>ield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35F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="00935F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calculated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the 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weight of 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</w:t>
      </w:r>
      <w:r w:rsidR="00935F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Moisture content and urea viscosity were determined using 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935F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moisture analyzer and 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935F66">
        <w:rPr>
          <w:rFonts w:asciiTheme="minorHAnsi" w:eastAsia="MS PGothic" w:hAnsiTheme="minorHAnsi"/>
          <w:color w:val="000000"/>
          <w:sz w:val="22"/>
          <w:szCs w:val="22"/>
          <w:lang w:val="en-US"/>
        </w:rPr>
        <w:t>rapid visco-analyzer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respectively</w:t>
      </w:r>
      <w:r w:rsidR="00935F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carboxyl and carbonyl contents were determined 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B303F7">
        <w:rPr>
          <w:rFonts w:asciiTheme="minorHAnsi" w:eastAsia="MS PGothic" w:hAnsiTheme="minorHAnsi"/>
          <w:color w:val="000000"/>
          <w:sz w:val="22"/>
          <w:szCs w:val="22"/>
          <w:lang w:val="en-US"/>
        </w:rPr>
        <w:t>IR spectroscopy</w:t>
      </w:r>
      <w:r w:rsidR="00C21C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by 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titration. Product properties</w:t>
      </w:r>
      <w:r w:rsidR="00935F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 </w:t>
      </w:r>
      <w:r w:rsidR="00935F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characterized using </w:t>
      </w:r>
      <w:r w:rsidR="00C74074">
        <w:rPr>
          <w:rFonts w:asciiTheme="minorHAnsi" w:eastAsia="MS PGothic" w:hAnsiTheme="minorHAnsi"/>
          <w:color w:val="000000"/>
          <w:sz w:val="22"/>
          <w:szCs w:val="22"/>
          <w:lang w:val="en-US"/>
        </w:rPr>
        <w:t>various technique</w:t>
      </w:r>
      <w:r w:rsidR="00843AF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740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including</w:t>
      </w:r>
      <w:r w:rsidR="00A75B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74074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935F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XRD, SEM, </w:t>
      </w:r>
      <w:r w:rsidR="00A75B4D">
        <w:rPr>
          <w:rFonts w:asciiTheme="minorHAnsi" w:eastAsia="MS PGothic" w:hAnsiTheme="minorHAnsi"/>
          <w:color w:val="000000"/>
          <w:sz w:val="22"/>
          <w:szCs w:val="22"/>
          <w:lang w:val="en-US"/>
        </w:rPr>
        <w:t>FT</w:t>
      </w:r>
      <w:r w:rsidR="00935F66">
        <w:rPr>
          <w:rFonts w:asciiTheme="minorHAnsi" w:eastAsia="MS PGothic" w:hAnsiTheme="minorHAnsi"/>
          <w:color w:val="000000"/>
          <w:sz w:val="22"/>
          <w:szCs w:val="22"/>
          <w:lang w:val="en-US"/>
        </w:rPr>
        <w:t>IR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2-D NMR HSQC, GPC, </w:t>
      </w:r>
      <w:r w:rsidR="00E549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HPLC, </w:t>
      </w:r>
      <w:r w:rsidR="000C20F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ESI-MS.</w:t>
      </w:r>
    </w:p>
    <w:p w14:paraId="745BD8D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29B9F68" w14:textId="2FEFE8F0" w:rsidR="009B3D34" w:rsidRPr="00935F66" w:rsidRDefault="00C116E6" w:rsidP="00731A4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DE23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optimum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batch </w:t>
      </w:r>
      <w:r w:rsidR="00DE2338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 f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4238CA" w:rsidRPr="004238C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4238CA" w:rsidRPr="004238C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-FePcS system,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DE233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 yield of 91%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obtained with substantial degree of substitution (DS</w:t>
      </w:r>
      <w:r w:rsidR="004238CA" w:rsidRPr="00DE233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CO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=0.41, DS</w:t>
      </w:r>
      <w:r w:rsidR="004238CA" w:rsidRPr="00DE233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COOH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=0.014)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combined with 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degradation to lower </w:t>
      </w:r>
      <w:r w:rsidR="00DE233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molecular weight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(197 mPa</w:t>
      </w:r>
      <w:r w:rsidR="00DE2338">
        <w:rPr>
          <w:rFonts w:asciiTheme="minorHAnsi" w:eastAsia="MS PGothic" w:hAnsiTheme="minorHAnsi"/>
          <w:color w:val="000000"/>
          <w:sz w:val="22"/>
          <w:szCs w:val="22"/>
          <w:lang w:val="en-US"/>
        </w:rPr>
        <w:t>·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s) (</w:t>
      </w:r>
      <w:r w:rsidR="004238CA" w:rsidRPr="00C63393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Table 1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r w:rsidR="00DE23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</w:t>
      </w:r>
      <w:r w:rsidR="00DE23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2337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DE2338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DE2338" w:rsidRPr="00DE233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E2338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DE2338" w:rsidRPr="00DE233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C23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 </w:t>
      </w:r>
      <w:r w:rsidR="00DE233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temperature promote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DE23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degradation of the FePcS catalyst</w:t>
      </w:r>
      <w:r w:rsidR="000E06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(by </w:t>
      </w:r>
      <w:r w:rsidR="000E06C1" w:rsidRPr="000E06C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in situ</w:t>
      </w:r>
      <w:r w:rsidR="000E06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Raman spectroscopy)</w:t>
      </w:r>
      <w:r w:rsidR="00DE23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4238CA" w:rsidRPr="004238C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4238CA" w:rsidRPr="004238C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-Mn</w:t>
      </w:r>
      <w:r w:rsidR="00423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(tntacn) system</w:t>
      </w:r>
      <w:r w:rsidR="000E06C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21C26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starch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oxidation </w:t>
      </w:r>
      <w:r w:rsidR="000E231F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clear function of time and showed a 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linear 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dependency 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respect to carboxyl group formation</w:t>
      </w:r>
      <w:r w:rsidR="000E06C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whereas 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exponential decay 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found 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starch degradation. H</w:t>
      </w:r>
      <w:r w:rsidR="00EB5898" w:rsidRPr="00C21C2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EB5898" w:rsidRPr="00C21C2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21C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catalyst concentrations of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 wt.% and 20 ppm, respectively, were already sufficient to significantly reduce the viscosity of starch samples within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benchmark specifications (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>144 mPa</w:t>
      </w:r>
      <w:r w:rsidR="00C21C26">
        <w:rPr>
          <w:rFonts w:asciiTheme="minorHAnsi" w:eastAsia="MS PGothic" w:hAnsiTheme="minorHAnsi"/>
          <w:color w:val="000000"/>
          <w:sz w:val="22"/>
          <w:szCs w:val="22"/>
          <w:lang w:val="en-US"/>
        </w:rPr>
        <w:t>·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>s with DS</w:t>
      </w:r>
      <w:r w:rsidR="00EB5898" w:rsidRPr="00C21C2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COOH</w:t>
      </w:r>
      <w:r w:rsidR="00DE19EF">
        <w:rPr>
          <w:rFonts w:asciiTheme="minorHAnsi" w:eastAsia="MS PGothic" w:hAnsiTheme="minorHAnsi"/>
          <w:color w:val="000000"/>
          <w:sz w:val="22"/>
          <w:szCs w:val="22"/>
          <w:lang w:val="en-US"/>
        </w:rPr>
        <w:t>=0.04)</w:t>
      </w:r>
      <w:r w:rsidR="00EB58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both catalytic systems, t</w:t>
      </w:r>
      <w:r w:rsidR="007223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morphology and structure of 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7223C0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starch remained unchanged after oxidation. A clear shift of the cumulative wei</w:t>
      </w:r>
      <w:r w:rsidR="00DE19EF">
        <w:rPr>
          <w:rFonts w:asciiTheme="minorHAnsi" w:eastAsia="MS PGothic" w:hAnsiTheme="minorHAnsi"/>
          <w:color w:val="000000"/>
          <w:sz w:val="22"/>
          <w:szCs w:val="22"/>
          <w:lang w:val="en-US"/>
        </w:rPr>
        <w:t>ght fraction to lower regimes was</w:t>
      </w:r>
      <w:r w:rsidR="007223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E23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="007223C0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</w:t>
      </w:r>
      <w:r w:rsidR="000E06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(by GPC)</w:t>
      </w:r>
      <w:r w:rsidR="007223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consistent with the observed extent of depolymerization and formation of water-soluble oxidized compounds. </w:t>
      </w:r>
      <w:r w:rsidR="009B3D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Studies on model compounds </w:t>
      </w:r>
      <w:r w:rsidR="007223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(i.e., </w:t>
      </w:r>
      <w:r w:rsidR="009B3D34">
        <w:rPr>
          <w:rFonts w:asciiTheme="minorHAnsi" w:eastAsia="MS PGothic" w:hAnsiTheme="minorHAnsi"/>
          <w:color w:val="000000"/>
          <w:sz w:val="22"/>
          <w:szCs w:val="22"/>
          <w:lang w:val="en-US"/>
        </w:rPr>
        <w:t>glucose, fructose, maltose, cell</w:t>
      </w:r>
      <w:r w:rsidR="007223C0">
        <w:rPr>
          <w:rFonts w:asciiTheme="minorHAnsi" w:eastAsia="MS PGothic" w:hAnsiTheme="minorHAnsi"/>
          <w:color w:val="000000"/>
          <w:sz w:val="22"/>
          <w:szCs w:val="22"/>
          <w:lang w:val="en-US"/>
        </w:rPr>
        <w:t>ul</w:t>
      </w:r>
      <w:r w:rsidR="009B3D34">
        <w:rPr>
          <w:rFonts w:asciiTheme="minorHAnsi" w:eastAsia="MS PGothic" w:hAnsiTheme="minorHAnsi"/>
          <w:color w:val="000000"/>
          <w:sz w:val="22"/>
          <w:szCs w:val="22"/>
          <w:lang w:val="en-US"/>
        </w:rPr>
        <w:t>obiose, beta-cyclodextrin, inulin, amylose, and amylopectin</w:t>
      </w:r>
      <w:r w:rsidR="007223C0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B3D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provided insights into structure-property relationships as well as 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B3D34">
        <w:rPr>
          <w:rFonts w:asciiTheme="minorHAnsi" w:eastAsia="MS PGothic" w:hAnsiTheme="minorHAnsi"/>
          <w:color w:val="000000"/>
          <w:sz w:val="22"/>
          <w:szCs w:val="22"/>
          <w:lang w:val="en-US"/>
        </w:rPr>
        <w:t>mechanism of</w:t>
      </w:r>
      <w:r w:rsidR="00C633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oxidation and depolymerization.</w:t>
      </w:r>
    </w:p>
    <w:p w14:paraId="273F1BD8" w14:textId="56240BB6" w:rsidR="00731A44" w:rsidRPr="00731A44" w:rsidRDefault="00731A44" w:rsidP="00731A44">
      <w:pPr>
        <w:pStyle w:val="NoSpacing"/>
        <w:spacing w:line="276" w:lineRule="auto"/>
        <w:jc w:val="both"/>
        <w:rPr>
          <w:sz w:val="20"/>
          <w:szCs w:val="20"/>
        </w:rPr>
      </w:pPr>
      <w:r w:rsidRPr="00731A44">
        <w:rPr>
          <w:b/>
          <w:sz w:val="20"/>
          <w:szCs w:val="20"/>
        </w:rPr>
        <w:t>Table 1.</w:t>
      </w:r>
      <w:r w:rsidRPr="00731A44">
        <w:rPr>
          <w:sz w:val="20"/>
          <w:szCs w:val="20"/>
        </w:rPr>
        <w:t xml:space="preserve"> Catalytic oxidation of native potato starch with FePcS and H</w:t>
      </w:r>
      <w:r w:rsidRPr="00731A44">
        <w:rPr>
          <w:sz w:val="20"/>
          <w:szCs w:val="20"/>
          <w:vertAlign w:val="subscript"/>
        </w:rPr>
        <w:t>2</w:t>
      </w:r>
      <w:r w:rsidRPr="00731A44">
        <w:rPr>
          <w:sz w:val="20"/>
          <w:szCs w:val="20"/>
        </w:rPr>
        <w:t>O</w:t>
      </w:r>
      <w:r w:rsidRPr="00731A44">
        <w:rPr>
          <w:sz w:val="20"/>
          <w:szCs w:val="20"/>
          <w:vertAlign w:val="subscript"/>
        </w:rPr>
        <w:t>2</w:t>
      </w:r>
      <w:r w:rsidR="00940449">
        <w:rPr>
          <w:sz w:val="20"/>
          <w:szCs w:val="20"/>
        </w:rPr>
        <w:t xml:space="preserve"> at 50 °C and pH 10</w:t>
      </w:r>
      <w:r w:rsidR="001809C4">
        <w:rPr>
          <w:sz w:val="20"/>
          <w:szCs w:val="20"/>
        </w:rPr>
        <w:t xml:space="preserve"> in batch.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1276"/>
        <w:gridCol w:w="992"/>
        <w:gridCol w:w="1134"/>
        <w:gridCol w:w="1134"/>
        <w:gridCol w:w="1134"/>
      </w:tblGrid>
      <w:tr w:rsidR="00731A44" w:rsidRPr="00731A44" w14:paraId="5E282E19" w14:textId="77777777" w:rsidTr="00B60DEB">
        <w:tc>
          <w:tcPr>
            <w:tcW w:w="704" w:type="dxa"/>
            <w:vAlign w:val="center"/>
          </w:tcPr>
          <w:p w14:paraId="3B1BF6C0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Entry</w:t>
            </w:r>
          </w:p>
        </w:tc>
        <w:tc>
          <w:tcPr>
            <w:tcW w:w="1134" w:type="dxa"/>
            <w:vAlign w:val="center"/>
          </w:tcPr>
          <w:p w14:paraId="3AD606F5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FePcS (μM)</w:t>
            </w:r>
          </w:p>
        </w:tc>
        <w:tc>
          <w:tcPr>
            <w:tcW w:w="992" w:type="dxa"/>
            <w:vAlign w:val="center"/>
          </w:tcPr>
          <w:p w14:paraId="3FD5AB5D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H</w:t>
            </w:r>
            <w:r w:rsidRPr="00731A44">
              <w:rPr>
                <w:sz w:val="20"/>
                <w:szCs w:val="20"/>
                <w:vertAlign w:val="subscript"/>
              </w:rPr>
              <w:t>2</w:t>
            </w:r>
            <w:r w:rsidRPr="00731A44">
              <w:rPr>
                <w:sz w:val="20"/>
                <w:szCs w:val="20"/>
              </w:rPr>
              <w:t>O</w:t>
            </w:r>
            <w:r w:rsidRPr="00731A44">
              <w:rPr>
                <w:sz w:val="20"/>
                <w:szCs w:val="20"/>
                <w:vertAlign w:val="subscript"/>
              </w:rPr>
              <w:t>2</w:t>
            </w:r>
            <w:r w:rsidRPr="00731A44">
              <w:rPr>
                <w:sz w:val="20"/>
                <w:szCs w:val="20"/>
              </w:rPr>
              <w:t xml:space="preserve"> (M)</w:t>
            </w:r>
          </w:p>
        </w:tc>
        <w:tc>
          <w:tcPr>
            <w:tcW w:w="1276" w:type="dxa"/>
            <w:vAlign w:val="center"/>
          </w:tcPr>
          <w:p w14:paraId="031BD7C5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time</w:t>
            </w:r>
          </w:p>
          <w:p w14:paraId="5E3150E5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(min)</w:t>
            </w:r>
            <w:r w:rsidRPr="00731A44">
              <w:rPr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2" w:type="dxa"/>
          </w:tcPr>
          <w:p w14:paraId="24F9411B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Urea</w:t>
            </w:r>
          </w:p>
          <w:p w14:paraId="0943601C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viscosity</w:t>
            </w:r>
          </w:p>
          <w:p w14:paraId="78CAC798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(mPa·s)</w:t>
            </w:r>
          </w:p>
        </w:tc>
        <w:tc>
          <w:tcPr>
            <w:tcW w:w="1134" w:type="dxa"/>
            <w:vAlign w:val="center"/>
          </w:tcPr>
          <w:p w14:paraId="1657FF9E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 w:rsidRPr="00731A44">
              <w:rPr>
                <w:sz w:val="20"/>
                <w:szCs w:val="20"/>
              </w:rPr>
              <w:t>DS</w:t>
            </w:r>
            <w:r w:rsidRPr="00731A44">
              <w:rPr>
                <w:sz w:val="20"/>
                <w:szCs w:val="20"/>
                <w:vertAlign w:val="subscript"/>
              </w:rPr>
              <w:t>COOH</w:t>
            </w:r>
          </w:p>
          <w:p w14:paraId="48F60B5E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(mol mol</w:t>
            </w:r>
            <w:r w:rsidRPr="00731A44">
              <w:rPr>
                <w:sz w:val="20"/>
                <w:szCs w:val="20"/>
                <w:vertAlign w:val="superscript"/>
              </w:rPr>
              <w:t>-1</w:t>
            </w:r>
            <w:r w:rsidRPr="00731A44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21EED1E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  <w:vertAlign w:val="subscript"/>
              </w:rPr>
            </w:pPr>
            <w:r w:rsidRPr="00731A44">
              <w:rPr>
                <w:sz w:val="20"/>
                <w:szCs w:val="20"/>
              </w:rPr>
              <w:t>DS</w:t>
            </w:r>
            <w:r w:rsidRPr="00731A44">
              <w:rPr>
                <w:sz w:val="20"/>
                <w:szCs w:val="20"/>
                <w:vertAlign w:val="subscript"/>
              </w:rPr>
              <w:t>CO</w:t>
            </w:r>
          </w:p>
          <w:p w14:paraId="177B54D1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(mol mol</w:t>
            </w:r>
            <w:r w:rsidRPr="00731A44">
              <w:rPr>
                <w:sz w:val="20"/>
                <w:szCs w:val="20"/>
                <w:vertAlign w:val="superscript"/>
              </w:rPr>
              <w:t>-1</w:t>
            </w:r>
            <w:r w:rsidRPr="00731A44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171A340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Yield</w:t>
            </w:r>
          </w:p>
          <w:p w14:paraId="2F90B979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(wt.%)</w:t>
            </w:r>
            <w:r w:rsidRPr="00731A44">
              <w:rPr>
                <w:i/>
                <w:sz w:val="20"/>
                <w:szCs w:val="20"/>
                <w:vertAlign w:val="superscript"/>
              </w:rPr>
              <w:t>b</w:t>
            </w:r>
          </w:p>
        </w:tc>
      </w:tr>
      <w:tr w:rsidR="00731A44" w:rsidRPr="00731A44" w14:paraId="17928740" w14:textId="77777777" w:rsidTr="00B60DEB">
        <w:tc>
          <w:tcPr>
            <w:tcW w:w="704" w:type="dxa"/>
            <w:vAlign w:val="center"/>
          </w:tcPr>
          <w:p w14:paraId="467D5870" w14:textId="77777777" w:rsidR="00731A44" w:rsidRPr="00731A44" w:rsidRDefault="00DE19EF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1B694FB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331</w:t>
            </w:r>
          </w:p>
        </w:tc>
        <w:tc>
          <w:tcPr>
            <w:tcW w:w="992" w:type="dxa"/>
            <w:vAlign w:val="center"/>
          </w:tcPr>
          <w:p w14:paraId="647E4848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0.2</w:t>
            </w:r>
          </w:p>
        </w:tc>
        <w:tc>
          <w:tcPr>
            <w:tcW w:w="1276" w:type="dxa"/>
            <w:vAlign w:val="center"/>
          </w:tcPr>
          <w:p w14:paraId="5BA7EFF6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135-80-72</w:t>
            </w:r>
          </w:p>
        </w:tc>
        <w:tc>
          <w:tcPr>
            <w:tcW w:w="992" w:type="dxa"/>
          </w:tcPr>
          <w:p w14:paraId="54AD893B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3692</w:t>
            </w:r>
          </w:p>
        </w:tc>
        <w:tc>
          <w:tcPr>
            <w:tcW w:w="1134" w:type="dxa"/>
            <w:vAlign w:val="center"/>
          </w:tcPr>
          <w:p w14:paraId="2076869C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0.004</w:t>
            </w:r>
          </w:p>
        </w:tc>
        <w:tc>
          <w:tcPr>
            <w:tcW w:w="1134" w:type="dxa"/>
          </w:tcPr>
          <w:p w14:paraId="7E16D0E8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0.15</w:t>
            </w:r>
          </w:p>
        </w:tc>
        <w:tc>
          <w:tcPr>
            <w:tcW w:w="1134" w:type="dxa"/>
            <w:vAlign w:val="center"/>
          </w:tcPr>
          <w:p w14:paraId="4C594400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97.4</w:t>
            </w:r>
          </w:p>
        </w:tc>
      </w:tr>
      <w:tr w:rsidR="00731A44" w:rsidRPr="00731A44" w14:paraId="34E8B4FA" w14:textId="77777777" w:rsidTr="00B60DEB">
        <w:tc>
          <w:tcPr>
            <w:tcW w:w="704" w:type="dxa"/>
            <w:vAlign w:val="center"/>
          </w:tcPr>
          <w:p w14:paraId="6B5B4E28" w14:textId="77777777" w:rsidR="00731A44" w:rsidRPr="00731A44" w:rsidRDefault="00DE19EF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8D23F4E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331</w:t>
            </w:r>
          </w:p>
        </w:tc>
        <w:tc>
          <w:tcPr>
            <w:tcW w:w="992" w:type="dxa"/>
            <w:vAlign w:val="center"/>
          </w:tcPr>
          <w:p w14:paraId="24D36708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0.4</w:t>
            </w:r>
          </w:p>
        </w:tc>
        <w:tc>
          <w:tcPr>
            <w:tcW w:w="1276" w:type="dxa"/>
            <w:vAlign w:val="center"/>
          </w:tcPr>
          <w:p w14:paraId="5D24739F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112-90-90</w:t>
            </w:r>
          </w:p>
        </w:tc>
        <w:tc>
          <w:tcPr>
            <w:tcW w:w="992" w:type="dxa"/>
          </w:tcPr>
          <w:p w14:paraId="5A74932C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1360</w:t>
            </w:r>
          </w:p>
        </w:tc>
        <w:tc>
          <w:tcPr>
            <w:tcW w:w="1134" w:type="dxa"/>
            <w:vAlign w:val="center"/>
          </w:tcPr>
          <w:p w14:paraId="453ED4DA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0.011</w:t>
            </w:r>
          </w:p>
        </w:tc>
        <w:tc>
          <w:tcPr>
            <w:tcW w:w="1134" w:type="dxa"/>
          </w:tcPr>
          <w:p w14:paraId="16788F2E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0.22</w:t>
            </w:r>
          </w:p>
        </w:tc>
        <w:tc>
          <w:tcPr>
            <w:tcW w:w="1134" w:type="dxa"/>
            <w:vAlign w:val="center"/>
          </w:tcPr>
          <w:p w14:paraId="2A19A557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95.2</w:t>
            </w:r>
          </w:p>
        </w:tc>
      </w:tr>
      <w:tr w:rsidR="00731A44" w:rsidRPr="00731A44" w14:paraId="5066F17A" w14:textId="77777777" w:rsidTr="00B60DEB">
        <w:tc>
          <w:tcPr>
            <w:tcW w:w="704" w:type="dxa"/>
            <w:vAlign w:val="center"/>
          </w:tcPr>
          <w:p w14:paraId="633C9D03" w14:textId="37CBAFE3" w:rsidR="00731A44" w:rsidRPr="00731A44" w:rsidRDefault="000E06C1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7607494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vAlign w:val="center"/>
          </w:tcPr>
          <w:p w14:paraId="3A65083D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0.4</w:t>
            </w:r>
          </w:p>
        </w:tc>
        <w:tc>
          <w:tcPr>
            <w:tcW w:w="1276" w:type="dxa"/>
            <w:vAlign w:val="center"/>
          </w:tcPr>
          <w:p w14:paraId="50F9E806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180-120-120</w:t>
            </w:r>
          </w:p>
        </w:tc>
        <w:tc>
          <w:tcPr>
            <w:tcW w:w="992" w:type="dxa"/>
          </w:tcPr>
          <w:p w14:paraId="1E46FC2F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1690</w:t>
            </w:r>
          </w:p>
        </w:tc>
        <w:tc>
          <w:tcPr>
            <w:tcW w:w="1134" w:type="dxa"/>
            <w:vAlign w:val="center"/>
          </w:tcPr>
          <w:p w14:paraId="24454DEC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0.010</w:t>
            </w:r>
          </w:p>
        </w:tc>
        <w:tc>
          <w:tcPr>
            <w:tcW w:w="1134" w:type="dxa"/>
          </w:tcPr>
          <w:p w14:paraId="11CB2F14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0.33</w:t>
            </w:r>
          </w:p>
        </w:tc>
        <w:tc>
          <w:tcPr>
            <w:tcW w:w="1134" w:type="dxa"/>
            <w:vAlign w:val="center"/>
          </w:tcPr>
          <w:p w14:paraId="3AD9CBA9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95.0</w:t>
            </w:r>
          </w:p>
        </w:tc>
      </w:tr>
      <w:tr w:rsidR="00731A44" w:rsidRPr="00731A44" w14:paraId="7897A14A" w14:textId="77777777" w:rsidTr="00B60DEB">
        <w:tc>
          <w:tcPr>
            <w:tcW w:w="704" w:type="dxa"/>
            <w:vAlign w:val="center"/>
          </w:tcPr>
          <w:p w14:paraId="184AC26B" w14:textId="2DA60C5E" w:rsidR="00731A44" w:rsidRPr="00731A44" w:rsidRDefault="000E06C1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7114855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vAlign w:val="center"/>
          </w:tcPr>
          <w:p w14:paraId="3D10A6F7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1.0</w:t>
            </w:r>
          </w:p>
        </w:tc>
        <w:tc>
          <w:tcPr>
            <w:tcW w:w="1276" w:type="dxa"/>
            <w:vAlign w:val="center"/>
          </w:tcPr>
          <w:p w14:paraId="42E23383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180-120-120</w:t>
            </w:r>
          </w:p>
        </w:tc>
        <w:tc>
          <w:tcPr>
            <w:tcW w:w="992" w:type="dxa"/>
          </w:tcPr>
          <w:p w14:paraId="7ADF0400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197</w:t>
            </w:r>
          </w:p>
        </w:tc>
        <w:tc>
          <w:tcPr>
            <w:tcW w:w="1134" w:type="dxa"/>
            <w:vAlign w:val="center"/>
          </w:tcPr>
          <w:p w14:paraId="58A964EA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0.014</w:t>
            </w:r>
          </w:p>
        </w:tc>
        <w:tc>
          <w:tcPr>
            <w:tcW w:w="1134" w:type="dxa"/>
          </w:tcPr>
          <w:p w14:paraId="75915B04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0.41</w:t>
            </w:r>
          </w:p>
        </w:tc>
        <w:tc>
          <w:tcPr>
            <w:tcW w:w="1134" w:type="dxa"/>
            <w:vAlign w:val="center"/>
          </w:tcPr>
          <w:p w14:paraId="645DABE0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90.7</w:t>
            </w:r>
          </w:p>
        </w:tc>
      </w:tr>
      <w:tr w:rsidR="00731A44" w:rsidRPr="00731A44" w14:paraId="1BBCE62A" w14:textId="77777777" w:rsidTr="00B60DEB">
        <w:tc>
          <w:tcPr>
            <w:tcW w:w="704" w:type="dxa"/>
            <w:vAlign w:val="center"/>
          </w:tcPr>
          <w:p w14:paraId="6C1389D1" w14:textId="52164418" w:rsidR="00731A44" w:rsidRPr="00731A44" w:rsidRDefault="000E06C1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31A44" w:rsidRPr="00731A44">
              <w:rPr>
                <w:i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4" w:type="dxa"/>
            <w:vAlign w:val="center"/>
          </w:tcPr>
          <w:p w14:paraId="449B1388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vAlign w:val="center"/>
          </w:tcPr>
          <w:p w14:paraId="0C4924F2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1.0</w:t>
            </w:r>
          </w:p>
        </w:tc>
        <w:tc>
          <w:tcPr>
            <w:tcW w:w="1276" w:type="dxa"/>
            <w:vAlign w:val="center"/>
          </w:tcPr>
          <w:p w14:paraId="6D1B17E7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180-120-120</w:t>
            </w:r>
          </w:p>
        </w:tc>
        <w:tc>
          <w:tcPr>
            <w:tcW w:w="992" w:type="dxa"/>
          </w:tcPr>
          <w:p w14:paraId="4370D767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14:paraId="5B046634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0.012</w:t>
            </w:r>
          </w:p>
        </w:tc>
        <w:tc>
          <w:tcPr>
            <w:tcW w:w="1134" w:type="dxa"/>
          </w:tcPr>
          <w:p w14:paraId="52D1C649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0.40</w:t>
            </w:r>
          </w:p>
        </w:tc>
        <w:tc>
          <w:tcPr>
            <w:tcW w:w="1134" w:type="dxa"/>
            <w:vAlign w:val="center"/>
          </w:tcPr>
          <w:p w14:paraId="54B0BFDA" w14:textId="77777777" w:rsidR="00731A44" w:rsidRPr="00731A44" w:rsidRDefault="00731A44" w:rsidP="00B60DEB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731A44">
              <w:rPr>
                <w:sz w:val="20"/>
                <w:szCs w:val="20"/>
              </w:rPr>
              <w:t>91.0</w:t>
            </w:r>
          </w:p>
        </w:tc>
      </w:tr>
    </w:tbl>
    <w:p w14:paraId="745427BE" w14:textId="77777777" w:rsidR="00731A44" w:rsidRPr="000E06C1" w:rsidRDefault="00731A44" w:rsidP="00731A44">
      <w:pPr>
        <w:pStyle w:val="NoSpacing"/>
        <w:spacing w:line="276" w:lineRule="auto"/>
        <w:rPr>
          <w:sz w:val="18"/>
          <w:szCs w:val="18"/>
        </w:rPr>
      </w:pPr>
      <w:r w:rsidRPr="000E06C1">
        <w:rPr>
          <w:i/>
          <w:sz w:val="18"/>
          <w:szCs w:val="18"/>
          <w:vertAlign w:val="superscript"/>
        </w:rPr>
        <w:t xml:space="preserve">a </w:t>
      </w:r>
      <w:r w:rsidRPr="000E06C1">
        <w:rPr>
          <w:sz w:val="18"/>
          <w:szCs w:val="18"/>
        </w:rPr>
        <w:t>H</w:t>
      </w:r>
      <w:r w:rsidRPr="000E06C1">
        <w:rPr>
          <w:sz w:val="18"/>
          <w:szCs w:val="18"/>
          <w:vertAlign w:val="subscript"/>
        </w:rPr>
        <w:t>2</w:t>
      </w:r>
      <w:r w:rsidRPr="000E06C1">
        <w:rPr>
          <w:sz w:val="18"/>
          <w:szCs w:val="18"/>
        </w:rPr>
        <w:t>O</w:t>
      </w:r>
      <w:r w:rsidRPr="000E06C1">
        <w:rPr>
          <w:sz w:val="18"/>
          <w:szCs w:val="18"/>
          <w:vertAlign w:val="subscript"/>
        </w:rPr>
        <w:t>2</w:t>
      </w:r>
      <w:r w:rsidRPr="000E06C1">
        <w:rPr>
          <w:sz w:val="18"/>
          <w:szCs w:val="18"/>
        </w:rPr>
        <w:t xml:space="preserve"> added in one or three steps dropwise with a concentration distribution of 30-35-35%.</w:t>
      </w:r>
    </w:p>
    <w:p w14:paraId="5B8589A0" w14:textId="644499C4" w:rsidR="00731A44" w:rsidRPr="000E06C1" w:rsidRDefault="00731A44" w:rsidP="00731A44">
      <w:pPr>
        <w:pStyle w:val="NoSpacing"/>
        <w:spacing w:line="276" w:lineRule="auto"/>
        <w:rPr>
          <w:sz w:val="18"/>
          <w:szCs w:val="18"/>
        </w:rPr>
      </w:pPr>
      <w:r w:rsidRPr="000E06C1">
        <w:rPr>
          <w:i/>
          <w:sz w:val="18"/>
          <w:szCs w:val="18"/>
          <w:vertAlign w:val="superscript"/>
        </w:rPr>
        <w:t xml:space="preserve">b </w:t>
      </w:r>
      <w:r w:rsidRPr="000E06C1">
        <w:rPr>
          <w:sz w:val="18"/>
          <w:szCs w:val="18"/>
        </w:rPr>
        <w:t>Weight of isolated oxidized starch divided by the initial weight of starch on a dry basis</w:t>
      </w:r>
      <w:r w:rsidR="000E06C1">
        <w:rPr>
          <w:sz w:val="18"/>
          <w:szCs w:val="18"/>
        </w:rPr>
        <w:t xml:space="preserve"> (total wt. 100 g)</w:t>
      </w:r>
      <w:r w:rsidRPr="000E06C1">
        <w:rPr>
          <w:sz w:val="18"/>
          <w:szCs w:val="18"/>
        </w:rPr>
        <w:t>.</w:t>
      </w:r>
    </w:p>
    <w:p w14:paraId="2CFDA4A8" w14:textId="7F596095" w:rsidR="00731A44" w:rsidRPr="000E06C1" w:rsidRDefault="00731A44" w:rsidP="00731A44">
      <w:pPr>
        <w:pStyle w:val="NoSpacing"/>
        <w:spacing w:line="276" w:lineRule="auto"/>
        <w:rPr>
          <w:sz w:val="18"/>
          <w:szCs w:val="18"/>
        </w:rPr>
      </w:pPr>
      <w:r w:rsidRPr="000E06C1">
        <w:rPr>
          <w:i/>
          <w:sz w:val="18"/>
          <w:szCs w:val="18"/>
          <w:vertAlign w:val="superscript"/>
        </w:rPr>
        <w:t>c</w:t>
      </w:r>
      <w:r w:rsidR="00D4726C" w:rsidRPr="000E06C1">
        <w:rPr>
          <w:sz w:val="18"/>
          <w:szCs w:val="18"/>
        </w:rPr>
        <w:t xml:space="preserve"> Up</w:t>
      </w:r>
      <w:r w:rsidR="001948AC">
        <w:rPr>
          <w:sz w:val="18"/>
          <w:szCs w:val="18"/>
        </w:rPr>
        <w:t xml:space="preserve">scale experiment of entry 4 </w:t>
      </w:r>
      <w:r w:rsidRPr="000E06C1">
        <w:rPr>
          <w:sz w:val="18"/>
          <w:szCs w:val="18"/>
        </w:rPr>
        <w:t>with five moles</w:t>
      </w:r>
      <w:r w:rsidR="000E06C1">
        <w:rPr>
          <w:sz w:val="18"/>
          <w:szCs w:val="18"/>
        </w:rPr>
        <w:t xml:space="preserve"> (1000 g)</w:t>
      </w:r>
      <w:r w:rsidRPr="000E06C1">
        <w:rPr>
          <w:sz w:val="18"/>
          <w:szCs w:val="18"/>
        </w:rPr>
        <w:t xml:space="preserve"> of potato starch.</w:t>
      </w:r>
    </w:p>
    <w:p w14:paraId="19A2793B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91188C1" w14:textId="475C01F4" w:rsidR="00704BDF" w:rsidRPr="004238CA" w:rsidRDefault="00731A44" w:rsidP="004238C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Environmentally-friendly oxidant, </w:t>
      </w:r>
      <w:r w:rsidR="0008149E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08149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08149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in combination with low loading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of water-soluble Fe- and Mn-based catalysts are highly effective in the oxidation of </w:t>
      </w:r>
      <w:r w:rsidR="008629B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abundant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starch and starch derivatives. </w:t>
      </w:r>
      <w:r w:rsidR="004D23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Some 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deactivation </w:t>
      </w:r>
      <w:r w:rsidR="004D23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FePcS 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observed using </w:t>
      </w:r>
      <w:r w:rsidR="009D2031" w:rsidRPr="004D233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in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2031" w:rsidRPr="000E06C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situ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Raman spectroscopy</w:t>
      </w:r>
      <w:r w:rsidR="004D23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depending on reaction conditions</w:t>
      </w:r>
      <w:r w:rsidR="009D20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systems provide a promising alternative to hypochlorite</w:t>
      </w:r>
      <w:r w:rsidR="00BB6E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(NaOCl)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starch oxidation.</w:t>
      </w:r>
    </w:p>
    <w:sectPr w:rsidR="00704BDF" w:rsidRPr="004238C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B44BF" w14:textId="77777777" w:rsidR="0001498C" w:rsidRDefault="0001498C" w:rsidP="004F5E36">
      <w:r>
        <w:separator/>
      </w:r>
    </w:p>
  </w:endnote>
  <w:endnote w:type="continuationSeparator" w:id="0">
    <w:p w14:paraId="71982973" w14:textId="77777777" w:rsidR="0001498C" w:rsidRDefault="0001498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A65AA" w14:textId="77777777" w:rsidR="0001498C" w:rsidRDefault="0001498C" w:rsidP="004F5E36">
      <w:r>
        <w:separator/>
      </w:r>
    </w:p>
  </w:footnote>
  <w:footnote w:type="continuationSeparator" w:id="0">
    <w:p w14:paraId="074F0293" w14:textId="77777777" w:rsidR="0001498C" w:rsidRDefault="0001498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33904" w14:textId="77777777" w:rsidR="004D1162" w:rsidRDefault="00594E9F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ACD95D" wp14:editId="391B7BA2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6E62CE31" wp14:editId="5F8D0D8F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22D1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414E062F" wp14:editId="69500DBE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C4180D1" w14:textId="77777777" w:rsidR="00704BDF" w:rsidRDefault="00704BDF">
    <w:pPr>
      <w:pStyle w:val="Header"/>
    </w:pPr>
  </w:p>
  <w:p w14:paraId="27F7CA6A" w14:textId="77777777" w:rsidR="00704BDF" w:rsidRDefault="00704BDF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2C159A" wp14:editId="19459E26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498C"/>
    <w:rsid w:val="0003148D"/>
    <w:rsid w:val="00054080"/>
    <w:rsid w:val="00062A9A"/>
    <w:rsid w:val="0008149E"/>
    <w:rsid w:val="000857B6"/>
    <w:rsid w:val="0008713E"/>
    <w:rsid w:val="000A03B2"/>
    <w:rsid w:val="000C20F9"/>
    <w:rsid w:val="000D34BE"/>
    <w:rsid w:val="000E06C1"/>
    <w:rsid w:val="000E231F"/>
    <w:rsid w:val="000E36F1"/>
    <w:rsid w:val="000E3A73"/>
    <w:rsid w:val="000E414A"/>
    <w:rsid w:val="0011104C"/>
    <w:rsid w:val="00116CC0"/>
    <w:rsid w:val="001270ED"/>
    <w:rsid w:val="0013121F"/>
    <w:rsid w:val="00134DE4"/>
    <w:rsid w:val="00150E59"/>
    <w:rsid w:val="001809C4"/>
    <w:rsid w:val="00184AD6"/>
    <w:rsid w:val="001948AC"/>
    <w:rsid w:val="001A3102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D682C"/>
    <w:rsid w:val="003009B7"/>
    <w:rsid w:val="0030469C"/>
    <w:rsid w:val="003640AC"/>
    <w:rsid w:val="003650F1"/>
    <w:rsid w:val="003723D4"/>
    <w:rsid w:val="003A7D1C"/>
    <w:rsid w:val="003C7726"/>
    <w:rsid w:val="004238CA"/>
    <w:rsid w:val="0044601F"/>
    <w:rsid w:val="0046164A"/>
    <w:rsid w:val="00462DCD"/>
    <w:rsid w:val="004D1162"/>
    <w:rsid w:val="004D2331"/>
    <w:rsid w:val="004E4DD6"/>
    <w:rsid w:val="004F5E36"/>
    <w:rsid w:val="004F7DE9"/>
    <w:rsid w:val="00510743"/>
    <w:rsid w:val="005119A5"/>
    <w:rsid w:val="0052466C"/>
    <w:rsid w:val="005278B7"/>
    <w:rsid w:val="005346C8"/>
    <w:rsid w:val="0055048F"/>
    <w:rsid w:val="00580CA8"/>
    <w:rsid w:val="00594E9F"/>
    <w:rsid w:val="005A58AD"/>
    <w:rsid w:val="005A657E"/>
    <w:rsid w:val="005B61E6"/>
    <w:rsid w:val="005C77E1"/>
    <w:rsid w:val="005D6A2F"/>
    <w:rsid w:val="005E1A82"/>
    <w:rsid w:val="005F0A28"/>
    <w:rsid w:val="005F0E5E"/>
    <w:rsid w:val="00613FD8"/>
    <w:rsid w:val="00620DEE"/>
    <w:rsid w:val="00625639"/>
    <w:rsid w:val="0064184D"/>
    <w:rsid w:val="00660E3E"/>
    <w:rsid w:val="00662E74"/>
    <w:rsid w:val="006A09F9"/>
    <w:rsid w:val="006A58D2"/>
    <w:rsid w:val="006C5579"/>
    <w:rsid w:val="00704BDF"/>
    <w:rsid w:val="007223C0"/>
    <w:rsid w:val="00731A44"/>
    <w:rsid w:val="00736B13"/>
    <w:rsid w:val="007447F3"/>
    <w:rsid w:val="007661C8"/>
    <w:rsid w:val="00793F9D"/>
    <w:rsid w:val="007D0BDA"/>
    <w:rsid w:val="007D52CD"/>
    <w:rsid w:val="007F0871"/>
    <w:rsid w:val="00813288"/>
    <w:rsid w:val="008168FC"/>
    <w:rsid w:val="00837371"/>
    <w:rsid w:val="00843AF0"/>
    <w:rsid w:val="008479A2"/>
    <w:rsid w:val="008629BA"/>
    <w:rsid w:val="0087637F"/>
    <w:rsid w:val="008A1512"/>
    <w:rsid w:val="008A1F24"/>
    <w:rsid w:val="008D0BEB"/>
    <w:rsid w:val="008E566E"/>
    <w:rsid w:val="00901EB6"/>
    <w:rsid w:val="00935F66"/>
    <w:rsid w:val="00940449"/>
    <w:rsid w:val="009450CE"/>
    <w:rsid w:val="0095164B"/>
    <w:rsid w:val="00957864"/>
    <w:rsid w:val="009640E3"/>
    <w:rsid w:val="00996483"/>
    <w:rsid w:val="009B3D34"/>
    <w:rsid w:val="009D2031"/>
    <w:rsid w:val="009E788A"/>
    <w:rsid w:val="00A1763D"/>
    <w:rsid w:val="00A17CEC"/>
    <w:rsid w:val="00A27EF0"/>
    <w:rsid w:val="00A75B4D"/>
    <w:rsid w:val="00A76EFC"/>
    <w:rsid w:val="00A9626B"/>
    <w:rsid w:val="00A97F29"/>
    <w:rsid w:val="00AB0964"/>
    <w:rsid w:val="00AB1463"/>
    <w:rsid w:val="00AB4500"/>
    <w:rsid w:val="00AE14B7"/>
    <w:rsid w:val="00AE377D"/>
    <w:rsid w:val="00AF1BAD"/>
    <w:rsid w:val="00B303F7"/>
    <w:rsid w:val="00B61DBF"/>
    <w:rsid w:val="00B94252"/>
    <w:rsid w:val="00BB6ED6"/>
    <w:rsid w:val="00BC30C9"/>
    <w:rsid w:val="00BE3E58"/>
    <w:rsid w:val="00C01616"/>
    <w:rsid w:val="00C0162B"/>
    <w:rsid w:val="00C116E6"/>
    <w:rsid w:val="00C21C26"/>
    <w:rsid w:val="00C345B1"/>
    <w:rsid w:val="00C40142"/>
    <w:rsid w:val="00C47196"/>
    <w:rsid w:val="00C5239A"/>
    <w:rsid w:val="00C57182"/>
    <w:rsid w:val="00C63393"/>
    <w:rsid w:val="00C655FD"/>
    <w:rsid w:val="00C74074"/>
    <w:rsid w:val="00C74CE0"/>
    <w:rsid w:val="00C867B1"/>
    <w:rsid w:val="00C91CA2"/>
    <w:rsid w:val="00C91F53"/>
    <w:rsid w:val="00C94434"/>
    <w:rsid w:val="00CA1C95"/>
    <w:rsid w:val="00CA5A9C"/>
    <w:rsid w:val="00CC2337"/>
    <w:rsid w:val="00CC375D"/>
    <w:rsid w:val="00CD5FE2"/>
    <w:rsid w:val="00D02B4C"/>
    <w:rsid w:val="00D4726C"/>
    <w:rsid w:val="00D84576"/>
    <w:rsid w:val="00DC72D3"/>
    <w:rsid w:val="00DD65F1"/>
    <w:rsid w:val="00DE0019"/>
    <w:rsid w:val="00DE19EF"/>
    <w:rsid w:val="00DE2338"/>
    <w:rsid w:val="00DE264A"/>
    <w:rsid w:val="00E041E7"/>
    <w:rsid w:val="00E23CA1"/>
    <w:rsid w:val="00E24C3A"/>
    <w:rsid w:val="00E409A8"/>
    <w:rsid w:val="00E549EB"/>
    <w:rsid w:val="00E7209D"/>
    <w:rsid w:val="00E93D3F"/>
    <w:rsid w:val="00EA50E1"/>
    <w:rsid w:val="00EB5898"/>
    <w:rsid w:val="00EE0131"/>
    <w:rsid w:val="00EF6347"/>
    <w:rsid w:val="00F2436E"/>
    <w:rsid w:val="00F2567A"/>
    <w:rsid w:val="00F30C64"/>
    <w:rsid w:val="00FA5929"/>
    <w:rsid w:val="00FA6CC0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22249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NoSpacing">
    <w:name w:val="No Spacing"/>
    <w:uiPriority w:val="1"/>
    <w:qFormat/>
    <w:locked/>
    <w:rsid w:val="00731A44"/>
    <w:pPr>
      <w:spacing w:after="0" w:line="240" w:lineRule="auto"/>
    </w:pPr>
    <w:rPr>
      <w:rFonts w:eastAsia="Times New Roman" w:cs="Times New Roman"/>
      <w:sz w:val="21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9D20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image" Target="media/image30.e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0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E4D7-9C19-48A1-BCBB-362B0170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810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H.C. Genuino</cp:lastModifiedBy>
  <cp:revision>14</cp:revision>
  <cp:lastPrinted>2015-05-12T18:31:00Z</cp:lastPrinted>
  <dcterms:created xsi:type="dcterms:W3CDTF">2019-01-15T16:31:00Z</dcterms:created>
  <dcterms:modified xsi:type="dcterms:W3CDTF">2019-01-15T16:44:00Z</dcterms:modified>
</cp:coreProperties>
</file>