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16F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A337093" w14:textId="77777777" w:rsidR="00704BDF" w:rsidRPr="00DE0019" w:rsidRDefault="00BD516A" w:rsidP="00BC4CDE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Comparison of Miniaturized Draft Tube Baffle </w:t>
      </w:r>
      <w:r w:rsidR="00BC4CDE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Coiled Flow Inverter Crystallizer Construction </w:t>
      </w:r>
    </w:p>
    <w:p w14:paraId="42727A64" w14:textId="5CF1DA72" w:rsidR="00DE0019" w:rsidRPr="003B0EDA" w:rsidRDefault="00E94EE3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3B0ED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Mira</w:t>
      </w:r>
      <w:r w:rsidR="00704BDF" w:rsidRPr="003B0ED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 xml:space="preserve"> </w:t>
      </w:r>
      <w:r w:rsidRPr="003B0ED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Schmalenberg</w:t>
      </w:r>
      <w:r w:rsidR="003B0EDA" w:rsidRPr="003B0ED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*</w:t>
      </w:r>
      <w:r w:rsidR="00704BDF" w:rsidRPr="003B0ED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736B13"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Anna Nocon</w:t>
      </w:r>
      <w:r w:rsidR="00EF44DA" w:rsidRPr="003B0E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Felix Buckmann</w:t>
      </w:r>
      <w:r w:rsidR="00EF44DA" w:rsidRPr="003B0E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Norbert</w:t>
      </w:r>
      <w:r w:rsidR="00704BDF"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Pr="003B0ED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Kockmann</w:t>
      </w:r>
      <w:r w:rsidRPr="003B0E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</w:p>
    <w:p w14:paraId="3CCE27A5" w14:textId="77777777" w:rsidR="00704BDF" w:rsidRPr="00831EC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831ECB">
        <w:rPr>
          <w:rFonts w:eastAsia="MS PGothic"/>
          <w:i/>
          <w:iCs/>
          <w:color w:val="000000"/>
          <w:sz w:val="20"/>
          <w:lang w:val="de-DE"/>
        </w:rPr>
        <w:t>1</w:t>
      </w:r>
      <w:r w:rsidRPr="00831ECB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E94EE3" w:rsidRPr="00831ECB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TU Dortmund, Emil-Figge-Straße 68 44227 Dortmund</w:t>
      </w:r>
    </w:p>
    <w:p w14:paraId="4BD3AC33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94EE3">
        <w:rPr>
          <w:rFonts w:asciiTheme="minorHAnsi" w:eastAsia="MS PGothic" w:hAnsiTheme="minorHAnsi"/>
          <w:bCs/>
          <w:i/>
          <w:iCs/>
          <w:sz w:val="20"/>
          <w:lang w:val="en-US"/>
        </w:rPr>
        <w:t>mira.schmalenberg@tu-dortmund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E94EE3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14:paraId="1281F06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DF06B06" w14:textId="77777777" w:rsidR="00704BDF" w:rsidRPr="00EC66CC" w:rsidRDefault="0077709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Continuous</w:t>
      </w:r>
      <w:r w:rsidR="00BC4CDE">
        <w:rPr>
          <w:rFonts w:asciiTheme="minorHAnsi" w:hAnsiTheme="minorHAnsi"/>
        </w:rPr>
        <w:t xml:space="preserve"> crystallization for process development</w:t>
      </w:r>
    </w:p>
    <w:p w14:paraId="2B468339" w14:textId="6F504792" w:rsidR="00704BDF" w:rsidRDefault="00BC4CD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Comparison of </w:t>
      </w:r>
      <w:r w:rsidR="00BE2307">
        <w:rPr>
          <w:rFonts w:asciiTheme="minorHAnsi" w:hAnsiTheme="minorHAnsi"/>
        </w:rPr>
        <w:t>desig</w:t>
      </w:r>
      <w:r w:rsidR="00BE2307">
        <w:rPr>
          <w:rFonts w:asciiTheme="minorHAnsi" w:hAnsiTheme="minorHAnsi"/>
        </w:rPr>
        <w:t xml:space="preserve">n </w:t>
      </w:r>
      <w:r>
        <w:rPr>
          <w:rFonts w:asciiTheme="minorHAnsi" w:hAnsiTheme="minorHAnsi"/>
        </w:rPr>
        <w:t>methods</w:t>
      </w:r>
    </w:p>
    <w:p w14:paraId="26B9E40A" w14:textId="77777777" w:rsidR="003B0EDA" w:rsidRPr="00EC66CC" w:rsidRDefault="003B0EDA" w:rsidP="003B0ED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Down-scale of a draft tube baffle crystallizer</w:t>
      </w:r>
    </w:p>
    <w:p w14:paraId="4B24E478" w14:textId="77777777" w:rsidR="00704BDF" w:rsidRPr="00EC66CC" w:rsidRDefault="00BC4CD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Residence time behavior in comparison</w:t>
      </w:r>
    </w:p>
    <w:p w14:paraId="6051037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EFF06E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8B7E258" w14:textId="5C67FBE2" w:rsidR="00BD516A" w:rsidRDefault="00BD516A" w:rsidP="00BD516A">
      <w:pPr>
        <w:snapToGrid w:val="0"/>
        <w:spacing w:after="120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D51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develop processes as quickly and easily as possible, continuous apparatuses are required even for very small quantities. </w:t>
      </w:r>
      <w:r w:rsidR="00A2443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is especially valid for c</w:t>
      </w:r>
      <w:r w:rsidRPr="00BD51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rystallization, which is still frequently carried out in batch </w:t>
      </w:r>
      <w:proofErr w:type="gramStart"/>
      <w:r w:rsidRPr="00BD5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</w:t>
      </w:r>
      <w:r w:rsidR="00B31D18" w:rsidRPr="00B31D1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B31D18" w:rsidRPr="00B31D1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1]</w:t>
      </w:r>
      <w:r w:rsidRPr="00BD5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173266F" w14:textId="1C63AE1D" w:rsidR="00BD516A" w:rsidRDefault="00BD516A" w:rsidP="00BD516A">
      <w:pPr>
        <w:snapToGrid w:val="0"/>
        <w:spacing w:after="120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D5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procedure for constructing two different cooling crystal</w:t>
      </w:r>
      <w:r w:rsidR="00507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lizers is to be compared here. </w:t>
      </w:r>
      <w:r w:rsidR="004B59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Draft Tube Baffle (DTB) crystallizer as a stirred tank is compared to </w:t>
      </w:r>
      <w:r w:rsidR="004B591A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Coil</w:t>
      </w:r>
      <w:r w:rsidR="00EF44DA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4B59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</w:t>
      </w:r>
      <w:r w:rsidR="004B59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Inverter Crystallizer (CFIC), which belongs to the tube crystallizers. </w:t>
      </w:r>
      <w:r w:rsidR="00507853" w:rsidRPr="00507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 to the different construction methods, the main features of the crystallizers will also be compared.</w:t>
      </w:r>
    </w:p>
    <w:p w14:paraId="7E0F19B4" w14:textId="77777777" w:rsidR="00BE2307" w:rsidRPr="00BD516A" w:rsidRDefault="00BE2307" w:rsidP="00BD516A">
      <w:pPr>
        <w:snapToGrid w:val="0"/>
        <w:spacing w:after="120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0BCF793" w14:textId="77777777" w:rsidR="00D7307F" w:rsidRDefault="00704BDF" w:rsidP="00D7307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C72A933" w14:textId="225D9CAF" w:rsidR="002013A9" w:rsidRPr="002013A9" w:rsidRDefault="002013A9" w:rsidP="002013A9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 order to ensure a homogeneous suspension flow in the CFI</w:t>
      </w:r>
      <w:r w:rsidR="004B59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Hohmann et al. </w:t>
      </w:r>
      <w:r w:rsidR="00B31D18" w:rsidRPr="00B31D1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[2]</w:t>
      </w:r>
      <w:r w:rsidR="00B31D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has already </w:t>
      </w:r>
      <w:r w:rsidR="004B59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developed 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 flow chart</w:t>
      </w:r>
      <w:r w:rsidR="004B59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identify </w:t>
      </w:r>
      <w:r w:rsidR="003B0E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homogenous suspension flow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The CFIC 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presented here has been developed on the basis of this </w:t>
      </w:r>
      <w:proofErr w:type="gramStart"/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map</w:t>
      </w:r>
      <w:r w:rsidR="00EF44DA" w:rsidRPr="00B31D1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EF44DA" w:rsidRPr="00B31D1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3]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most important parameter here is the </w:t>
      </w:r>
      <w:proofErr w:type="spellStart"/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densimetric</w:t>
      </w:r>
      <w:proofErr w:type="spellEnd"/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Froude number</w:t>
      </w:r>
      <w:r w:rsidR="00EF4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based on </w:t>
      </w:r>
      <w:r w:rsidR="00BE230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flow velocity and density difference between fluid and solid.</w:t>
      </w:r>
      <w:r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14:paraId="55D211D2" w14:textId="3C14CD7F" w:rsidR="002013A9" w:rsidRPr="002013A9" w:rsidRDefault="0019459B" w:rsidP="002013A9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Regarding the DTB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 already known </w:t>
      </w:r>
      <w:proofErr w:type="gramStart"/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DTB</w:t>
      </w:r>
      <w:r w:rsidR="0094316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94316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4</w:t>
      </w:r>
      <w:r w:rsidR="00B31D18" w:rsidRPr="00B31D1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crystallizer has been </w:t>
      </w:r>
      <w:r w:rsidR="005061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down scaled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038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from 1100 L to 1 L 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to allow the same suspension characteristic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With the help of different particles (gl</w:t>
      </w:r>
      <w:r w:rsidR="005061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ss</w:t>
      </w:r>
      <w:r w:rsidR="005061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par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5061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cles and acetylsalicylic acid) and solid </w:t>
      </w:r>
      <w:r w:rsidR="005061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weight fractions it is 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possible to determine an operating range for the DTB. 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Here</w:t>
      </w:r>
      <w:r w:rsidR="00831EC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proofErr w:type="spellStart"/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densimetric</w:t>
      </w:r>
      <w:proofErr w:type="spellEnd"/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Froude number is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 important parameter</w:t>
      </w:r>
      <w:r w:rsidR="00EF4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too</w:t>
      </w:r>
      <w:r w:rsidR="002013A9" w:rsidRPr="002013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</w:p>
    <w:p w14:paraId="77028EB6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829CBC3" w14:textId="051C5F07" w:rsidR="0050617D" w:rsidRDefault="0050617D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tube-in-tube 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CFI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designed with an internal 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tube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diameter</w:t>
      </w:r>
      <w:r w:rsidR="00225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5884" w:rsidRPr="002258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 w:rsidR="00225884" w:rsidRPr="002258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1.6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r w:rsidR="00E038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 1</w:t>
      </w:r>
      <w:r w:rsidR="003B0ED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left</w:t>
      </w:r>
      <w:r w:rsidR="00E0387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was designed for a suspension flow</w:t>
      </w:r>
      <w:r w:rsidR="00EF44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15 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2324D9">
        <w:rPr>
          <w:rFonts w:ascii="Times New Roman" w:eastAsia="MS PGothic" w:hAnsi="Times New Roman"/>
          <w:color w:val="000000"/>
          <w:sz w:val="22"/>
          <w:szCs w:val="22"/>
          <w:lang w:val="en-US"/>
        </w:rPr>
        <w:t>∙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</w:t>
      </w:r>
      <w:r w:rsidR="002324D9" w:rsidRPr="002324D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CFIC can be varied by identical units so that th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 coiled tube length (7.8 - 54.6 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m) and thus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mean residence time (1</w:t>
      </w:r>
      <w:r w:rsidR="00817CD4">
        <w:rPr>
          <w:rFonts w:asciiTheme="minorHAnsi" w:eastAsia="MS PGothic" w:hAnsiTheme="minorHAnsi"/>
          <w:color w:val="000000"/>
          <w:sz w:val="22"/>
          <w:szCs w:val="22"/>
          <w:lang w:val="en-US"/>
        </w:rPr>
        <w:t> – 7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min) can be varied. The special feature of this crystallizer is the very narrow residence time distribution, which is </w:t>
      </w:r>
      <w:r w:rsidR="00EF44DA">
        <w:rPr>
          <w:rFonts w:asciiTheme="minorHAnsi" w:eastAsia="MS PGothic" w:hAnsiTheme="minorHAnsi"/>
          <w:color w:val="000000"/>
          <w:sz w:val="22"/>
          <w:szCs w:val="22"/>
          <w:lang w:val="en-US"/>
        </w:rPr>
        <w:t>close</w:t>
      </w:r>
      <w:r w:rsidR="00EF44DA"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an ideal </w:t>
      </w:r>
      <w:r w:rsidR="00232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plug flow</w:t>
      </w:r>
      <w:r w:rsidRPr="005061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43166" w:rsidRPr="0094316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[3]</w:t>
      </w:r>
    </w:p>
    <w:p w14:paraId="367AC431" w14:textId="0259E535" w:rsidR="00BD2601" w:rsidRPr="002A20DC" w:rsidRDefault="00BD2601" w:rsidP="00BD2601">
      <w:pPr>
        <w:snapToGrid w:val="0"/>
        <w:spacing w:before="240" w:line="300" w:lineRule="auto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In contrast,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constructed 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DTB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 1</w:t>
      </w:r>
      <w:r w:rsidR="003B0ED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right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obviously behaves similarly to the residence time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distribution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an ideal </w:t>
      </w:r>
      <w:r w:rsidR="00FA0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stirring vessel. Thus, despite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 mass flow</w:t>
      </w:r>
      <w:r w:rsidR="00EF44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(around 15 g</w:t>
      </w:r>
      <w:r>
        <w:rPr>
          <w:rFonts w:ascii="Times New Roman" w:eastAsia="MS PGothic" w:hAnsi="Times New Roman"/>
          <w:color w:val="000000"/>
          <w:sz w:val="22"/>
          <w:szCs w:val="22"/>
          <w:lang w:val="en-US"/>
        </w:rPr>
        <w:t>∙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</w:t>
      </w:r>
      <w:r w:rsidRPr="002A20D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significantly longer residence times of about 67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 are possible. This should make it possible to produce much larger crystals than in the CFIC.</w:t>
      </w:r>
    </w:p>
    <w:p w14:paraId="30AFDE39" w14:textId="77777777" w:rsidR="00694FEB" w:rsidRDefault="00BD2601" w:rsidP="00BD2601">
      <w:pPr>
        <w:snapToGrid w:val="0"/>
        <w:spacing w:before="240" w:line="300" w:lineRule="auto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A20D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special feature of the DTB is that it has a classifying function. This is induced by the baffles so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hat fine grain can be removed</w:t>
      </w:r>
      <w:r w:rsidR="00D07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narrower crystal size distribution (CSD) be reached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07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the achievable CSD, which should be narrow, of the two crystallizers will be compared although the crystallizers are</w:t>
      </w:r>
      <w:r w:rsidR="00694F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two different types. </w:t>
      </w:r>
    </w:p>
    <w:p w14:paraId="1660302D" w14:textId="52052B2B" w:rsidR="00225884" w:rsidRDefault="00BE2307" w:rsidP="00694FEB">
      <w:pPr>
        <w:snapToGrid w:val="0"/>
        <w:spacing w:before="240" w:line="300" w:lineRule="auto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eastAsia="en-GB"/>
        </w:rPr>
        <w:drawing>
          <wp:inline distT="0" distB="0" distL="0" distR="0" wp14:anchorId="39056294" wp14:editId="59DD21D7">
            <wp:extent cx="5579745" cy="2491487"/>
            <wp:effectExtent l="0" t="0" r="190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49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DF81" w14:textId="3609A0E8" w:rsidR="00225884" w:rsidRPr="00DE0019" w:rsidRDefault="00225884" w:rsidP="0022588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E5FB5">
        <w:rPr>
          <w:rFonts w:asciiTheme="minorHAnsi" w:hAnsiTheme="minorHAnsi"/>
          <w:lang w:val="en-US"/>
        </w:rPr>
        <w:t xml:space="preserve">Single CFIC </w:t>
      </w:r>
      <w:r>
        <w:rPr>
          <w:rFonts w:asciiTheme="minorHAnsi" w:hAnsiTheme="minorHAnsi"/>
          <w:lang w:val="en-US"/>
        </w:rPr>
        <w:t xml:space="preserve">unit </w:t>
      </w:r>
      <w:r w:rsidR="00C90471">
        <w:rPr>
          <w:rFonts w:asciiTheme="minorHAnsi" w:hAnsiTheme="minorHAnsi"/>
          <w:lang w:val="en-US"/>
        </w:rPr>
        <w:t>with coiled tube length of 7.8 m with tube-in-tube constructio</w:t>
      </w:r>
      <w:r w:rsidR="003A080A">
        <w:rPr>
          <w:rFonts w:asciiTheme="minorHAnsi" w:hAnsiTheme="minorHAnsi"/>
          <w:lang w:val="en-US"/>
        </w:rPr>
        <w:t>n of the CFI</w:t>
      </w:r>
      <w:r w:rsidR="005E5FB5">
        <w:rPr>
          <w:rFonts w:asciiTheme="minorHAnsi" w:hAnsiTheme="minorHAnsi"/>
          <w:lang w:val="en-US"/>
        </w:rPr>
        <w:t>C</w:t>
      </w:r>
      <w:r w:rsidR="003A080A">
        <w:rPr>
          <w:rFonts w:asciiTheme="minorHAnsi" w:hAnsiTheme="minorHAnsi"/>
          <w:lang w:val="en-US"/>
        </w:rPr>
        <w:t xml:space="preserve"> (left</w:t>
      </w:r>
      <w:r w:rsidR="00C90471">
        <w:rPr>
          <w:rFonts w:asciiTheme="minorHAnsi" w:hAnsiTheme="minorHAnsi"/>
          <w:lang w:val="en-US"/>
        </w:rPr>
        <w:t>)</w:t>
      </w:r>
      <w:r w:rsidR="00DC3587">
        <w:rPr>
          <w:rFonts w:asciiTheme="minorHAnsi" w:hAnsiTheme="minorHAnsi"/>
          <w:lang w:val="en-US"/>
        </w:rPr>
        <w:t>;</w:t>
      </w:r>
      <w:r w:rsidR="001110D4">
        <w:rPr>
          <w:rFonts w:asciiTheme="minorHAnsi" w:hAnsiTheme="minorHAnsi"/>
          <w:lang w:val="en-US"/>
        </w:rPr>
        <w:t xml:space="preserve"> </w:t>
      </w:r>
      <w:r w:rsidR="005E5FB5">
        <w:rPr>
          <w:rFonts w:asciiTheme="minorHAnsi" w:hAnsiTheme="minorHAnsi"/>
          <w:lang w:val="en-US"/>
        </w:rPr>
        <w:br/>
      </w:r>
      <w:r w:rsidR="001110D4">
        <w:rPr>
          <w:rFonts w:asciiTheme="minorHAnsi" w:hAnsiTheme="minorHAnsi"/>
          <w:lang w:val="en-US"/>
        </w:rPr>
        <w:t>Down-scaled</w:t>
      </w:r>
      <w:r w:rsidR="00DC3587">
        <w:rPr>
          <w:rFonts w:asciiTheme="minorHAnsi" w:hAnsiTheme="minorHAnsi"/>
          <w:lang w:val="en-US"/>
        </w:rPr>
        <w:t xml:space="preserve"> </w:t>
      </w:r>
      <w:r w:rsidR="001110D4">
        <w:rPr>
          <w:rFonts w:asciiTheme="minorHAnsi" w:hAnsiTheme="minorHAnsi"/>
          <w:lang w:val="en-US"/>
        </w:rPr>
        <w:t>DTB prototype with flow direction (right)</w:t>
      </w:r>
    </w:p>
    <w:p w14:paraId="389F1156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968CFEF" w14:textId="1B2FF59C" w:rsidR="00B04E91" w:rsidRDefault="00B04E9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Two different continuous cooling crystallizers have been designed for </w:t>
      </w:r>
      <w:r w:rsidR="00225884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small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quantities </w:t>
      </w:r>
      <w:proofErr w:type="gramStart"/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of about 15</w:t>
      </w:r>
      <w:r w:rsidR="00225884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 g</w:t>
      </w:r>
      <w:r w:rsidR="00225884">
        <w:rPr>
          <w:rFonts w:ascii="Times New Roman" w:eastAsia="MS PGothic" w:hAnsi="Times New Roman"/>
          <w:color w:val="000000"/>
          <w:sz w:val="22"/>
          <w:szCs w:val="22"/>
          <w:lang w:val="en-US" w:eastAsia="ko-KR"/>
        </w:rPr>
        <w:t>∙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min</w:t>
      </w:r>
      <w:r w:rsidR="00225884" w:rsidRPr="002258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 w:eastAsia="ko-KR"/>
        </w:rPr>
        <w:t>-1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,</w:t>
      </w:r>
      <w:proofErr w:type="gramEnd"/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where for both a complete </w:t>
      </w:r>
      <w:r w:rsidR="003B0EDA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homogenous 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suspension</w:t>
      </w:r>
      <w:r w:rsidR="003B0EDA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behavior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is a design criterion. To characterize the crystallizers, 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the residence time behavior was compared. This shows that the different apparatuses are suitable for </w:t>
      </w:r>
      <w:r w:rsidR="00EF44DA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various</w:t>
      </w:r>
      <w:r w:rsidR="00EF44DA"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Pr="00B04E9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crystallization tasks.</w:t>
      </w:r>
    </w:p>
    <w:p w14:paraId="01634F3B" w14:textId="77777777" w:rsidR="00EF44DA" w:rsidRPr="00BD2601" w:rsidRDefault="00EF44DA" w:rsidP="00EF44DA">
      <w:pPr>
        <w:pStyle w:val="Haupttext"/>
        <w:rPr>
          <w:rFonts w:asciiTheme="minorHAnsi" w:hAnsiTheme="minorHAnsi" w:cstheme="minorHAnsi"/>
          <w:sz w:val="22"/>
          <w:szCs w:val="22"/>
        </w:rPr>
      </w:pPr>
      <w:r w:rsidRPr="00E94EE3">
        <w:rPr>
          <w:rFonts w:asciiTheme="minorHAnsi" w:hAnsiTheme="minorHAnsi" w:cstheme="minorHAnsi"/>
          <w:sz w:val="22"/>
          <w:szCs w:val="22"/>
        </w:rPr>
        <w:t>The German Federal Ministry for Economic Affairs and Energy (</w:t>
      </w:r>
      <w:proofErr w:type="spellStart"/>
      <w:r w:rsidRPr="00E94EE3">
        <w:rPr>
          <w:rFonts w:asciiTheme="minorHAnsi" w:hAnsiTheme="minorHAnsi" w:cstheme="minorHAnsi"/>
          <w:sz w:val="22"/>
          <w:szCs w:val="22"/>
        </w:rPr>
        <w:t>BMWi</w:t>
      </w:r>
      <w:proofErr w:type="spellEnd"/>
      <w:r w:rsidRPr="00E94EE3">
        <w:rPr>
          <w:rFonts w:asciiTheme="minorHAnsi" w:hAnsiTheme="minorHAnsi" w:cstheme="minorHAnsi"/>
          <w:sz w:val="22"/>
          <w:szCs w:val="22"/>
        </w:rPr>
        <w:t>) is acknowledged for funding this research as part of the ENPRO2.0 initiative. (Support code: 03ET1528A)</w:t>
      </w:r>
    </w:p>
    <w:p w14:paraId="603C38FE" w14:textId="77777777" w:rsidR="00EF44DA" w:rsidRDefault="00EF44DA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</w:p>
    <w:p w14:paraId="54FDDD70" w14:textId="6DD3F984" w:rsidR="00704BDF" w:rsidRPr="008D0BEB" w:rsidRDefault="00CC1421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2A24F4D2" w14:textId="4DBAD462" w:rsidR="00704BDF" w:rsidRPr="008D0BEB" w:rsidRDefault="00B31D1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P. </w:t>
      </w:r>
      <w:proofErr w:type="spellStart"/>
      <w:r>
        <w:rPr>
          <w:rFonts w:asciiTheme="minorHAnsi" w:hAnsiTheme="minorHAnsi"/>
          <w:color w:val="000000"/>
        </w:rPr>
        <w:t>Kleinbudde</w:t>
      </w:r>
      <w:proofErr w:type="spellEnd"/>
      <w:r>
        <w:rPr>
          <w:rFonts w:asciiTheme="minorHAnsi" w:hAnsiTheme="minorHAnsi"/>
          <w:color w:val="000000"/>
        </w:rPr>
        <w:t xml:space="preserve">, J. </w:t>
      </w:r>
      <w:proofErr w:type="spellStart"/>
      <w:r>
        <w:rPr>
          <w:rFonts w:asciiTheme="minorHAnsi" w:hAnsiTheme="minorHAnsi"/>
          <w:color w:val="000000"/>
        </w:rPr>
        <w:t>Khinast</w:t>
      </w:r>
      <w:proofErr w:type="spellEnd"/>
      <w:r>
        <w:rPr>
          <w:rFonts w:asciiTheme="minorHAnsi" w:hAnsiTheme="minorHAnsi"/>
          <w:color w:val="000000"/>
        </w:rPr>
        <w:t xml:space="preserve">, J. </w:t>
      </w:r>
      <w:proofErr w:type="spellStart"/>
      <w:r>
        <w:rPr>
          <w:rFonts w:asciiTheme="minorHAnsi" w:hAnsiTheme="minorHAnsi"/>
          <w:color w:val="000000"/>
        </w:rPr>
        <w:t>Rantanen</w:t>
      </w:r>
      <w:proofErr w:type="spellEnd"/>
      <w:r>
        <w:rPr>
          <w:rFonts w:asciiTheme="minorHAnsi" w:hAnsiTheme="minorHAnsi"/>
          <w:color w:val="000000"/>
        </w:rPr>
        <w:t>, Continuous Ma</w:t>
      </w:r>
      <w:r w:rsidR="00EF44DA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>ufacturing of Pharmaceuticals, 2017.</w:t>
      </w:r>
    </w:p>
    <w:p w14:paraId="66D0DBAD" w14:textId="77777777" w:rsidR="00704BDF" w:rsidRPr="00B31D18" w:rsidRDefault="00B31D1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B31D18">
        <w:rPr>
          <w:rFonts w:asciiTheme="minorHAnsi" w:hAnsiTheme="minorHAnsi"/>
          <w:color w:val="000000"/>
          <w:lang w:val="de-DE"/>
        </w:rPr>
        <w:t xml:space="preserve">L. Hohmann, M. Schmalenberg, M. </w:t>
      </w:r>
      <w:proofErr w:type="spellStart"/>
      <w:r>
        <w:rPr>
          <w:rFonts w:asciiTheme="minorHAnsi" w:hAnsiTheme="minorHAnsi"/>
          <w:color w:val="000000"/>
          <w:lang w:val="de-DE"/>
        </w:rPr>
        <w:t>Prasanna</w:t>
      </w:r>
      <w:proofErr w:type="spellEnd"/>
      <w:r>
        <w:rPr>
          <w:rFonts w:asciiTheme="minorHAnsi" w:hAnsiTheme="minorHAnsi"/>
          <w:color w:val="000000"/>
          <w:lang w:val="de-DE"/>
        </w:rPr>
        <w:t xml:space="preserve">, M. Matuschek, N. Kockmann, </w:t>
      </w:r>
      <w:r w:rsidRPr="00B31D18">
        <w:rPr>
          <w:rFonts w:asciiTheme="minorHAnsi" w:hAnsiTheme="minorHAnsi" w:cstheme="minorHAnsi"/>
        </w:rPr>
        <w:t>Chemical Engineering Journal</w:t>
      </w:r>
      <w:r>
        <w:rPr>
          <w:rFonts w:asciiTheme="minorHAnsi" w:hAnsiTheme="minorHAnsi" w:cstheme="minorHAnsi"/>
        </w:rPr>
        <w:t>,</w:t>
      </w:r>
      <w:r w:rsidRPr="00B31D18">
        <w:rPr>
          <w:rFonts w:asciiTheme="minorHAnsi" w:hAnsiTheme="minorHAnsi" w:cstheme="minorHAnsi"/>
        </w:rPr>
        <w:t xml:space="preserve"> 2018</w:t>
      </w:r>
    </w:p>
    <w:p w14:paraId="75886F4F" w14:textId="77777777" w:rsidR="00B31D18" w:rsidRDefault="00B31D1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>M. Schmalenberg, L. Hohmann, N. Kockmann, ASME ICNMM2018-7660, 2018</w:t>
      </w:r>
    </w:p>
    <w:p w14:paraId="0E232662" w14:textId="1E070A82" w:rsidR="00943166" w:rsidRPr="00943166" w:rsidRDefault="00B31D18" w:rsidP="0094316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943166">
        <w:rPr>
          <w:rFonts w:asciiTheme="minorHAnsi" w:hAnsiTheme="minorHAnsi"/>
          <w:color w:val="000000"/>
          <w:lang w:val="en-GB"/>
        </w:rPr>
        <w:t xml:space="preserve">A. ten Cate, S. K. </w:t>
      </w:r>
      <w:proofErr w:type="spellStart"/>
      <w:r w:rsidRPr="00943166">
        <w:rPr>
          <w:rFonts w:asciiTheme="minorHAnsi" w:hAnsiTheme="minorHAnsi"/>
          <w:color w:val="000000"/>
          <w:lang w:val="en-GB"/>
        </w:rPr>
        <w:t>Bermingham</w:t>
      </w:r>
      <w:proofErr w:type="spellEnd"/>
      <w:r w:rsidRPr="00943166">
        <w:rPr>
          <w:rFonts w:asciiTheme="minorHAnsi" w:hAnsiTheme="minorHAnsi"/>
          <w:color w:val="000000"/>
          <w:lang w:val="en-GB"/>
        </w:rPr>
        <w:t xml:space="preserve">, J. J. </w:t>
      </w:r>
      <w:proofErr w:type="spellStart"/>
      <w:r w:rsidRPr="00943166">
        <w:rPr>
          <w:rFonts w:asciiTheme="minorHAnsi" w:hAnsiTheme="minorHAnsi"/>
          <w:color w:val="000000"/>
          <w:lang w:val="en-GB"/>
        </w:rPr>
        <w:t>Derksen</w:t>
      </w:r>
      <w:proofErr w:type="spellEnd"/>
      <w:r w:rsidRPr="00943166">
        <w:rPr>
          <w:rFonts w:asciiTheme="minorHAnsi" w:hAnsiTheme="minorHAnsi"/>
          <w:color w:val="000000"/>
          <w:lang w:val="en-GB"/>
        </w:rPr>
        <w:t xml:space="preserve">, H. M. J. Kramer, </w:t>
      </w:r>
      <w:r w:rsidR="00943166" w:rsidRPr="00943166">
        <w:rPr>
          <w:rFonts w:asciiTheme="minorHAnsi" w:hAnsiTheme="minorHAnsi"/>
          <w:color w:val="000000"/>
          <w:lang w:val="en-GB"/>
        </w:rPr>
        <w:t>10th European Conference on Mixing, 2000</w:t>
      </w:r>
    </w:p>
    <w:p w14:paraId="6CCB8D62" w14:textId="5F18542E" w:rsidR="00BD2601" w:rsidRPr="00BD2601" w:rsidRDefault="00BD2601" w:rsidP="00BD2601">
      <w:pPr>
        <w:pStyle w:val="Haupt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D2601" w:rsidRPr="00BD260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10E6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8F7A3" w14:textId="77777777" w:rsidR="00527E40" w:rsidRDefault="00527E40" w:rsidP="004F5E36">
      <w:r>
        <w:separator/>
      </w:r>
    </w:p>
  </w:endnote>
  <w:endnote w:type="continuationSeparator" w:id="0">
    <w:p w14:paraId="115F8485" w14:textId="77777777" w:rsidR="00527E40" w:rsidRDefault="00527E4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0B4A" w14:textId="77777777" w:rsidR="00527E40" w:rsidRDefault="00527E40" w:rsidP="004F5E36">
      <w:r>
        <w:separator/>
      </w:r>
    </w:p>
  </w:footnote>
  <w:footnote w:type="continuationSeparator" w:id="0">
    <w:p w14:paraId="75C5831F" w14:textId="77777777" w:rsidR="00527E40" w:rsidRDefault="00527E4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CD64" w14:textId="77777777" w:rsidR="004D1162" w:rsidRDefault="00594E9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404786" wp14:editId="1F04C0F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C29CC6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46A8830" wp14:editId="55F75A7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A57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56C746" wp14:editId="552790C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BEE3A6C" w14:textId="77777777" w:rsidR="00704BDF" w:rsidRDefault="00704BDF">
    <w:pPr>
      <w:pStyle w:val="Kopfzeile"/>
    </w:pPr>
  </w:p>
  <w:p w14:paraId="0D4419CE" w14:textId="77777777" w:rsidR="00704BDF" w:rsidRDefault="00704BD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B40DE" wp14:editId="0124858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816FCE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8C0124E"/>
    <w:multiLevelType w:val="hybridMultilevel"/>
    <w:tmpl w:val="1EAAC606"/>
    <w:lvl w:ilvl="0" w:tplc="B2840F74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B13F5"/>
    <w:multiLevelType w:val="hybridMultilevel"/>
    <w:tmpl w:val="8A1032E4"/>
    <w:lvl w:ilvl="0" w:tplc="B2840F74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8FE4B1B"/>
    <w:multiLevelType w:val="hybridMultilevel"/>
    <w:tmpl w:val="3F84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7"/>
  </w:num>
  <w:num w:numId="15">
    <w:abstractNumId w:val="18"/>
  </w:num>
  <w:num w:numId="16">
    <w:abstractNumId w:val="19"/>
  </w:num>
  <w:num w:numId="17">
    <w:abstractNumId w:val="10"/>
  </w:num>
  <w:num w:numId="18">
    <w:abstractNumId w:val="16"/>
  </w:num>
  <w:num w:numId="19">
    <w:abstractNumId w:val="12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ckmann, Norbert">
    <w15:presenceInfo w15:providerId="AD" w15:userId="S-1-5-21-1504887961-821798933-785805622-16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110D4"/>
    <w:rsid w:val="00111D68"/>
    <w:rsid w:val="0013121F"/>
    <w:rsid w:val="00134DE4"/>
    <w:rsid w:val="00150E59"/>
    <w:rsid w:val="00184AD6"/>
    <w:rsid w:val="0019459B"/>
    <w:rsid w:val="001B56DC"/>
    <w:rsid w:val="001B65C1"/>
    <w:rsid w:val="001C684B"/>
    <w:rsid w:val="001D53FC"/>
    <w:rsid w:val="001F2EC7"/>
    <w:rsid w:val="002013A9"/>
    <w:rsid w:val="002065DB"/>
    <w:rsid w:val="00225884"/>
    <w:rsid w:val="00226C55"/>
    <w:rsid w:val="002324D9"/>
    <w:rsid w:val="002447EF"/>
    <w:rsid w:val="00251550"/>
    <w:rsid w:val="00265A10"/>
    <w:rsid w:val="0027221A"/>
    <w:rsid w:val="00275B61"/>
    <w:rsid w:val="002A20DC"/>
    <w:rsid w:val="002D1F12"/>
    <w:rsid w:val="003009B7"/>
    <w:rsid w:val="0030469C"/>
    <w:rsid w:val="003723D4"/>
    <w:rsid w:val="003A080A"/>
    <w:rsid w:val="003A7D1C"/>
    <w:rsid w:val="003B0EDA"/>
    <w:rsid w:val="0046164A"/>
    <w:rsid w:val="00462DCD"/>
    <w:rsid w:val="004B591A"/>
    <w:rsid w:val="004D1162"/>
    <w:rsid w:val="004E4DD6"/>
    <w:rsid w:val="004F5E36"/>
    <w:rsid w:val="0050617D"/>
    <w:rsid w:val="00507853"/>
    <w:rsid w:val="005119A5"/>
    <w:rsid w:val="00511FB6"/>
    <w:rsid w:val="005278B7"/>
    <w:rsid w:val="00527E40"/>
    <w:rsid w:val="005346C8"/>
    <w:rsid w:val="00594E9F"/>
    <w:rsid w:val="005B61E6"/>
    <w:rsid w:val="005C77E1"/>
    <w:rsid w:val="005D6A2F"/>
    <w:rsid w:val="005E1A82"/>
    <w:rsid w:val="005E5FB5"/>
    <w:rsid w:val="005F0A28"/>
    <w:rsid w:val="005F0E5E"/>
    <w:rsid w:val="00620DEE"/>
    <w:rsid w:val="00625639"/>
    <w:rsid w:val="0064184D"/>
    <w:rsid w:val="00660E3E"/>
    <w:rsid w:val="00662E74"/>
    <w:rsid w:val="00694FEB"/>
    <w:rsid w:val="006A58D2"/>
    <w:rsid w:val="006C5579"/>
    <w:rsid w:val="00704BDF"/>
    <w:rsid w:val="00736B13"/>
    <w:rsid w:val="007447F3"/>
    <w:rsid w:val="007661C8"/>
    <w:rsid w:val="00777094"/>
    <w:rsid w:val="007D52CD"/>
    <w:rsid w:val="00813288"/>
    <w:rsid w:val="008168FC"/>
    <w:rsid w:val="00817CD4"/>
    <w:rsid w:val="00831ECB"/>
    <w:rsid w:val="008479A2"/>
    <w:rsid w:val="0087637F"/>
    <w:rsid w:val="00887090"/>
    <w:rsid w:val="008A1512"/>
    <w:rsid w:val="008D0BEB"/>
    <w:rsid w:val="008E566E"/>
    <w:rsid w:val="00901EB6"/>
    <w:rsid w:val="00943166"/>
    <w:rsid w:val="009450CE"/>
    <w:rsid w:val="0095164B"/>
    <w:rsid w:val="00996483"/>
    <w:rsid w:val="009E788A"/>
    <w:rsid w:val="00A1763D"/>
    <w:rsid w:val="00A17CEC"/>
    <w:rsid w:val="00A24435"/>
    <w:rsid w:val="00A27EF0"/>
    <w:rsid w:val="00A76EFC"/>
    <w:rsid w:val="00A9626B"/>
    <w:rsid w:val="00A97F29"/>
    <w:rsid w:val="00AB0964"/>
    <w:rsid w:val="00AE377D"/>
    <w:rsid w:val="00B04E91"/>
    <w:rsid w:val="00B31D18"/>
    <w:rsid w:val="00B359F8"/>
    <w:rsid w:val="00B61DBF"/>
    <w:rsid w:val="00BC30C9"/>
    <w:rsid w:val="00BC4CDE"/>
    <w:rsid w:val="00BD2601"/>
    <w:rsid w:val="00BD516A"/>
    <w:rsid w:val="00BE2307"/>
    <w:rsid w:val="00BE3E58"/>
    <w:rsid w:val="00C01616"/>
    <w:rsid w:val="00C0162B"/>
    <w:rsid w:val="00C345B1"/>
    <w:rsid w:val="00C40142"/>
    <w:rsid w:val="00C57182"/>
    <w:rsid w:val="00C655FD"/>
    <w:rsid w:val="00C867B1"/>
    <w:rsid w:val="00C90471"/>
    <w:rsid w:val="00C94434"/>
    <w:rsid w:val="00CA1C95"/>
    <w:rsid w:val="00CA5A9C"/>
    <w:rsid w:val="00CC1421"/>
    <w:rsid w:val="00CD5FE2"/>
    <w:rsid w:val="00D02B4C"/>
    <w:rsid w:val="00D07943"/>
    <w:rsid w:val="00D7307F"/>
    <w:rsid w:val="00D84576"/>
    <w:rsid w:val="00DC3587"/>
    <w:rsid w:val="00DE0019"/>
    <w:rsid w:val="00DE264A"/>
    <w:rsid w:val="00E0387D"/>
    <w:rsid w:val="00E041E7"/>
    <w:rsid w:val="00E137E0"/>
    <w:rsid w:val="00E23CA1"/>
    <w:rsid w:val="00E409A8"/>
    <w:rsid w:val="00E7209D"/>
    <w:rsid w:val="00E94EE3"/>
    <w:rsid w:val="00EA50E1"/>
    <w:rsid w:val="00EE0131"/>
    <w:rsid w:val="00EF44DA"/>
    <w:rsid w:val="00F30C64"/>
    <w:rsid w:val="00FA044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AA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D7307F"/>
    <w:pPr>
      <w:ind w:left="720"/>
      <w:contextualSpacing/>
    </w:pPr>
  </w:style>
  <w:style w:type="paragraph" w:customStyle="1" w:styleId="Haupttext">
    <w:name w:val="Haupttext"/>
    <w:rsid w:val="00E94EE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B59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D7307F"/>
    <w:pPr>
      <w:ind w:left="720"/>
      <w:contextualSpacing/>
    </w:pPr>
  </w:style>
  <w:style w:type="paragraph" w:customStyle="1" w:styleId="Haupttext">
    <w:name w:val="Haupttext"/>
    <w:rsid w:val="00E94EE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B59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A7E7-0B58-449B-BE56-508C904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DeploymentUser</cp:lastModifiedBy>
  <cp:revision>2</cp:revision>
  <cp:lastPrinted>2015-05-12T18:31:00Z</cp:lastPrinted>
  <dcterms:created xsi:type="dcterms:W3CDTF">2019-06-05T08:40:00Z</dcterms:created>
  <dcterms:modified xsi:type="dcterms:W3CDTF">2019-06-05T08:40:00Z</dcterms:modified>
</cp:coreProperties>
</file>