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5B6A6D" w:rsidRDefault="005B6A6D" w:rsidP="0016778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eastAsia="MS PGothic"/>
          <w:b/>
          <w:bCs/>
          <w:sz w:val="32"/>
          <w:szCs w:val="32"/>
          <w:lang w:val="en-US"/>
        </w:rPr>
        <w:lastRenderedPageBreak/>
        <w:tab/>
        <w:t>Advection</w:t>
      </w:r>
      <w:r>
        <w:rPr>
          <w:rFonts w:eastAsia="MS PGothic"/>
          <w:b/>
          <w:bCs/>
          <w:sz w:val="32"/>
          <w:szCs w:val="32"/>
          <w:lang w:val="en-US"/>
        </w:rPr>
        <w:t xml:space="preserve">-dominated reactive species transport at fluid interfaces via data-driven </w:t>
      </w:r>
      <w:proofErr w:type="spellStart"/>
      <w:r>
        <w:rPr>
          <w:rFonts w:eastAsia="MS PGothic"/>
          <w:b/>
          <w:bCs/>
          <w:sz w:val="32"/>
          <w:szCs w:val="32"/>
          <w:lang w:val="en-US"/>
        </w:rPr>
        <w:t>Subgrid</w:t>
      </w:r>
      <w:proofErr w:type="spellEnd"/>
      <w:r>
        <w:rPr>
          <w:rFonts w:eastAsia="MS PGothic"/>
          <w:b/>
          <w:bCs/>
          <w:sz w:val="32"/>
          <w:szCs w:val="32"/>
          <w:lang w:val="en-US"/>
        </w:rPr>
        <w:t>-scale modeling</w:t>
      </w:r>
    </w:p>
    <w:p w:rsidR="005B6A6D" w:rsidRDefault="005B6A6D" w:rsidP="005B6A6D">
      <w:pPr>
        <w:snapToGrid w:val="0"/>
        <w:spacing w:after="120"/>
        <w:jc w:val="center"/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Andre Weiner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Dennis </w:t>
      </w:r>
      <w:proofErr w:type="gram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Hillenbrand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 xml:space="preserve">1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proofErr w:type="gram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Holger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Marschall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="Calibri" w:eastAsia="SimSun" w:hAnsi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Dieter Bothe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:rsidR="005B6A6D" w:rsidRDefault="005B6A6D" w:rsidP="005B6A6D">
      <w:pPr>
        <w:snapToGrid w:val="0"/>
        <w:spacing w:after="120"/>
        <w:jc w:val="center"/>
      </w:pPr>
      <w:proofErr w:type="gramStart"/>
      <w:r>
        <w:rPr>
          <w:rFonts w:ascii="Calibri" w:eastAsia="MS PGothic" w:hAnsi="Calibri"/>
          <w:i/>
          <w:iCs/>
          <w:color w:val="000000"/>
          <w:sz w:val="20"/>
          <w:lang w:val="en-US"/>
        </w:rPr>
        <w:t>1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for Mathematical Modeling and Analysis, TU Darmstadt</w:t>
      </w:r>
    </w:p>
    <w:p w:rsidR="005B6A6D" w:rsidRDefault="005B6A6D" w:rsidP="005B6A6D">
      <w:pPr>
        <w:snapToGrid w:val="0"/>
        <w:spacing w:after="120"/>
        <w:jc w:val="center"/>
      </w:pP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Alarich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-Weiss-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Straße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10, 64287 Darmstadt</w:t>
      </w:r>
    </w:p>
    <w:p w:rsidR="005B6A6D" w:rsidRDefault="005B6A6D" w:rsidP="005B6A6D">
      <w:pPr>
        <w:snapToGrid w:val="0"/>
        <w:jc w:val="center"/>
      </w:pP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bothe@mma.tu-darmstadt.de</w:t>
      </w:r>
    </w:p>
    <w:p w:rsidR="005B6A6D" w:rsidRDefault="005B6A6D" w:rsidP="005B6A6D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Highlights</w:t>
      </w:r>
    </w:p>
    <w:p w:rsidR="005B6A6D" w:rsidRDefault="005B6A6D" w:rsidP="005B6A6D">
      <w:pPr>
        <w:pStyle w:val="AbstractBody"/>
        <w:numPr>
          <w:ilvl w:val="0"/>
          <w:numId w:val="19"/>
        </w:numPr>
        <w:tabs>
          <w:tab w:val="right" w:pos="7100"/>
        </w:tabs>
      </w:pPr>
      <w:proofErr w:type="spellStart"/>
      <w:r>
        <w:rPr>
          <w:rFonts w:asciiTheme="minorHAnsi" w:hAnsiTheme="minorHAnsi"/>
        </w:rPr>
        <w:t>Subgrid</w:t>
      </w:r>
      <w:proofErr w:type="spellEnd"/>
      <w:r>
        <w:rPr>
          <w:rFonts w:asciiTheme="minorHAnsi" w:hAnsiTheme="minorHAnsi"/>
        </w:rPr>
        <w:t>-scale modeling for reactive concentration boundary layers</w:t>
      </w:r>
    </w:p>
    <w:p w:rsidR="005B6A6D" w:rsidRDefault="005B6A6D" w:rsidP="005B6A6D">
      <w:pPr>
        <w:pStyle w:val="AbstractBody"/>
        <w:numPr>
          <w:ilvl w:val="0"/>
          <w:numId w:val="19"/>
        </w:numPr>
        <w:tabs>
          <w:tab w:val="right" w:pos="7100"/>
        </w:tabs>
      </w:pPr>
      <w:r>
        <w:rPr>
          <w:rFonts w:asciiTheme="minorHAnsi" w:hAnsiTheme="minorHAnsi"/>
        </w:rPr>
        <w:t>Data-driven approach for approximate functions</w:t>
      </w:r>
    </w:p>
    <w:p w:rsidR="005B6A6D" w:rsidRDefault="005B6A6D" w:rsidP="005B6A6D">
      <w:pPr>
        <w:pStyle w:val="AbstractBody"/>
        <w:numPr>
          <w:ilvl w:val="0"/>
          <w:numId w:val="19"/>
        </w:numPr>
        <w:tabs>
          <w:tab w:val="right" w:pos="7100"/>
        </w:tabs>
      </w:pPr>
      <w:r>
        <w:rPr>
          <w:rFonts w:asciiTheme="minorHAnsi" w:hAnsiTheme="minorHAnsi"/>
        </w:rPr>
        <w:t xml:space="preserve">Significant reduction of mesh resolution and computation time </w:t>
      </w:r>
    </w:p>
    <w:p w:rsidR="005B6A6D" w:rsidRDefault="005B6A6D" w:rsidP="005B6A6D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5B6A6D" w:rsidRDefault="005B6A6D" w:rsidP="005B6A6D">
      <w:pPr>
        <w:pStyle w:val="Corpotesto"/>
        <w:snapToGrid w:val="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transport of chemical species close to the gas-liquid interface of a rising bubble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typically characterized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strong advection along the interface and molecular diffusion normal to it. Consequently thin boundary layers form, which have to be resolved in numerical methods to evaluate local reaction-engineering quantities like enhancement factor, selectivity or yield accurately. In [1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we introduced a non-reactive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subgrid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-scale (SGS) model that mitigates this high-Schmidt-number problem significantly. This model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successfully in [3] to validate numerical simulations against experimental results of species transport at small rising bubbles. The basic idea is to derive an analytical solution for a substitute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problem which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describes the main features of an advection-dominated boundary layer. This analytical solution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used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correct diffusive and convective fluxes in interface cells of the numerical simulation. </w:t>
      </w:r>
    </w:p>
    <w:p w:rsidR="005B6A6D" w:rsidRDefault="005B6A6D" w:rsidP="005B6A6D">
      <w:pPr>
        <w:pStyle w:val="Corpotesto"/>
        <w:snapToGrid w:val="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in the general case of reactive boundary layers it is not possible to derive closed-form solutions. Our new approach to extend the SGS modeling for reactive systems is based on a machine-learning algorithm which represents an approximate solution of the substitute problem over a chosen range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 characteristic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parameters like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Peclet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Damkohler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numbers. The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machine learning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algorithm - a multi-layer-perceptron - has adjustable weights which are optimized to reflect the numerical input data. As before, the approximate solution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used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correct the numerical fluxes near the interface in simulations. This approach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validated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transport of a specie from a rising axisymmetric bubble followed by a first-order decay reaction in [4]. Figure 1 shows the improvement of the species transport via the local Sherwood number profile along the polar angle of the bubble. The flux corrections from the data-driven SGS model enable the representation of the reference profile even for coarse meshes. Additionally, the evaluation of the data-driven SGS model produces almost no computational overhead. This results in a significant reduction of computation time while introducing an error of less than 5% for the overall species transport. Due to the flexibility of this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approach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can be adjusted to the required parameter ranges and extended to more complex reaction systems.</w:t>
      </w:r>
    </w:p>
    <w:p w:rsidR="005B6A6D" w:rsidRDefault="005B6A6D" w:rsidP="0016778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</w:p>
    <w:p w:rsidR="005B6A6D" w:rsidRDefault="0022080D" w:rsidP="005B6A6D">
      <w:pPr>
        <w:snapToGrid w:val="0"/>
        <w:spacing w:after="120"/>
        <w:jc w:val="center"/>
      </w:pP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      </w:t>
      </w:r>
      <w:r w:rsidR="005B6A6D"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0457310B" wp14:editId="2001255A">
            <wp:simplePos x="0" y="0"/>
            <wp:positionH relativeFrom="column">
              <wp:posOffset>872490</wp:posOffset>
            </wp:positionH>
            <wp:positionV relativeFrom="paragraph">
              <wp:posOffset>38100</wp:posOffset>
            </wp:positionV>
            <wp:extent cx="3834130" cy="268351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A6D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5B6A6D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5B6A6D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B6A6D">
        <w:rPr>
          <w:rFonts w:asciiTheme="minorHAnsi" w:hAnsiTheme="minorHAnsi"/>
          <w:lang w:val="en-US"/>
        </w:rPr>
        <w:t xml:space="preserve"> </w:t>
      </w:r>
      <w:r w:rsidR="005B6A6D">
        <w:rPr>
          <w:rFonts w:asciiTheme="minorHAnsi" w:eastAsia="MS PGothic" w:hAnsiTheme="minorHAnsi"/>
          <w:color w:val="000000"/>
          <w:szCs w:val="18"/>
          <w:lang w:val="en-US"/>
        </w:rPr>
        <w:t>Local Sherwood number profiles for coarse meshes with and without using the SGS model.</w:t>
      </w:r>
    </w:p>
    <w:p w:rsidR="005B6A6D" w:rsidRDefault="005B6A6D" w:rsidP="005B6A6D">
      <w:pPr>
        <w:snapToGrid w:val="0"/>
        <w:spacing w:before="240" w:line="300" w:lineRule="auto"/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5B6A6D" w:rsidRDefault="005B6A6D" w:rsidP="005B6A6D">
      <w:pPr>
        <w:pStyle w:val="FirstParagraph"/>
        <w:numPr>
          <w:ilvl w:val="0"/>
          <w:numId w:val="18"/>
        </w:numPr>
        <w:tabs>
          <w:tab w:val="left" w:pos="426"/>
          <w:tab w:val="right" w:pos="7100"/>
        </w:tabs>
        <w:spacing w:line="240" w:lineRule="auto"/>
        <w:ind w:left="426" w:hanging="426"/>
      </w:pPr>
      <w:r>
        <w:rPr>
          <w:rFonts w:asciiTheme="minorHAnsi" w:hAnsiTheme="minorHAnsi"/>
          <w:color w:val="000000"/>
        </w:rPr>
        <w:t xml:space="preserve">C. Pesci, A. Weiner, H. </w:t>
      </w:r>
      <w:proofErr w:type="spellStart"/>
      <w:r>
        <w:rPr>
          <w:rFonts w:asciiTheme="minorHAnsi" w:hAnsiTheme="minorHAnsi"/>
          <w:color w:val="000000"/>
        </w:rPr>
        <w:t>Marschall</w:t>
      </w:r>
      <w:proofErr w:type="spellEnd"/>
      <w:r>
        <w:rPr>
          <w:rFonts w:asciiTheme="minorHAnsi" w:hAnsiTheme="minorHAnsi"/>
          <w:color w:val="000000"/>
        </w:rPr>
        <w:t>, D. Bothe, Computational analysis of single rising bubbles influenced by soluble surfactant, Journal of Fluid Mechanics, vol. 856, (2018), 709–763.</w:t>
      </w:r>
    </w:p>
    <w:p w:rsidR="005B6A6D" w:rsidRDefault="005B6A6D" w:rsidP="005B6A6D">
      <w:pPr>
        <w:pStyle w:val="FirstParagraph"/>
        <w:numPr>
          <w:ilvl w:val="0"/>
          <w:numId w:val="18"/>
        </w:numPr>
        <w:tabs>
          <w:tab w:val="left" w:pos="426"/>
          <w:tab w:val="right" w:pos="7100"/>
        </w:tabs>
        <w:spacing w:line="240" w:lineRule="auto"/>
        <w:ind w:left="426" w:hanging="426"/>
      </w:pPr>
      <w:r>
        <w:rPr>
          <w:rFonts w:asciiTheme="minorHAnsi" w:hAnsiTheme="minorHAnsi"/>
          <w:color w:val="000000"/>
        </w:rPr>
        <w:t xml:space="preserve">A. Weiner, D. Bothe, Advanced </w:t>
      </w:r>
      <w:proofErr w:type="spellStart"/>
      <w:r>
        <w:rPr>
          <w:rFonts w:asciiTheme="minorHAnsi" w:hAnsiTheme="minorHAnsi"/>
          <w:color w:val="000000"/>
        </w:rPr>
        <w:t>subgrid</w:t>
      </w:r>
      <w:proofErr w:type="spellEnd"/>
      <w:r>
        <w:rPr>
          <w:rFonts w:asciiTheme="minorHAnsi" w:hAnsiTheme="minorHAnsi"/>
          <w:color w:val="000000"/>
        </w:rPr>
        <w:t xml:space="preserve">-scale modeling for convection-dominated species transport at fluid interfaces with application to rising bubbles, J. </w:t>
      </w:r>
      <w:proofErr w:type="spellStart"/>
      <w:r>
        <w:rPr>
          <w:rFonts w:asciiTheme="minorHAnsi" w:hAnsiTheme="minorHAnsi"/>
          <w:color w:val="000000"/>
        </w:rPr>
        <w:t>Comput</w:t>
      </w:r>
      <w:proofErr w:type="spellEnd"/>
      <w:r>
        <w:rPr>
          <w:rFonts w:asciiTheme="minorHAnsi" w:hAnsiTheme="minorHAnsi"/>
          <w:color w:val="000000"/>
        </w:rPr>
        <w:t xml:space="preserve">. Phys., 347, (2017), 261-289. </w:t>
      </w:r>
    </w:p>
    <w:p w:rsidR="005B6A6D" w:rsidRDefault="005B6A6D" w:rsidP="005B6A6D">
      <w:pPr>
        <w:pStyle w:val="FirstParagraph"/>
        <w:numPr>
          <w:ilvl w:val="0"/>
          <w:numId w:val="18"/>
        </w:numPr>
        <w:tabs>
          <w:tab w:val="left" w:pos="426"/>
          <w:tab w:val="right" w:pos="7100"/>
        </w:tabs>
        <w:spacing w:line="240" w:lineRule="auto"/>
      </w:pPr>
      <w:r>
        <w:rPr>
          <w:rFonts w:asciiTheme="minorHAnsi" w:hAnsiTheme="minorHAnsi"/>
          <w:color w:val="000000"/>
        </w:rPr>
        <w:t xml:space="preserve">A. Weiner, </w:t>
      </w:r>
      <w:proofErr w:type="spellStart"/>
      <w:r>
        <w:rPr>
          <w:rFonts w:asciiTheme="minorHAnsi" w:hAnsiTheme="minorHAnsi"/>
          <w:color w:val="000000"/>
        </w:rPr>
        <w:t>J.Timmermann</w:t>
      </w:r>
      <w:proofErr w:type="spellEnd"/>
      <w:r>
        <w:rPr>
          <w:rFonts w:asciiTheme="minorHAnsi" w:hAnsiTheme="minorHAnsi"/>
          <w:color w:val="000000"/>
        </w:rPr>
        <w:t xml:space="preserve">, C. Pesci, J. </w:t>
      </w:r>
      <w:proofErr w:type="spellStart"/>
      <w:r>
        <w:rPr>
          <w:rFonts w:asciiTheme="minorHAnsi" w:hAnsiTheme="minorHAnsi"/>
          <w:color w:val="000000"/>
        </w:rPr>
        <w:t>Grewe</w:t>
      </w:r>
      <w:proofErr w:type="spellEnd"/>
      <w:r>
        <w:rPr>
          <w:rFonts w:asciiTheme="minorHAnsi" w:hAnsiTheme="minorHAnsi"/>
          <w:color w:val="000000"/>
        </w:rPr>
        <w:t xml:space="preserve">, M. Hoffmann, M. </w:t>
      </w:r>
      <w:proofErr w:type="spellStart"/>
      <w:r>
        <w:rPr>
          <w:rFonts w:asciiTheme="minorHAnsi" w:hAnsiTheme="minorHAnsi"/>
          <w:color w:val="000000"/>
        </w:rPr>
        <w:t>Schlüter</w:t>
      </w:r>
      <w:proofErr w:type="spellEnd"/>
      <w:r>
        <w:rPr>
          <w:rFonts w:asciiTheme="minorHAnsi" w:hAnsiTheme="minorHAnsi"/>
          <w:color w:val="000000"/>
        </w:rPr>
        <w:t xml:space="preserve">, D. Bothe, Experimental and numerical investigation of reactive species transport around a small rising bubble, </w:t>
      </w:r>
      <w:proofErr w:type="spellStart"/>
      <w:r>
        <w:rPr>
          <w:rFonts w:asciiTheme="minorHAnsi" w:hAnsiTheme="minorHAnsi"/>
          <w:color w:val="000000"/>
        </w:rPr>
        <w:t>arXiv</w:t>
      </w:r>
      <w:proofErr w:type="spellEnd"/>
      <w:r>
        <w:rPr>
          <w:rFonts w:asciiTheme="minorHAnsi" w:hAnsiTheme="minorHAnsi"/>
          <w:color w:val="000000"/>
        </w:rPr>
        <w:t xml:space="preserve"> e-prints, </w:t>
      </w:r>
    </w:p>
    <w:p w:rsidR="005B6A6D" w:rsidRDefault="005B6A6D" w:rsidP="005B6A6D">
      <w:pPr>
        <w:pStyle w:val="FirstParagraph"/>
        <w:tabs>
          <w:tab w:val="left" w:pos="426"/>
        </w:tabs>
        <w:spacing w:line="240" w:lineRule="auto"/>
        <w:ind w:left="360"/>
      </w:pPr>
      <w:proofErr w:type="gramStart"/>
      <w:r>
        <w:rPr>
          <w:rFonts w:asciiTheme="minorHAnsi" w:hAnsiTheme="minorHAnsi"/>
          <w:color w:val="000000"/>
        </w:rPr>
        <w:t>p</w:t>
      </w:r>
      <w:proofErr w:type="gramEnd"/>
      <w:r>
        <w:rPr>
          <w:rFonts w:asciiTheme="minorHAnsi" w:hAnsiTheme="minorHAnsi"/>
          <w:color w:val="000000"/>
        </w:rPr>
        <w:t>. arXiv:1811.03851, Nov. 2018</w:t>
      </w:r>
    </w:p>
    <w:p w:rsidR="005B6A6D" w:rsidRDefault="005B6A6D" w:rsidP="005B6A6D">
      <w:pPr>
        <w:pStyle w:val="FirstParagraph"/>
        <w:numPr>
          <w:ilvl w:val="0"/>
          <w:numId w:val="18"/>
        </w:numPr>
        <w:tabs>
          <w:tab w:val="left" w:pos="426"/>
          <w:tab w:val="right" w:pos="7100"/>
        </w:tabs>
        <w:spacing w:line="240" w:lineRule="auto"/>
      </w:pPr>
      <w:r>
        <w:rPr>
          <w:rFonts w:asciiTheme="minorHAnsi" w:hAnsiTheme="minorHAnsi"/>
          <w:color w:val="000000"/>
        </w:rPr>
        <w:t xml:space="preserve">A. Weiner, D. Hillenbrand, H. </w:t>
      </w:r>
      <w:proofErr w:type="spellStart"/>
      <w:r>
        <w:rPr>
          <w:rFonts w:asciiTheme="minorHAnsi" w:hAnsiTheme="minorHAnsi"/>
          <w:color w:val="000000"/>
        </w:rPr>
        <w:t>Marschall</w:t>
      </w:r>
      <w:proofErr w:type="spellEnd"/>
      <w:r>
        <w:rPr>
          <w:rFonts w:asciiTheme="minorHAnsi" w:hAnsiTheme="minorHAnsi"/>
          <w:color w:val="000000"/>
        </w:rPr>
        <w:t xml:space="preserve">, D. Bothe, Data-driven </w:t>
      </w:r>
      <w:proofErr w:type="spellStart"/>
      <w:r>
        <w:rPr>
          <w:rFonts w:asciiTheme="minorHAnsi" w:hAnsiTheme="minorHAnsi"/>
          <w:color w:val="000000"/>
        </w:rPr>
        <w:t>subgrid</w:t>
      </w:r>
      <w:proofErr w:type="spellEnd"/>
      <w:r>
        <w:rPr>
          <w:rFonts w:asciiTheme="minorHAnsi" w:hAnsiTheme="minorHAnsi"/>
          <w:color w:val="000000"/>
        </w:rPr>
        <w:t>-scale modeling for convection-dominated reactive boundary layers, submitted 2019</w:t>
      </w:r>
    </w:p>
    <w:p w:rsidR="005B6A6D" w:rsidRDefault="005B6A6D" w:rsidP="005B6A6D">
      <w:pPr>
        <w:pStyle w:val="FirstParagraph"/>
        <w:tabs>
          <w:tab w:val="left" w:pos="426"/>
        </w:tabs>
        <w:spacing w:line="240" w:lineRule="auto"/>
        <w:ind w:left="360"/>
        <w:rPr>
          <w:rFonts w:asciiTheme="minorHAnsi" w:eastAsia="SimSun" w:hAnsiTheme="minorHAnsi"/>
          <w:color w:val="000000"/>
          <w:lang w:eastAsia="zh-CN"/>
        </w:rPr>
      </w:pPr>
    </w:p>
    <w:p w:rsidR="00704BDF" w:rsidRPr="0042133C" w:rsidRDefault="0022080D" w:rsidP="0042133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        </w:t>
      </w:r>
    </w:p>
    <w:p w:rsidR="005C79D4" w:rsidRDefault="005C79D4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5C79D4" w:rsidRDefault="005C79D4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sectPr w:rsidR="005C79D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64" w:rsidRDefault="00010364" w:rsidP="004F5E36">
      <w:r>
        <w:separator/>
      </w:r>
    </w:p>
  </w:endnote>
  <w:endnote w:type="continuationSeparator" w:id="0">
    <w:p w:rsidR="00010364" w:rsidRDefault="0001036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64" w:rsidRDefault="00010364" w:rsidP="004F5E36">
      <w:r>
        <w:separator/>
      </w:r>
    </w:p>
  </w:footnote>
  <w:footnote w:type="continuationSeparator" w:id="0">
    <w:p w:rsidR="00010364" w:rsidRDefault="0001036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08" w:rsidRDefault="00DD4208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AF8D96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08" w:rsidRPr="00DE0019" w:rsidRDefault="00DD4208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DD4208" w:rsidRDefault="00DD4208">
    <w:pPr>
      <w:pStyle w:val="Intestazione"/>
    </w:pPr>
  </w:p>
  <w:p w:rsidR="00DD4208" w:rsidRDefault="00DD4208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3698AD7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39C8"/>
    <w:multiLevelType w:val="multilevel"/>
    <w:tmpl w:val="D4B252DA"/>
    <w:lvl w:ilvl="0">
      <w:start w:val="1"/>
      <w:numFmt w:val="decimal"/>
      <w:lvlText w:val="[%1]"/>
      <w:lvlJc w:val="left"/>
      <w:pPr>
        <w:ind w:left="360" w:hanging="360"/>
      </w:pPr>
      <w:rPr>
        <w:sz w:val="22"/>
        <w:szCs w:val="18"/>
      </w:r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A97AD0"/>
    <w:multiLevelType w:val="multilevel"/>
    <w:tmpl w:val="8CAC10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0364"/>
    <w:rsid w:val="000117CB"/>
    <w:rsid w:val="000225B4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67781"/>
    <w:rsid w:val="00184AD6"/>
    <w:rsid w:val="00195C37"/>
    <w:rsid w:val="001B65C1"/>
    <w:rsid w:val="001C684B"/>
    <w:rsid w:val="001D53FC"/>
    <w:rsid w:val="001F2EC7"/>
    <w:rsid w:val="002065DB"/>
    <w:rsid w:val="0022080D"/>
    <w:rsid w:val="002447EF"/>
    <w:rsid w:val="00251550"/>
    <w:rsid w:val="0027221A"/>
    <w:rsid w:val="00275B61"/>
    <w:rsid w:val="002B51C0"/>
    <w:rsid w:val="002D1F12"/>
    <w:rsid w:val="003009B7"/>
    <w:rsid w:val="00304154"/>
    <w:rsid w:val="0030469C"/>
    <w:rsid w:val="00325820"/>
    <w:rsid w:val="003723D4"/>
    <w:rsid w:val="003A7D1C"/>
    <w:rsid w:val="0042133C"/>
    <w:rsid w:val="0046164A"/>
    <w:rsid w:val="00462DCD"/>
    <w:rsid w:val="00494D3F"/>
    <w:rsid w:val="004A4F87"/>
    <w:rsid w:val="004D1162"/>
    <w:rsid w:val="004E4DD6"/>
    <w:rsid w:val="004F5E36"/>
    <w:rsid w:val="005119A5"/>
    <w:rsid w:val="005278B7"/>
    <w:rsid w:val="005346C8"/>
    <w:rsid w:val="00543F29"/>
    <w:rsid w:val="00594E9F"/>
    <w:rsid w:val="005B61E6"/>
    <w:rsid w:val="005B6A6D"/>
    <w:rsid w:val="005C77E1"/>
    <w:rsid w:val="005C79D4"/>
    <w:rsid w:val="005D6A2F"/>
    <w:rsid w:val="005E1A82"/>
    <w:rsid w:val="005F0A28"/>
    <w:rsid w:val="005F0E5E"/>
    <w:rsid w:val="00601AED"/>
    <w:rsid w:val="00620DEE"/>
    <w:rsid w:val="00625639"/>
    <w:rsid w:val="0064184D"/>
    <w:rsid w:val="0066032F"/>
    <w:rsid w:val="00660E3E"/>
    <w:rsid w:val="00662E74"/>
    <w:rsid w:val="0068719F"/>
    <w:rsid w:val="006A58D2"/>
    <w:rsid w:val="006C5579"/>
    <w:rsid w:val="00704BDF"/>
    <w:rsid w:val="00736B13"/>
    <w:rsid w:val="007447F3"/>
    <w:rsid w:val="007545E4"/>
    <w:rsid w:val="007661C8"/>
    <w:rsid w:val="007D52CD"/>
    <w:rsid w:val="007E1C40"/>
    <w:rsid w:val="00813288"/>
    <w:rsid w:val="008168FC"/>
    <w:rsid w:val="00822D54"/>
    <w:rsid w:val="0082554D"/>
    <w:rsid w:val="008479A2"/>
    <w:rsid w:val="0087637F"/>
    <w:rsid w:val="008A1512"/>
    <w:rsid w:val="008C3614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117E8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D4208"/>
    <w:rsid w:val="00DE0019"/>
    <w:rsid w:val="00DE264A"/>
    <w:rsid w:val="00E041E7"/>
    <w:rsid w:val="00E05D4C"/>
    <w:rsid w:val="00E23CA1"/>
    <w:rsid w:val="00E3397F"/>
    <w:rsid w:val="00E409A8"/>
    <w:rsid w:val="00E7209D"/>
    <w:rsid w:val="00EA50E1"/>
    <w:rsid w:val="00EE0131"/>
    <w:rsid w:val="00F07EB7"/>
    <w:rsid w:val="00F30C64"/>
    <w:rsid w:val="00F77F82"/>
    <w:rsid w:val="00FA39E2"/>
    <w:rsid w:val="00FB730C"/>
    <w:rsid w:val="00FC2695"/>
    <w:rsid w:val="00FC3E03"/>
    <w:rsid w:val="00FE69C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B2141A5D-0CE8-4B87-BE4B-1299498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qFormat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qFormat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qFormat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6263-EB72-4915-9E03-A266CD9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Sauro</cp:lastModifiedBy>
  <cp:revision>3</cp:revision>
  <cp:lastPrinted>2019-08-25T04:15:00Z</cp:lastPrinted>
  <dcterms:created xsi:type="dcterms:W3CDTF">2019-08-25T04:30:00Z</dcterms:created>
  <dcterms:modified xsi:type="dcterms:W3CDTF">2019-08-25T04:30:00Z</dcterms:modified>
</cp:coreProperties>
</file>