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EA2C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21661FD" w14:textId="77777777" w:rsidR="00765554" w:rsidRDefault="00765554" w:rsidP="001A7AEB">
      <w:pPr>
        <w:snapToGrid w:val="0"/>
        <w:jc w:val="center"/>
        <w:rPr>
          <w:rFonts w:asciiTheme="minorHAnsi" w:eastAsia="SimSun" w:hAnsiTheme="minorHAnsi"/>
          <w:b/>
          <w:bCs/>
          <w:sz w:val="28"/>
          <w:szCs w:val="28"/>
          <w:lang w:val="en-US" w:eastAsia="zh-CN"/>
        </w:rPr>
      </w:pPr>
      <w:bookmarkStart w:id="0" w:name="OLE_LINK29"/>
      <w:bookmarkStart w:id="1" w:name="OLE_LINK30"/>
      <w:bookmarkStart w:id="2" w:name="OLE_LINK20"/>
      <w:bookmarkStart w:id="3" w:name="OLE_LINK27"/>
      <w:bookmarkStart w:id="4" w:name="OLE_LINK28"/>
      <w:bookmarkStart w:id="5" w:name="OLE_LINK15"/>
      <w:r>
        <w:rPr>
          <w:rFonts w:asciiTheme="minorHAnsi" w:eastAsia="SimSun" w:hAnsiTheme="minorHAnsi"/>
          <w:b/>
          <w:bCs/>
          <w:sz w:val="28"/>
          <w:szCs w:val="28"/>
          <w:lang w:val="en-US" w:eastAsia="zh-CN"/>
        </w:rPr>
        <w:t xml:space="preserve">An </w:t>
      </w:r>
      <w:bookmarkStart w:id="6" w:name="OLE_LINK10"/>
      <w:bookmarkStart w:id="7" w:name="OLE_LINK9"/>
      <w:r>
        <w:rPr>
          <w:rFonts w:asciiTheme="minorHAnsi" w:eastAsia="SimSun" w:hAnsiTheme="minorHAnsi"/>
          <w:b/>
          <w:bCs/>
          <w:sz w:val="28"/>
          <w:szCs w:val="28"/>
          <w:lang w:val="en-US" w:eastAsia="zh-CN"/>
        </w:rPr>
        <w:t>Novel</w:t>
      </w:r>
      <w:bookmarkEnd w:id="6"/>
      <w:bookmarkEnd w:id="7"/>
      <w:r>
        <w:rPr>
          <w:rFonts w:asciiTheme="minorHAnsi" w:eastAsia="SimSun" w:hAnsiTheme="minorHAnsi"/>
          <w:b/>
          <w:bCs/>
          <w:sz w:val="28"/>
          <w:szCs w:val="28"/>
          <w:lang w:val="en-US" w:eastAsia="zh-CN"/>
        </w:rPr>
        <w:t xml:space="preserve"> Electrochemical Sensor Based on ErGO/MWCNTs to</w:t>
      </w:r>
      <w:bookmarkEnd w:id="0"/>
      <w:bookmarkEnd w:id="1"/>
      <w:r>
        <w:rPr>
          <w:rFonts w:asciiTheme="minorHAnsi" w:eastAsia="SimSun" w:hAnsiTheme="minorHAnsi"/>
          <w:b/>
          <w:bCs/>
          <w:sz w:val="28"/>
          <w:szCs w:val="28"/>
          <w:lang w:val="en-US" w:eastAsia="zh-CN"/>
        </w:rPr>
        <w:t xml:space="preserve"> </w:t>
      </w:r>
    </w:p>
    <w:p w14:paraId="5FBA161A" w14:textId="1037EAC2" w:rsidR="00765554" w:rsidRDefault="00765554" w:rsidP="0076555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8" w:name="OLE_LINK31"/>
      <w:r>
        <w:rPr>
          <w:rFonts w:asciiTheme="minorHAnsi" w:eastAsia="SimSun" w:hAnsiTheme="minorHAnsi"/>
          <w:b/>
          <w:bCs/>
          <w:sz w:val="28"/>
          <w:szCs w:val="28"/>
          <w:lang w:val="en-US" w:eastAsia="zh-CN"/>
        </w:rPr>
        <w:t>Detect 2, 4-dinitroanisole</w:t>
      </w:r>
      <w:bookmarkEnd w:id="2"/>
      <w:bookmarkEnd w:id="3"/>
      <w:bookmarkEnd w:id="4"/>
      <w:r w:rsidR="003426A1">
        <w:rPr>
          <w:rFonts w:asciiTheme="minorHAnsi" w:eastAsia="SimSun" w:hAnsiTheme="minorHAnsi"/>
          <w:b/>
          <w:bCs/>
          <w:sz w:val="28"/>
          <w:szCs w:val="28"/>
          <w:lang w:val="en-US" w:eastAsia="zh-CN"/>
        </w:rPr>
        <w:t>.</w:t>
      </w:r>
      <w:bookmarkStart w:id="9" w:name="_GoBack"/>
      <w:bookmarkEnd w:id="9"/>
    </w:p>
    <w:bookmarkEnd w:id="5"/>
    <w:bookmarkEnd w:id="8"/>
    <w:p w14:paraId="00EED291" w14:textId="77777777" w:rsidR="00765554" w:rsidRDefault="00765554" w:rsidP="00765554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Shasha Feng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Yong Ding, Wu Lei</w:t>
      </w: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</w:p>
    <w:p w14:paraId="6510C676" w14:textId="77777777" w:rsidR="00765554" w:rsidRDefault="00765554" w:rsidP="00765554">
      <w:pPr>
        <w:snapToGrid w:val="0"/>
        <w:spacing w:after="120"/>
        <w:jc w:val="center"/>
        <w:rPr>
          <w:rFonts w:asciiTheme="minorHAnsi" w:eastAsia="SimSun" w:hAnsiTheme="minorHAnsi"/>
          <w:i/>
          <w:iCs/>
          <w:color w:val="000000"/>
          <w:sz w:val="20"/>
          <w:lang w:val="en-US" w:eastAsia="zh-CN"/>
        </w:rPr>
      </w:pPr>
      <w:bookmarkStart w:id="10" w:name="OLE_LINK32"/>
      <w:r>
        <w:rPr>
          <w:rFonts w:asciiTheme="minorHAnsi" w:eastAsia="SimSun" w:hAnsiTheme="minorHAnsi"/>
          <w:i/>
          <w:iCs/>
          <w:color w:val="000000"/>
          <w:sz w:val="20"/>
          <w:lang w:val="en-US" w:eastAsia="zh-CN"/>
        </w:rPr>
        <w:t>School of Chemical Engineering, Nanjing University of Science and Technology, Nanjing</w:t>
      </w:r>
      <w:r w:rsidR="005535C7">
        <w:rPr>
          <w:rFonts w:asciiTheme="minorHAnsi" w:eastAsia="SimSun" w:hAnsiTheme="minorHAnsi"/>
          <w:i/>
          <w:iCs/>
          <w:color w:val="000000"/>
          <w:sz w:val="20"/>
          <w:lang w:val="en-US" w:eastAsia="zh-CN"/>
        </w:rPr>
        <w:t xml:space="preserve"> 210094</w:t>
      </w:r>
      <w:r>
        <w:rPr>
          <w:rFonts w:asciiTheme="minorHAnsi" w:eastAsia="SimSun" w:hAnsiTheme="minorHAnsi"/>
          <w:i/>
          <w:iCs/>
          <w:color w:val="000000"/>
          <w:sz w:val="20"/>
          <w:lang w:val="en-US" w:eastAsia="zh-CN"/>
        </w:rPr>
        <w:t>,</w:t>
      </w:r>
    </w:p>
    <w:p w14:paraId="4F9A8924" w14:textId="77777777" w:rsidR="00765554" w:rsidRDefault="00765554" w:rsidP="00765554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SimSun" w:hAnsiTheme="minorHAnsi"/>
          <w:i/>
          <w:iCs/>
          <w:color w:val="000000"/>
          <w:sz w:val="20"/>
          <w:lang w:val="en-US" w:eastAsia="zh-CN"/>
        </w:rPr>
        <w:t>People’s Republic of China</w:t>
      </w:r>
    </w:p>
    <w:p w14:paraId="768BFB13" w14:textId="77777777" w:rsidR="00765554" w:rsidRDefault="00765554" w:rsidP="00765554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bookmarkStart w:id="11" w:name="OLE_LINK7"/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bookmarkEnd w:id="11"/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leiwuhao@njust.edu.cn</w:t>
      </w:r>
    </w:p>
    <w:bookmarkEnd w:id="10"/>
    <w:p w14:paraId="732BEF4D" w14:textId="77777777" w:rsidR="00765554" w:rsidRDefault="00765554" w:rsidP="00765554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Highlights</w:t>
      </w:r>
    </w:p>
    <w:p w14:paraId="77885049" w14:textId="77777777" w:rsidR="00765554" w:rsidRDefault="00765554" w:rsidP="00765554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Detection of </w:t>
      </w:r>
      <w:bookmarkStart w:id="12" w:name="OLE_LINK6"/>
      <w:r>
        <w:rPr>
          <w:rFonts w:asciiTheme="minorHAnsi" w:hAnsiTheme="minorHAnsi"/>
        </w:rPr>
        <w:t>2, 4-dinitroanisole</w:t>
      </w:r>
      <w:bookmarkEnd w:id="12"/>
      <w:r>
        <w:rPr>
          <w:rFonts w:asciiTheme="minorHAnsi" w:hAnsiTheme="minorHAnsi"/>
          <w:lang w:eastAsia="zh-CN"/>
        </w:rPr>
        <w:t xml:space="preserve"> </w:t>
      </w:r>
      <w:r>
        <w:rPr>
          <w:rFonts w:asciiTheme="minorHAnsi" w:hAnsiTheme="minorHAnsi"/>
        </w:rPr>
        <w:t xml:space="preserve">by the </w:t>
      </w:r>
      <w:r>
        <w:rPr>
          <w:rFonts w:asciiTheme="minorHAnsi" w:eastAsia="SimSun" w:hAnsiTheme="minorHAnsi"/>
          <w:lang w:eastAsia="zh-CN"/>
        </w:rPr>
        <w:t>e</w:t>
      </w:r>
      <w:r>
        <w:rPr>
          <w:rFonts w:asciiTheme="minorHAnsi" w:hAnsiTheme="minorHAnsi"/>
        </w:rPr>
        <w:t>lectrochemical method for the first time.</w:t>
      </w:r>
    </w:p>
    <w:p w14:paraId="437CEF57" w14:textId="77777777" w:rsidR="00765554" w:rsidRDefault="00765554" w:rsidP="00765554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lang w:eastAsia="zh-CN"/>
        </w:rPr>
        <w:t xml:space="preserve">Construct a sensor based on </w:t>
      </w:r>
      <w:r>
        <w:rPr>
          <w:rFonts w:asciiTheme="minorHAnsi" w:hAnsiTheme="minorHAnsi"/>
          <w:lang w:val="en-GB" w:eastAsia="zh-CN"/>
        </w:rPr>
        <w:t>electrochemical reduced graphene oxide</w:t>
      </w:r>
      <w:r>
        <w:rPr>
          <w:rFonts w:asciiTheme="minorHAnsi" w:hAnsiTheme="minorHAnsi"/>
        </w:rPr>
        <w:t xml:space="preserve">–multiwalled carbon nanotubes nanocomposite. </w:t>
      </w:r>
    </w:p>
    <w:p w14:paraId="2AF6A8F6" w14:textId="77777777" w:rsidR="00765554" w:rsidRDefault="00765554" w:rsidP="00765554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Facile, cost-effective, and rapid manufacturing route.</w:t>
      </w:r>
    </w:p>
    <w:p w14:paraId="53BC9C5D" w14:textId="77777777" w:rsidR="00765554" w:rsidRDefault="00765554" w:rsidP="00765554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05C78211" w14:textId="77777777" w:rsidR="00765554" w:rsidRDefault="00765554" w:rsidP="00765554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1D57754" w14:textId="77777777" w:rsidR="00765554" w:rsidRDefault="00765554" w:rsidP="0076555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13" w:name="OLE_LINK22"/>
      <w:bookmarkStart w:id="14" w:name="OLE_LINK21"/>
      <w:bookmarkStart w:id="15" w:name="OLE_LINK19"/>
      <w:bookmarkStart w:id="16" w:name="OLE_LINK18"/>
      <w:bookmarkStart w:id="17" w:name="OLE_LINK17"/>
      <w:bookmarkStart w:id="18" w:name="OLE_LINK16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2, 4-Dinitroanisole</w:t>
      </w:r>
      <w:bookmarkEnd w:id="13"/>
      <w:bookmarkEnd w:id="14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(DNAN) as a low sensitivity melt-cast formulation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lang w:val="en-US" w:eastAsia="zh-CN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promising replacement for 2, 4, 6-trinitrotoluene (TNT)</w:t>
      </w:r>
      <w:bookmarkEnd w:id="15"/>
      <w:bookmarkEnd w:id="16"/>
      <w:bookmarkEnd w:id="17"/>
      <w:bookmarkEnd w:id="18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is reported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bookmarkStart w:id="19" w:name="OLE_LINK3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DNAN</w:t>
      </w:r>
      <w:bookmarkEnd w:id="19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metabolized to 2, 4-dinitrophenol (2, 4-DNP) in the body, which is a chemical with high acute and chronic toxici</w:t>
      </w:r>
      <w:r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ty</w:t>
      </w:r>
      <w:r>
        <w:rPr>
          <w:rFonts w:asciiTheme="minorHAnsi" w:eastAsia="SimSun" w:hAnsiTheme="minorHAnsi"/>
          <w:color w:val="000000" w:themeColor="text1"/>
          <w:sz w:val="22"/>
          <w:szCs w:val="22"/>
          <w:vertAlign w:val="superscript"/>
          <w:lang w:val="en-US" w:eastAsia="zh-CN"/>
        </w:rPr>
        <w:t>[1, 2]</w:t>
      </w:r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>. Graphene is a two-dimensional material with a single layer of carbon atoms tightly arranged honeycomb lattice</w:t>
      </w:r>
      <w:r>
        <w:rPr>
          <w:rFonts w:asciiTheme="minorHAnsi" w:eastAsia="SimSun" w:hAnsiTheme="minorHAnsi"/>
          <w:color w:val="000000" w:themeColor="text1"/>
          <w:sz w:val="22"/>
          <w:szCs w:val="22"/>
          <w:vertAlign w:val="superscript"/>
          <w:lang w:val="en-US" w:eastAsia="zh-CN"/>
        </w:rPr>
        <w:t>[3]</w:t>
      </w:r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 xml:space="preserve">. The conductivity of the electrochemical reduced graphene </w:t>
      </w:r>
      <w:bookmarkStart w:id="20" w:name="OLE_LINK12"/>
      <w:bookmarkStart w:id="21" w:name="OLE_LINK11"/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>oxide</w:t>
      </w:r>
      <w:bookmarkEnd w:id="20"/>
      <w:bookmarkEnd w:id="21"/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 xml:space="preserve"> (ErGO) is higher than that of graphene oxide</w:t>
      </w:r>
      <w:r>
        <w:rPr>
          <w:rFonts w:asciiTheme="minorHAnsi" w:eastAsia="SimSun" w:hAnsiTheme="minorHAnsi"/>
          <w:color w:val="000000" w:themeColor="text1"/>
          <w:sz w:val="22"/>
          <w:szCs w:val="22"/>
          <w:vertAlign w:val="superscript"/>
          <w:lang w:val="en-US" w:eastAsia="zh-CN"/>
        </w:rPr>
        <w:t>[4]</w:t>
      </w:r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>. Carbon nanotube is a kind of one-dimensional material, which is made of single-layer graphene reel</w:t>
      </w:r>
      <w:r>
        <w:rPr>
          <w:rFonts w:asciiTheme="minorHAnsi" w:eastAsia="SimSun" w:hAnsiTheme="minorHAnsi"/>
          <w:color w:val="000000" w:themeColor="text1"/>
          <w:sz w:val="22"/>
          <w:szCs w:val="22"/>
          <w:vertAlign w:val="superscript"/>
          <w:lang w:val="en-US" w:eastAsia="zh-CN"/>
        </w:rPr>
        <w:t>[5]</w:t>
      </w:r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 xml:space="preserve">. The combination of the two materials not only preserves their respective properties, but also increases the energy transfer </w:t>
      </w:r>
      <w:bookmarkStart w:id="22" w:name="OLE_LINK8"/>
      <w:bookmarkStart w:id="23" w:name="OLE_LINK4"/>
      <w:bookmarkStart w:id="24" w:name="OLE_LINK1"/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>force</w:t>
      </w:r>
      <w:bookmarkEnd w:id="22"/>
      <w:bookmarkEnd w:id="23"/>
      <w:bookmarkEnd w:id="24"/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 xml:space="preserve"> of the electron and the binding sites to the electrically active substance</w:t>
      </w:r>
      <w:r>
        <w:rPr>
          <w:rFonts w:asciiTheme="minorHAnsi" w:eastAsia="SimSun" w:hAnsiTheme="minorHAnsi"/>
          <w:color w:val="000000" w:themeColor="text1"/>
          <w:sz w:val="22"/>
          <w:szCs w:val="22"/>
          <w:vertAlign w:val="superscript"/>
          <w:lang w:val="en-US" w:eastAsia="zh-CN"/>
        </w:rPr>
        <w:t>[6]</w:t>
      </w:r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 xml:space="preserve">. The synergistic effect of </w:t>
      </w:r>
      <w:bookmarkStart w:id="25" w:name="OLE_LINK26"/>
      <w:bookmarkStart w:id="26" w:name="OLE_LINK25"/>
      <w:bookmarkStart w:id="27" w:name="OLE_LINK24"/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 xml:space="preserve">ErGO </w:t>
      </w:r>
      <w:bookmarkEnd w:id="25"/>
      <w:bookmarkEnd w:id="26"/>
      <w:bookmarkEnd w:id="27"/>
      <w:r>
        <w:rPr>
          <w:rFonts w:asciiTheme="minorHAnsi" w:eastAsia="SimSun" w:hAnsiTheme="minorHAnsi"/>
          <w:color w:val="000000" w:themeColor="text1"/>
          <w:sz w:val="22"/>
          <w:szCs w:val="22"/>
          <w:lang w:val="en-US" w:eastAsia="zh-CN"/>
        </w:rPr>
        <w:t>and multiwalled carbon nanotubes (MWCNTs) obviously increases the catalytic activity for DNAN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. In this work, a novel electrochemical sensor was developed based on </w:t>
      </w:r>
      <w:bookmarkStart w:id="28" w:name="OLE_LINK14"/>
      <w:bookmarkStart w:id="29" w:name="OLE_LINK13"/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ErGO</w:t>
      </w:r>
      <w:bookmarkEnd w:id="28"/>
      <w:bookmarkEnd w:id="29"/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/</w:t>
      </w:r>
      <w:bookmarkStart w:id="30" w:name="OLE_LINK2"/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MWCNTs</w:t>
      </w:r>
      <w:bookmarkEnd w:id="30"/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 to detect DNAN by linear sweep stripping voltammetry (LSSV).</w:t>
      </w:r>
    </w:p>
    <w:p w14:paraId="054FB15A" w14:textId="77777777" w:rsidR="00765554" w:rsidRDefault="00765554" w:rsidP="0076555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D538962" w14:textId="77777777" w:rsidR="00765554" w:rsidRDefault="00765554" w:rsidP="0076555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</w:pP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prepared GO/MWCNT/GCE was electroreduced to obtain ErGO/MWCNTs/GCE by cyclic voltammetry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Sensitivity of the sensor was quantified through the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 xml:space="preserve"> LSSV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using electrochemical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workstation. Measurements were taken at a constant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potential of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>-0.4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 and in 0.1 M PBS (pH = 7.0, containing 0.1 M NaCl)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>.</w:t>
      </w:r>
    </w:p>
    <w:p w14:paraId="68CA5D93" w14:textId="77777777" w:rsidR="00765554" w:rsidRDefault="00765554" w:rsidP="0076555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674BC9A" w14:textId="77777777" w:rsidR="00765554" w:rsidRDefault="00765554" w:rsidP="0076555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 xml:space="preserve">Experimental conditions are optimized, such 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accumulation time</w:t>
      </w:r>
      <w:r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 xml:space="preserve">and accumulation potential. 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Under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optimal experimental conditions,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 as depicted in Figure 1, the current linearly increased with incremental DNAN concentration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 0.1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30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µM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, and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 of detection (LOD) 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was calculated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0.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084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µM</w:t>
      </w:r>
      <w:r>
        <w:rPr>
          <w:rFonts w:asciiTheme="minorHAnsi" w:eastAsia="MS PGothic" w:hAnsiTheme="minorHAnsi" w:hint="eastAsia"/>
          <w:color w:val="000000"/>
          <w:sz w:val="22"/>
          <w:szCs w:val="22"/>
          <w:lang w:val="en-US" w:eastAsia="zh-CN"/>
        </w:rPr>
        <w:t>（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  <w:t>S/N = 3</w:t>
      </w:r>
      <w:r>
        <w:rPr>
          <w:rFonts w:asciiTheme="minorHAnsi" w:eastAsia="MS PGothic" w:hAnsiTheme="minorHAnsi" w:hint="eastAsia"/>
          <w:color w:val="000000"/>
          <w:sz w:val="22"/>
          <w:szCs w:val="22"/>
          <w:lang w:val="en-US" w:eastAsia="zh-CN"/>
        </w:rPr>
        <w:t>）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 </w:t>
      </w:r>
    </w:p>
    <w:p w14:paraId="37741E83" w14:textId="77777777" w:rsidR="00765554" w:rsidRDefault="00765554" w:rsidP="00765554">
      <w:pPr>
        <w:snapToGrid w:val="0"/>
        <w:spacing w:after="120"/>
        <w:jc w:val="center"/>
        <w:rPr>
          <w:rFonts w:asciiTheme="minorHAnsi" w:eastAsia="SimSun" w:hAnsiTheme="minorHAnsi"/>
          <w:color w:val="000000"/>
          <w:lang w:eastAsia="zh-CN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72B48D5" wp14:editId="6295F3BC">
            <wp:extent cx="5579745" cy="182816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7" r="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54C3" w14:textId="77777777" w:rsidR="00765554" w:rsidRDefault="00765554" w:rsidP="00765554">
      <w:pPr>
        <w:snapToGrid w:val="0"/>
        <w:jc w:val="center"/>
        <w:rPr>
          <w:rFonts w:asciiTheme="minorHAnsi" w:eastAsia="SimSun" w:hAnsiTheme="minorHAnsi"/>
          <w:color w:val="000000"/>
          <w:szCs w:val="18"/>
          <w:lang w:val="en-US" w:eastAsia="zh-CN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</w:t>
      </w:r>
      <w:r>
        <w:rPr>
          <w:rFonts w:asciiTheme="minorHAnsi" w:eastAsia="SimSun" w:hAnsiTheme="minorHAnsi"/>
          <w:color w:val="000000"/>
          <w:szCs w:val="18"/>
          <w:lang w:val="en-US" w:eastAsia="zh-CN"/>
        </w:rPr>
        <w:t xml:space="preserve">LSSV curves of the sensor in the presence of DNAN with different concentrations (A). </w:t>
      </w:r>
    </w:p>
    <w:p w14:paraId="6C97C07D" w14:textId="77777777" w:rsidR="00765554" w:rsidRDefault="00765554" w:rsidP="00765554">
      <w:pPr>
        <w:snapToGrid w:val="0"/>
        <w:jc w:val="center"/>
        <w:rPr>
          <w:rFonts w:asciiTheme="minorHAnsi" w:eastAsia="SimSun" w:hAnsiTheme="minorHAnsi"/>
          <w:color w:val="000000"/>
          <w:szCs w:val="18"/>
          <w:lang w:val="en-US" w:eastAsia="zh-CN"/>
        </w:rPr>
      </w:pPr>
      <w:r>
        <w:rPr>
          <w:rFonts w:asciiTheme="minorHAnsi" w:eastAsia="SimSun" w:hAnsiTheme="minorHAnsi"/>
          <w:color w:val="000000"/>
          <w:szCs w:val="18"/>
          <w:lang w:val="en-US" w:eastAsia="zh-CN"/>
        </w:rPr>
        <w:t>The calibration curves for DNAN detection about peak α (B) and peak β (C).</w:t>
      </w:r>
    </w:p>
    <w:p w14:paraId="14C05ACC" w14:textId="77777777" w:rsidR="00765554" w:rsidRDefault="00765554" w:rsidP="00765554">
      <w:pPr>
        <w:snapToGrid w:val="0"/>
        <w:spacing w:after="120"/>
        <w:jc w:val="center"/>
        <w:rPr>
          <w:rFonts w:asciiTheme="minorHAnsi" w:eastAsia="SimSun" w:hAnsiTheme="minorHAnsi"/>
          <w:color w:val="000000"/>
          <w:szCs w:val="18"/>
          <w:lang w:val="en-US" w:eastAsia="zh-CN"/>
        </w:rPr>
      </w:pPr>
      <w:r>
        <w:rPr>
          <w:rFonts w:asciiTheme="minorHAnsi" w:eastAsia="SimSun" w:hAnsiTheme="minorHAnsi"/>
          <w:color w:val="000000"/>
          <w:szCs w:val="18"/>
          <w:lang w:val="en-US" w:eastAsia="zh-CN"/>
        </w:rPr>
        <w:t>DNAN concentrations: 0.1, 0.2, 0.3, 0.5, 1.0, 2.0, 3.0, 5.0, 7.0, 10.0, 15. 0, 20.0, 25.0, 30.0 μM.</w:t>
      </w:r>
    </w:p>
    <w:p w14:paraId="3268006E" w14:textId="77777777" w:rsidR="00765554" w:rsidRDefault="00765554" w:rsidP="0076555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AE537E7" w14:textId="77777777" w:rsidR="00765554" w:rsidRDefault="00765554" w:rsidP="00765554">
      <w:pPr>
        <w:snapToGrid w:val="0"/>
        <w:spacing w:after="120"/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</w:pP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A novel efficient electrochemical sensor, </w:t>
      </w:r>
      <w:bookmarkStart w:id="31" w:name="OLE_LINK5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ErGO/MWCNTs</w:t>
      </w:r>
      <w:bookmarkEnd w:id="31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/GCE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, was successfully constructed to analyse the low concentration levels of DNAN. The sensor got high sensitivity due to the excellent catalytic activity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ErGO/MWCNTs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 nanocomposite.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sensor was successfully applied to determine DNAN in water samples with the advantages of anti-interference performance,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good reproducibility, 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acceptable stability</w:t>
      </w:r>
      <w:r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.</w:t>
      </w:r>
    </w:p>
    <w:p w14:paraId="269E7EBF" w14:textId="77777777" w:rsidR="00765554" w:rsidRDefault="00765554" w:rsidP="00765554">
      <w:pPr>
        <w:snapToGrid w:val="0"/>
        <w:spacing w:before="240" w:line="300" w:lineRule="auto"/>
        <w:rPr>
          <w:rFonts w:eastAsia="SimSun" w:cs="Arial"/>
          <w:color w:val="222222"/>
          <w:sz w:val="19"/>
          <w:szCs w:val="19"/>
          <w:shd w:val="clear" w:color="auto" w:fill="FFFFFF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29713975" w14:textId="77777777" w:rsidR="00765554" w:rsidRDefault="00765554" w:rsidP="00765554">
      <w:pPr>
        <w:pStyle w:val="FirstParagraph"/>
        <w:numPr>
          <w:ilvl w:val="0"/>
          <w:numId w:val="19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N.N. </w:t>
      </w:r>
      <w:r>
        <w:rPr>
          <w:rFonts w:asciiTheme="minorHAnsi" w:hAnsiTheme="minorHAnsi"/>
          <w:color w:val="000000"/>
        </w:rPr>
        <w:t>Perreault</w:t>
      </w:r>
      <w:r>
        <w:rPr>
          <w:rFonts w:asciiTheme="minorHAnsi" w:hAnsiTheme="minorHAnsi"/>
          <w:color w:val="000000"/>
          <w:lang w:eastAsia="zh-CN"/>
        </w:rPr>
        <w:t xml:space="preserve">, D. </w:t>
      </w:r>
      <w:r>
        <w:rPr>
          <w:rFonts w:asciiTheme="minorHAnsi" w:hAnsiTheme="minorHAnsi"/>
          <w:color w:val="000000"/>
        </w:rPr>
        <w:t>Manno</w:t>
      </w:r>
      <w:r>
        <w:rPr>
          <w:rFonts w:asciiTheme="minorHAnsi" w:hAnsiTheme="minorHAnsi"/>
          <w:color w:val="000000"/>
          <w:lang w:eastAsia="zh-CN"/>
        </w:rPr>
        <w:t xml:space="preserve">, A. </w:t>
      </w:r>
      <w:r>
        <w:rPr>
          <w:rFonts w:asciiTheme="minorHAnsi" w:hAnsiTheme="minorHAnsi"/>
          <w:color w:val="000000"/>
        </w:rPr>
        <w:t>Halasz</w:t>
      </w:r>
      <w:r>
        <w:rPr>
          <w:rFonts w:asciiTheme="minorHAnsi" w:hAnsiTheme="minorHAnsi"/>
          <w:color w:val="000000"/>
          <w:lang w:eastAsia="zh-CN"/>
        </w:rPr>
        <w:t xml:space="preserve">, S. Thiboutot, G. Ampleman, J. Hawari. </w:t>
      </w:r>
      <w:bookmarkStart w:id="32" w:name="OLE_LINK79"/>
      <w:bookmarkStart w:id="33" w:name="OLE_LINK68"/>
      <w:bookmarkStart w:id="34" w:name="OLE_LINK67"/>
      <w:r>
        <w:rPr>
          <w:rFonts w:asciiTheme="minorHAnsi" w:hAnsiTheme="minorHAnsi"/>
          <w:color w:val="000000"/>
        </w:rPr>
        <w:t>Biodegradation</w:t>
      </w:r>
      <w:bookmarkEnd w:id="32"/>
      <w:bookmarkEnd w:id="33"/>
      <w:bookmarkEnd w:id="34"/>
      <w:r>
        <w:rPr>
          <w:rFonts w:asciiTheme="minorHAnsi" w:hAnsiTheme="minorHAnsi"/>
          <w:color w:val="000000"/>
          <w:lang w:eastAsia="zh-CN"/>
        </w:rPr>
        <w:t>. 23 (2012) 287-295.</w:t>
      </w:r>
    </w:p>
    <w:p w14:paraId="77B60FB2" w14:textId="77777777" w:rsidR="00765554" w:rsidRDefault="00765554" w:rsidP="00765554">
      <w:pPr>
        <w:pStyle w:val="FirstParagraph"/>
        <w:numPr>
          <w:ilvl w:val="0"/>
          <w:numId w:val="19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V.M. Boddu, K. Abburi, S.W. Maloney, R. Damavarapu. </w:t>
      </w:r>
      <w:bookmarkStart w:id="35" w:name="OLE_LINK70"/>
      <w:bookmarkStart w:id="36" w:name="OLE_LINK69"/>
      <w:r>
        <w:rPr>
          <w:rFonts w:asciiTheme="minorHAnsi" w:hAnsiTheme="minorHAnsi"/>
          <w:color w:val="000000"/>
          <w:lang w:val="en-GB" w:eastAsia="zh-CN"/>
        </w:rPr>
        <w:t>J. Chem. Eng. Data</w:t>
      </w:r>
      <w:bookmarkEnd w:id="35"/>
      <w:bookmarkEnd w:id="36"/>
      <w:r>
        <w:rPr>
          <w:rFonts w:asciiTheme="minorHAnsi" w:hAnsiTheme="minorHAnsi"/>
          <w:color w:val="000000"/>
          <w:lang w:eastAsia="zh-CN"/>
        </w:rPr>
        <w:t>. 53 (2008) 1120-1125.</w:t>
      </w:r>
    </w:p>
    <w:p w14:paraId="1E8529D6" w14:textId="77777777" w:rsidR="00765554" w:rsidRDefault="00765554" w:rsidP="00765554">
      <w:pPr>
        <w:pStyle w:val="FirstParagraph"/>
        <w:numPr>
          <w:ilvl w:val="0"/>
          <w:numId w:val="19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V. Singh, D. Joung, L. Zhai, S. Das, S. I. Khondaker, S. Seal. </w:t>
      </w:r>
      <w:bookmarkStart w:id="37" w:name="OLE_LINK72"/>
      <w:bookmarkStart w:id="38" w:name="OLE_LINK71"/>
      <w:r>
        <w:rPr>
          <w:rFonts w:asciiTheme="minorHAnsi" w:hAnsiTheme="minorHAnsi"/>
          <w:color w:val="000000"/>
          <w:lang w:val="en-GB" w:eastAsia="zh-CN"/>
        </w:rPr>
        <w:t>Prog. Mater. Sci</w:t>
      </w:r>
      <w:bookmarkEnd w:id="37"/>
      <w:bookmarkEnd w:id="38"/>
      <w:r>
        <w:rPr>
          <w:rFonts w:asciiTheme="minorHAnsi" w:hAnsiTheme="minorHAnsi"/>
          <w:color w:val="000000"/>
          <w:lang w:eastAsia="zh-CN"/>
        </w:rPr>
        <w:t xml:space="preserve">. 56 (2011) 1178-1271. </w:t>
      </w:r>
    </w:p>
    <w:p w14:paraId="75A2A81E" w14:textId="77777777" w:rsidR="00765554" w:rsidRDefault="00765554" w:rsidP="00765554">
      <w:pPr>
        <w:pStyle w:val="FirstParagraph"/>
        <w:numPr>
          <w:ilvl w:val="0"/>
          <w:numId w:val="19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M. Pumera. </w:t>
      </w:r>
      <w:bookmarkStart w:id="39" w:name="OLE_LINK78"/>
      <w:bookmarkStart w:id="40" w:name="OLE_LINK77"/>
      <w:r>
        <w:rPr>
          <w:rFonts w:asciiTheme="minorHAnsi" w:hAnsiTheme="minorHAnsi"/>
          <w:color w:val="000000"/>
          <w:lang w:val="en-GB" w:eastAsia="zh-CN"/>
        </w:rPr>
        <w:t>Chem. Soc. Rev</w:t>
      </w:r>
      <w:bookmarkEnd w:id="39"/>
      <w:bookmarkEnd w:id="40"/>
      <w:r>
        <w:rPr>
          <w:rFonts w:asciiTheme="minorHAnsi" w:hAnsiTheme="minorHAnsi"/>
          <w:color w:val="000000"/>
          <w:lang w:eastAsia="zh-CN"/>
        </w:rPr>
        <w:t>. 39 (2010) 4146-4157.</w:t>
      </w:r>
    </w:p>
    <w:p w14:paraId="7C187BA2" w14:textId="77777777" w:rsidR="00A037A7" w:rsidRDefault="00765554" w:rsidP="00A037A7">
      <w:pPr>
        <w:pStyle w:val="FirstParagraph"/>
        <w:numPr>
          <w:ilvl w:val="0"/>
          <w:numId w:val="19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T. Nosaka, R. S. Lankone, Y. Bi, D. H. Fairbrother, P.Westerhoff, P. Herckes. </w:t>
      </w:r>
      <w:bookmarkStart w:id="41" w:name="OLE_LINK74"/>
      <w:bookmarkStart w:id="42" w:name="OLE_LINK73"/>
      <w:r>
        <w:rPr>
          <w:rFonts w:asciiTheme="minorHAnsi" w:hAnsiTheme="minorHAnsi"/>
          <w:color w:val="000000"/>
          <w:lang w:val="en-GB" w:eastAsia="zh-CN"/>
        </w:rPr>
        <w:t>Anal. Methods</w:t>
      </w:r>
      <w:bookmarkEnd w:id="41"/>
      <w:bookmarkEnd w:id="42"/>
      <w:r>
        <w:rPr>
          <w:rFonts w:asciiTheme="minorHAnsi" w:hAnsiTheme="minorHAnsi"/>
          <w:color w:val="000000"/>
          <w:lang w:eastAsia="zh-CN"/>
        </w:rPr>
        <w:t>. 10 (2018) 1032-1037.</w:t>
      </w:r>
      <w:bookmarkStart w:id="43" w:name="OLE_LINK23"/>
    </w:p>
    <w:p w14:paraId="524BF60E" w14:textId="77777777" w:rsidR="00765554" w:rsidRPr="00A037A7" w:rsidRDefault="00765554" w:rsidP="00A037A7">
      <w:pPr>
        <w:pStyle w:val="FirstParagraph"/>
        <w:numPr>
          <w:ilvl w:val="0"/>
          <w:numId w:val="19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eastAsia="zh-CN"/>
        </w:rPr>
      </w:pPr>
      <w:r w:rsidRPr="00A037A7">
        <w:rPr>
          <w:rFonts w:asciiTheme="minorHAnsi" w:hAnsiTheme="minorHAnsi"/>
          <w:color w:val="000000"/>
          <w:lang w:eastAsia="zh-CN"/>
        </w:rPr>
        <w:t xml:space="preserve">Y. Vlamidis, I. Gualandi, D. Tonelli. </w:t>
      </w:r>
      <w:bookmarkStart w:id="44" w:name="OLE_LINK76"/>
      <w:bookmarkStart w:id="45" w:name="OLE_LINK75"/>
      <w:r w:rsidRPr="00A037A7">
        <w:rPr>
          <w:rFonts w:asciiTheme="minorHAnsi" w:hAnsiTheme="minorHAnsi"/>
          <w:color w:val="000000"/>
          <w:lang w:eastAsia="zh-CN"/>
        </w:rPr>
        <w:t>J. Electroanal. Chem</w:t>
      </w:r>
      <w:bookmarkEnd w:id="44"/>
      <w:bookmarkEnd w:id="45"/>
      <w:r w:rsidRPr="00A037A7">
        <w:rPr>
          <w:rFonts w:asciiTheme="minorHAnsi" w:hAnsiTheme="minorHAnsi"/>
          <w:color w:val="000000"/>
          <w:lang w:eastAsia="zh-CN"/>
        </w:rPr>
        <w:t>. 799 (2017) 285-292</w:t>
      </w:r>
      <w:bookmarkEnd w:id="43"/>
      <w:r w:rsidRPr="00A037A7">
        <w:rPr>
          <w:rFonts w:asciiTheme="minorHAnsi" w:hAnsiTheme="minorHAnsi"/>
          <w:color w:val="000000"/>
          <w:lang w:eastAsia="zh-CN"/>
        </w:rPr>
        <w:t>.</w:t>
      </w:r>
      <w:r w:rsidRPr="00A037A7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</w:p>
    <w:sectPr w:rsidR="00765554" w:rsidRPr="00A037A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0BAE" w14:textId="77777777" w:rsidR="002138E0" w:rsidRDefault="002138E0" w:rsidP="004F5E36">
      <w:r>
        <w:separator/>
      </w:r>
    </w:p>
  </w:endnote>
  <w:endnote w:type="continuationSeparator" w:id="0">
    <w:p w14:paraId="2E8CA0A3" w14:textId="77777777" w:rsidR="002138E0" w:rsidRDefault="002138E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FB8F" w14:textId="77777777" w:rsidR="002138E0" w:rsidRDefault="002138E0" w:rsidP="004F5E36">
      <w:r>
        <w:separator/>
      </w:r>
    </w:p>
  </w:footnote>
  <w:footnote w:type="continuationSeparator" w:id="0">
    <w:p w14:paraId="34E9EAA7" w14:textId="77777777" w:rsidR="002138E0" w:rsidRDefault="002138E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2949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C107BE" wp14:editId="6E52C04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33923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7A6CC0A" wp14:editId="54EE85A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93B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8A58C5" wp14:editId="1F7C562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E1289CE" w14:textId="77777777" w:rsidR="00704BDF" w:rsidRDefault="00704BDF">
    <w:pPr>
      <w:pStyle w:val="Intestazione"/>
    </w:pPr>
  </w:p>
  <w:p w14:paraId="383D71C3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24A8" wp14:editId="46E7ED6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8B882A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2299C"/>
    <w:rsid w:val="0013121F"/>
    <w:rsid w:val="00134DE4"/>
    <w:rsid w:val="00150E59"/>
    <w:rsid w:val="00184AD6"/>
    <w:rsid w:val="001A445C"/>
    <w:rsid w:val="001A7AEB"/>
    <w:rsid w:val="001B65C1"/>
    <w:rsid w:val="001C4D69"/>
    <w:rsid w:val="001C684B"/>
    <w:rsid w:val="001D53FC"/>
    <w:rsid w:val="001F2EC7"/>
    <w:rsid w:val="002065DB"/>
    <w:rsid w:val="002138E0"/>
    <w:rsid w:val="002447EF"/>
    <w:rsid w:val="00251550"/>
    <w:rsid w:val="0027221A"/>
    <w:rsid w:val="00275B61"/>
    <w:rsid w:val="002D1F12"/>
    <w:rsid w:val="003009B7"/>
    <w:rsid w:val="0030469C"/>
    <w:rsid w:val="003426A1"/>
    <w:rsid w:val="003723D4"/>
    <w:rsid w:val="003A7D1C"/>
    <w:rsid w:val="0046164A"/>
    <w:rsid w:val="00462DCD"/>
    <w:rsid w:val="004D1162"/>
    <w:rsid w:val="004D5312"/>
    <w:rsid w:val="004E4DD6"/>
    <w:rsid w:val="004F5E36"/>
    <w:rsid w:val="005119A5"/>
    <w:rsid w:val="00512D5B"/>
    <w:rsid w:val="005278B7"/>
    <w:rsid w:val="005346C8"/>
    <w:rsid w:val="005535C7"/>
    <w:rsid w:val="00566BB0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B194C"/>
    <w:rsid w:val="006C5579"/>
    <w:rsid w:val="00704BDF"/>
    <w:rsid w:val="00736B13"/>
    <w:rsid w:val="007447F3"/>
    <w:rsid w:val="00764253"/>
    <w:rsid w:val="00765554"/>
    <w:rsid w:val="007661C8"/>
    <w:rsid w:val="007D52CD"/>
    <w:rsid w:val="00803981"/>
    <w:rsid w:val="00813288"/>
    <w:rsid w:val="008168FC"/>
    <w:rsid w:val="008479A2"/>
    <w:rsid w:val="0087637F"/>
    <w:rsid w:val="008969A2"/>
    <w:rsid w:val="008A1512"/>
    <w:rsid w:val="008D0BEB"/>
    <w:rsid w:val="008E566E"/>
    <w:rsid w:val="00901EB6"/>
    <w:rsid w:val="009450CE"/>
    <w:rsid w:val="0095164B"/>
    <w:rsid w:val="00996483"/>
    <w:rsid w:val="009D27BD"/>
    <w:rsid w:val="009E788A"/>
    <w:rsid w:val="00A037A7"/>
    <w:rsid w:val="00A1763D"/>
    <w:rsid w:val="00A17CEC"/>
    <w:rsid w:val="00A27EF0"/>
    <w:rsid w:val="00A76EFC"/>
    <w:rsid w:val="00A80B6D"/>
    <w:rsid w:val="00A9626B"/>
    <w:rsid w:val="00A97F29"/>
    <w:rsid w:val="00AB0964"/>
    <w:rsid w:val="00AE377D"/>
    <w:rsid w:val="00B61DBF"/>
    <w:rsid w:val="00BC30C9"/>
    <w:rsid w:val="00BE3E58"/>
    <w:rsid w:val="00BF6D76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52855"/>
    <w:rsid w:val="00D568B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4433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qFormat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qFormat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qFormat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E5CD-8BFD-413F-9163-9CCB66CC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11</cp:revision>
  <cp:lastPrinted>2015-05-12T18:31:00Z</cp:lastPrinted>
  <dcterms:created xsi:type="dcterms:W3CDTF">2018-05-26T08:49:00Z</dcterms:created>
  <dcterms:modified xsi:type="dcterms:W3CDTF">2019-08-21T08:34:00Z</dcterms:modified>
</cp:coreProperties>
</file>