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D5E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B659DD6" w14:textId="77777777" w:rsidR="00432224" w:rsidRDefault="00432224" w:rsidP="00432224">
      <w:pPr>
        <w:pStyle w:val="CETBodytextBold"/>
        <w:jc w:val="center"/>
        <w:rPr>
          <w:rFonts w:asciiTheme="minorHAnsi" w:hAnsiTheme="minorHAnsi"/>
          <w:sz w:val="28"/>
          <w:szCs w:val="28"/>
        </w:rPr>
      </w:pPr>
      <w:r w:rsidRPr="00432224">
        <w:rPr>
          <w:rFonts w:asciiTheme="minorHAnsi" w:hAnsiTheme="minorHAnsi"/>
          <w:sz w:val="28"/>
          <w:szCs w:val="28"/>
        </w:rPr>
        <w:t>A new methodology for the process monitoring of enzymatic proteolysis by size-exclusion chromatography</w:t>
      </w:r>
    </w:p>
    <w:p w14:paraId="7464DBB4" w14:textId="77777777" w:rsidR="00432224" w:rsidRPr="00A16DE3" w:rsidRDefault="00432224" w:rsidP="00432224"/>
    <w:p w14:paraId="5C4D74BC" w14:textId="77777777" w:rsidR="00432224" w:rsidRPr="00EF2D5C" w:rsidRDefault="00432224" w:rsidP="00432224">
      <w:pPr>
        <w:pStyle w:val="Sous-titre"/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EF2D5C">
        <w:rPr>
          <w:rFonts w:eastAsia="Times New Roman"/>
          <w:color w:val="auto"/>
          <w:sz w:val="24"/>
          <w:szCs w:val="24"/>
          <w:u w:val="single"/>
        </w:rPr>
        <w:t>Sophie Beaubier</w:t>
      </w:r>
      <w:r w:rsidRPr="00EF2D5C">
        <w:rPr>
          <w:rFonts w:eastAsia="Times New Roman"/>
          <w:color w:val="auto"/>
          <w:sz w:val="24"/>
          <w:szCs w:val="24"/>
          <w:vertAlign w:val="superscript"/>
        </w:rPr>
        <w:t>1,2</w:t>
      </w:r>
      <w:r w:rsidRPr="00EF2D5C">
        <w:rPr>
          <w:rFonts w:eastAsia="Times New Roman"/>
          <w:color w:val="auto"/>
          <w:sz w:val="24"/>
          <w:szCs w:val="24"/>
        </w:rPr>
        <w:t>,</w:t>
      </w:r>
      <w:r w:rsidRPr="00EF2D5C">
        <w:rPr>
          <w:rFonts w:eastAsia="Times New Roman"/>
          <w:color w:val="auto"/>
          <w:sz w:val="24"/>
          <w:szCs w:val="24"/>
          <w:vertAlign w:val="superscript"/>
        </w:rPr>
        <w:t xml:space="preserve"> </w:t>
      </w:r>
      <w:r w:rsidRPr="00EF2D5C">
        <w:rPr>
          <w:rFonts w:eastAsia="Times New Roman"/>
          <w:color w:val="auto"/>
          <w:sz w:val="24"/>
          <w:szCs w:val="24"/>
        </w:rPr>
        <w:t>Irina Ioannou</w:t>
      </w:r>
      <w:r w:rsidRPr="00EF2D5C">
        <w:rPr>
          <w:rFonts w:eastAsia="Times New Roman"/>
          <w:color w:val="auto"/>
          <w:sz w:val="24"/>
          <w:szCs w:val="24"/>
          <w:vertAlign w:val="superscript"/>
        </w:rPr>
        <w:t>1</w:t>
      </w:r>
      <w:r w:rsidRPr="00EF2D5C">
        <w:rPr>
          <w:rFonts w:eastAsia="Times New Roman"/>
          <w:color w:val="auto"/>
          <w:sz w:val="24"/>
          <w:szCs w:val="24"/>
        </w:rPr>
        <w:t>, Xavier Framboisier</w:t>
      </w:r>
      <w:r w:rsidR="00852BEC">
        <w:rPr>
          <w:rFonts w:eastAsia="Times New Roman"/>
          <w:color w:val="auto"/>
          <w:sz w:val="24"/>
          <w:szCs w:val="24"/>
          <w:vertAlign w:val="superscript"/>
        </w:rPr>
        <w:t>1</w:t>
      </w:r>
      <w:r w:rsidRPr="00EF2D5C">
        <w:rPr>
          <w:rFonts w:eastAsia="Times New Roman"/>
          <w:color w:val="auto"/>
          <w:sz w:val="24"/>
          <w:szCs w:val="24"/>
        </w:rPr>
        <w:t>,</w:t>
      </w:r>
    </w:p>
    <w:p w14:paraId="22844350" w14:textId="77777777" w:rsidR="00432224" w:rsidRPr="00432224" w:rsidRDefault="00432224" w:rsidP="00432224">
      <w:pPr>
        <w:pStyle w:val="Sous-titre"/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432224">
        <w:rPr>
          <w:rFonts w:eastAsia="Times New Roman"/>
          <w:color w:val="auto"/>
          <w:sz w:val="24"/>
          <w:szCs w:val="24"/>
        </w:rPr>
        <w:t>Olivier Galet</w:t>
      </w:r>
      <w:r w:rsidR="00852BEC">
        <w:rPr>
          <w:rFonts w:eastAsia="Times New Roman"/>
          <w:color w:val="auto"/>
          <w:sz w:val="24"/>
          <w:szCs w:val="24"/>
          <w:vertAlign w:val="superscript"/>
        </w:rPr>
        <w:t>2</w:t>
      </w:r>
      <w:r w:rsidRPr="00432224">
        <w:rPr>
          <w:rFonts w:eastAsia="Times New Roman"/>
          <w:color w:val="auto"/>
          <w:sz w:val="24"/>
          <w:szCs w:val="24"/>
        </w:rPr>
        <w:t>, Romain Kapel</w:t>
      </w:r>
      <w:r w:rsidR="00852BEC">
        <w:rPr>
          <w:rFonts w:eastAsia="Times New Roman"/>
          <w:color w:val="auto"/>
          <w:sz w:val="24"/>
          <w:szCs w:val="24"/>
          <w:vertAlign w:val="superscript"/>
        </w:rPr>
        <w:t>1</w:t>
      </w:r>
      <w:r w:rsidRPr="00432224">
        <w:rPr>
          <w:rFonts w:eastAsia="Times New Roman"/>
          <w:color w:val="auto"/>
          <w:sz w:val="24"/>
          <w:szCs w:val="24"/>
        </w:rPr>
        <w:t>*</w:t>
      </w:r>
    </w:p>
    <w:p w14:paraId="471726EF" w14:textId="77777777" w:rsidR="00432224" w:rsidRPr="003A3830" w:rsidRDefault="00432224" w:rsidP="002D58B7">
      <w:pPr>
        <w:spacing w:line="240" w:lineRule="auto"/>
        <w:jc w:val="center"/>
        <w:rPr>
          <w:rFonts w:cs="Arial"/>
          <w:i/>
          <w:szCs w:val="24"/>
          <w:lang w:val="fr-FR"/>
        </w:rPr>
      </w:pPr>
    </w:p>
    <w:p w14:paraId="5E3D749E" w14:textId="77777777" w:rsidR="002D58B7" w:rsidRPr="002D58B7" w:rsidRDefault="002D58B7" w:rsidP="00852BEC">
      <w:pPr>
        <w:spacing w:after="60" w:line="240" w:lineRule="auto"/>
        <w:ind w:left="284" w:hanging="284"/>
        <w:jc w:val="center"/>
        <w:rPr>
          <w:rStyle w:val="Emphaseple"/>
          <w:rFonts w:asciiTheme="minorHAnsi" w:hAnsiTheme="minorHAnsi"/>
          <w:i w:val="0"/>
          <w:color w:val="auto"/>
          <w:sz w:val="20"/>
          <w:szCs w:val="24"/>
          <w:lang w:val="fr-FR"/>
        </w:rPr>
      </w:pPr>
      <w:r w:rsidRPr="002D58B7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 xml:space="preserve">1 </w:t>
      </w:r>
      <w:r w:rsidRPr="002D58B7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ab/>
        <w:t>Laboratoire Réactions et Génie des Procédés,</w:t>
      </w:r>
      <w:r w:rsidRPr="00131D90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 xml:space="preserve"> </w:t>
      </w:r>
      <w:r w:rsidRPr="002D58B7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>Université de Lorraine,</w:t>
      </w:r>
      <w:r w:rsidRPr="00131D90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 xml:space="preserve"> </w:t>
      </w:r>
      <w:r w:rsidRPr="002D58B7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>CNRS, LRGP, F-54000 Nancy, France</w:t>
      </w:r>
    </w:p>
    <w:p w14:paraId="76AFAA69" w14:textId="77777777" w:rsidR="002D58B7" w:rsidRPr="002D58B7" w:rsidRDefault="00852BEC" w:rsidP="002D58B7">
      <w:pPr>
        <w:spacing w:line="240" w:lineRule="auto"/>
        <w:ind w:left="284" w:hanging="284"/>
        <w:jc w:val="center"/>
        <w:rPr>
          <w:rStyle w:val="Emphaseple"/>
          <w:rFonts w:asciiTheme="minorHAnsi" w:hAnsiTheme="minorHAnsi"/>
          <w:i w:val="0"/>
          <w:color w:val="auto"/>
          <w:sz w:val="20"/>
          <w:szCs w:val="24"/>
          <w:lang w:val="fr-FR"/>
        </w:rPr>
      </w:pPr>
      <w:r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>2</w:t>
      </w:r>
      <w:r w:rsidR="002D58B7" w:rsidRPr="002D58B7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 xml:space="preserve"> </w:t>
      </w:r>
      <w:r w:rsidR="002D58B7" w:rsidRPr="002D58B7">
        <w:rPr>
          <w:rStyle w:val="Emphaseple"/>
          <w:rFonts w:asciiTheme="minorHAnsi" w:hAnsiTheme="minorHAnsi"/>
          <w:color w:val="auto"/>
          <w:sz w:val="20"/>
          <w:szCs w:val="24"/>
          <w:lang w:val="fr-FR"/>
        </w:rPr>
        <w:tab/>
        <w:t>Avril SCA, 11 rue de Monceau, F-75008 Paris, France</w:t>
      </w:r>
    </w:p>
    <w:p w14:paraId="4C297641" w14:textId="77777777" w:rsidR="002D58B7" w:rsidRPr="002D58B7" w:rsidRDefault="002D58B7" w:rsidP="002D58B7">
      <w:pPr>
        <w:spacing w:line="240" w:lineRule="auto"/>
        <w:jc w:val="center"/>
        <w:rPr>
          <w:rStyle w:val="Emphaseple"/>
          <w:rFonts w:asciiTheme="minorHAnsi" w:hAnsiTheme="minorHAnsi"/>
          <w:i w:val="0"/>
          <w:color w:val="auto"/>
          <w:sz w:val="20"/>
          <w:szCs w:val="24"/>
        </w:rPr>
      </w:pPr>
      <w:r>
        <w:rPr>
          <w:rStyle w:val="Emphaseple"/>
          <w:rFonts w:asciiTheme="minorHAnsi" w:hAnsiTheme="minorHAnsi"/>
          <w:color w:val="auto"/>
          <w:sz w:val="20"/>
          <w:szCs w:val="24"/>
        </w:rPr>
        <w:t>C</w:t>
      </w:r>
      <w:r w:rsidRPr="002D58B7">
        <w:rPr>
          <w:rStyle w:val="Emphaseple"/>
          <w:rFonts w:asciiTheme="minorHAnsi" w:hAnsiTheme="minorHAnsi"/>
          <w:color w:val="auto"/>
          <w:sz w:val="20"/>
          <w:szCs w:val="24"/>
        </w:rPr>
        <w:t>orresponding author: * romain.kapel@univ-lorraine.fr</w:t>
      </w:r>
    </w:p>
    <w:p w14:paraId="6DAA7C0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065A96F" w14:textId="77777777" w:rsidR="00432224" w:rsidRPr="00432224" w:rsidRDefault="00432224" w:rsidP="00432224">
      <w:pPr>
        <w:pStyle w:val="Sansinterlign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93"/>
        <w:jc w:val="both"/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</w:pPr>
      <w:r w:rsidRPr="00432224"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  <w:t xml:space="preserve">A method for monitoring enzymatic proteolysis by SE-HPLC is developed </w:t>
      </w:r>
    </w:p>
    <w:p w14:paraId="1721CF7C" w14:textId="77777777" w:rsidR="00432224" w:rsidRPr="00432224" w:rsidRDefault="00432224" w:rsidP="00432224">
      <w:pPr>
        <w:pStyle w:val="Sansinterlign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93"/>
        <w:jc w:val="both"/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</w:pPr>
      <w:r w:rsidRPr="00432224"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  <w:t xml:space="preserve">The method assesses protein conversion rate, peptide size and DH in a single run </w:t>
      </w:r>
    </w:p>
    <w:p w14:paraId="07217874" w14:textId="77777777" w:rsidR="00432224" w:rsidRPr="00432224" w:rsidRDefault="00432224" w:rsidP="00432224">
      <w:pPr>
        <w:pStyle w:val="Sansinterlign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93"/>
        <w:jc w:val="both"/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</w:pPr>
      <w:r w:rsidRPr="00432224"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  <w:t>The approach was tested on various proteins and hydrolysis conditions</w:t>
      </w:r>
    </w:p>
    <w:p w14:paraId="2A16BAA8" w14:textId="77777777" w:rsidR="00432224" w:rsidRPr="00432224" w:rsidRDefault="00432224" w:rsidP="00432224">
      <w:pPr>
        <w:pStyle w:val="Sansinterlign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93"/>
        <w:jc w:val="both"/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</w:pPr>
      <w:r w:rsidRPr="00432224">
        <w:rPr>
          <w:rFonts w:asciiTheme="minorHAnsi" w:eastAsia="Times New Roman" w:hAnsiTheme="minorHAnsi" w:cs="Times New Roman"/>
          <w:bCs/>
          <w:i w:val="0"/>
          <w:sz w:val="20"/>
          <w:szCs w:val="20"/>
          <w:lang w:eastAsia="en-US"/>
        </w:rPr>
        <w:t>The method is as efficiently as TNBS or pH stat methods for DH quantification</w:t>
      </w:r>
    </w:p>
    <w:p w14:paraId="45038191" w14:textId="77777777" w:rsidR="00432224" w:rsidRPr="00A15B93" w:rsidRDefault="00432224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28E7CE8" w14:textId="77777777" w:rsidR="00E02BDF" w:rsidRPr="00131D90" w:rsidRDefault="00704BDF" w:rsidP="00034AC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131D9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0C500E5" w14:textId="1DFB4A26" w:rsidR="00D57C46" w:rsidRPr="002E0883" w:rsidRDefault="00432224" w:rsidP="002E0883">
      <w:pPr>
        <w:tabs>
          <w:tab w:val="left" w:pos="2694"/>
        </w:tabs>
        <w:spacing w:after="240"/>
        <w:rPr>
          <w:rFonts w:cstheme="minorHAnsi"/>
          <w:bCs/>
          <w:iCs/>
          <w:sz w:val="24"/>
        </w:rPr>
      </w:pPr>
      <w:bookmarkStart w:id="0" w:name="_GoBack"/>
      <w:r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Enzymatic proteolysis is an industrial process used in a wide range of </w:t>
      </w:r>
      <w:r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>applications</w:t>
      </w:r>
      <w:r w:rsidR="001C2778"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 xml:space="preserve"> </w:t>
      </w:r>
      <w:r w:rsidR="00F95BD8"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>[1].</w:t>
      </w:r>
      <w:r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 xml:space="preserve"> </w:t>
      </w:r>
      <w:r w:rsidR="00FB5C46" w:rsidRPr="008416E5">
        <w:rPr>
          <w:rStyle w:val="lev"/>
          <w:rFonts w:asciiTheme="minorHAnsi"/>
          <w:b w:val="0"/>
          <w:sz w:val="22"/>
          <w:szCs w:val="24"/>
        </w:rPr>
        <w:t>The extent of the enzymatic proteolysis process is usually quantified</w:t>
      </w:r>
      <w:r w:rsidR="00FB5C46" w:rsidRPr="008416E5">
        <w:rPr>
          <w:rStyle w:val="lev"/>
          <w:b w:val="0"/>
          <w:bCs w:val="0"/>
        </w:rPr>
        <w:t xml:space="preserve"> </w:t>
      </w:r>
      <w:r w:rsidR="00FB5C46" w:rsidRPr="008416E5">
        <w:rPr>
          <w:rStyle w:val="lev"/>
          <w:rFonts w:asciiTheme="minorHAnsi"/>
          <w:b w:val="0"/>
          <w:sz w:val="22"/>
          <w:szCs w:val="24"/>
        </w:rPr>
        <w:t>as the degree of hydrolysis (DH), which represents the percentage of</w:t>
      </w:r>
      <w:r w:rsidR="00FB5C46" w:rsidRPr="008416E5">
        <w:rPr>
          <w:rStyle w:val="lev"/>
          <w:b w:val="0"/>
          <w:bCs w:val="0"/>
        </w:rPr>
        <w:t xml:space="preserve"> </w:t>
      </w:r>
      <w:r w:rsidR="00FB5C46" w:rsidRPr="008416E5">
        <w:rPr>
          <w:rStyle w:val="lev"/>
          <w:rFonts w:asciiTheme="minorHAnsi"/>
          <w:b w:val="0"/>
          <w:sz w:val="22"/>
          <w:szCs w:val="24"/>
        </w:rPr>
        <w:t>peptide bonds cleaved compared to the initial number of peptide bonds</w:t>
      </w:r>
      <w:r w:rsidR="00FB5C46" w:rsidRPr="008416E5">
        <w:rPr>
          <w:rStyle w:val="lev"/>
          <w:b w:val="0"/>
          <w:bCs w:val="0"/>
        </w:rPr>
        <w:t xml:space="preserve"> </w:t>
      </w:r>
      <w:r w:rsidR="008416E5">
        <w:rPr>
          <w:rStyle w:val="lev"/>
          <w:rFonts w:asciiTheme="minorHAnsi"/>
          <w:b w:val="0"/>
          <w:sz w:val="22"/>
          <w:szCs w:val="24"/>
        </w:rPr>
        <w:t>of the protein [</w:t>
      </w:r>
      <w:r w:rsidR="00F95BD8">
        <w:rPr>
          <w:rStyle w:val="lev"/>
          <w:rFonts w:asciiTheme="minorHAnsi"/>
          <w:b w:val="0"/>
          <w:sz w:val="22"/>
          <w:szCs w:val="24"/>
        </w:rPr>
        <w:t>2</w:t>
      </w:r>
      <w:r w:rsidR="00FB5C46" w:rsidRPr="008416E5">
        <w:rPr>
          <w:rStyle w:val="lev"/>
          <w:rFonts w:asciiTheme="minorHAnsi"/>
          <w:b w:val="0"/>
          <w:sz w:val="22"/>
          <w:szCs w:val="24"/>
        </w:rPr>
        <w:t>].</w:t>
      </w:r>
      <w:r w:rsidR="00236053">
        <w:rPr>
          <w:rStyle w:val="lev"/>
          <w:rFonts w:asciiTheme="minorHAnsi" w:hAnsiTheme="minorHAnsi"/>
          <w:b w:val="0"/>
          <w:sz w:val="22"/>
          <w:szCs w:val="24"/>
        </w:rPr>
        <w:t xml:space="preserve">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>An effec</w:t>
      </w:r>
      <w:r w:rsidR="00236053">
        <w:rPr>
          <w:rStyle w:val="lev"/>
          <w:rFonts w:asciiTheme="minorHAnsi"/>
          <w:b w:val="0"/>
          <w:sz w:val="22"/>
          <w:szCs w:val="24"/>
        </w:rPr>
        <w:t xml:space="preserve">tive follow-up of the enzymatic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>proteolysis process requires the quantification of 2 others parameters: the</w:t>
      </w:r>
      <w:r w:rsidR="00236053">
        <w:rPr>
          <w:rStyle w:val="lev"/>
          <w:rFonts w:asciiTheme="minorHAnsi"/>
          <w:b w:val="0"/>
          <w:sz w:val="22"/>
          <w:szCs w:val="24"/>
        </w:rPr>
        <w:t xml:space="preserve">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 xml:space="preserve">protein conversion rate </w:t>
      </w:r>
      <w:r w:rsidR="001C2778">
        <w:rPr>
          <w:rStyle w:val="lev"/>
          <w:rFonts w:asciiTheme="minorHAnsi"/>
          <w:b w:val="0"/>
          <w:sz w:val="22"/>
          <w:szCs w:val="24"/>
        </w:rPr>
        <w:t>(</w:t>
      </w:r>
      <w:proofErr w:type="spellStart"/>
      <w:r w:rsidR="001C2778">
        <w:rPr>
          <w:rStyle w:val="lev"/>
          <w:rFonts w:asciiTheme="minorHAnsi"/>
          <w:b w:val="0"/>
          <w:sz w:val="22"/>
          <w:szCs w:val="24"/>
        </w:rPr>
        <w:t>Xp</w:t>
      </w:r>
      <w:proofErr w:type="spellEnd"/>
      <w:r w:rsidR="001C2778">
        <w:rPr>
          <w:rStyle w:val="lev"/>
          <w:rFonts w:asciiTheme="minorHAnsi"/>
          <w:b w:val="0"/>
          <w:sz w:val="22"/>
          <w:szCs w:val="24"/>
        </w:rPr>
        <w:t xml:space="preserve">)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 xml:space="preserve">and the mean peptide </w:t>
      </w:r>
      <w:r w:rsidR="00EF2D5C">
        <w:rPr>
          <w:rStyle w:val="lev"/>
          <w:rFonts w:asciiTheme="minorHAnsi"/>
          <w:b w:val="0"/>
          <w:sz w:val="22"/>
          <w:szCs w:val="24"/>
        </w:rPr>
        <w:t xml:space="preserve">size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>released</w:t>
      </w:r>
      <w:r w:rsidR="001C2778">
        <w:rPr>
          <w:rStyle w:val="lev"/>
          <w:rFonts w:asciiTheme="minorHAnsi"/>
          <w:b w:val="0"/>
          <w:sz w:val="22"/>
          <w:szCs w:val="24"/>
        </w:rPr>
        <w:t xml:space="preserve"> (Naa)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>.</w:t>
      </w:r>
      <w:r w:rsidR="00FB3BCB">
        <w:rPr>
          <w:rStyle w:val="lev"/>
          <w:rFonts w:asciiTheme="minorHAnsi"/>
          <w:b w:val="0"/>
          <w:sz w:val="22"/>
          <w:szCs w:val="24"/>
        </w:rPr>
        <w:t xml:space="preserve"> </w:t>
      </w:r>
      <w:r w:rsidR="001C2778">
        <w:rPr>
          <w:rStyle w:val="lev"/>
          <w:rFonts w:asciiTheme="minorHAnsi"/>
          <w:b w:val="0"/>
          <w:sz w:val="22"/>
          <w:szCs w:val="24"/>
        </w:rPr>
        <w:t>These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 xml:space="preserve"> three different parameters are </w:t>
      </w:r>
      <w:r w:rsidR="00F95BD8">
        <w:rPr>
          <w:rStyle w:val="lev"/>
          <w:rFonts w:asciiTheme="minorHAnsi"/>
          <w:b w:val="0"/>
          <w:sz w:val="22"/>
          <w:szCs w:val="24"/>
        </w:rPr>
        <w:t>classically</w:t>
      </w:r>
      <w:r w:rsidR="001C2778">
        <w:rPr>
          <w:rStyle w:val="lev"/>
          <w:rFonts w:asciiTheme="minorHAnsi"/>
          <w:b w:val="0"/>
          <w:sz w:val="22"/>
          <w:szCs w:val="24"/>
        </w:rPr>
        <w:t xml:space="preserve">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 xml:space="preserve">determined by three </w:t>
      </w:r>
      <w:r w:rsidR="00FB3BCB">
        <w:rPr>
          <w:rStyle w:val="lev"/>
          <w:rFonts w:asciiTheme="minorHAnsi"/>
          <w:b w:val="0"/>
          <w:sz w:val="22"/>
          <w:szCs w:val="24"/>
        </w:rPr>
        <w:t>distinct analysis</w:t>
      </w:r>
      <w:r w:rsidR="001C2778">
        <w:rPr>
          <w:rStyle w:val="lev"/>
          <w:rFonts w:asciiTheme="minorHAnsi"/>
          <w:b w:val="0"/>
          <w:sz w:val="22"/>
          <w:szCs w:val="24"/>
        </w:rPr>
        <w:t>.</w:t>
      </w:r>
      <w:r w:rsidR="002E0883">
        <w:rPr>
          <w:rStyle w:val="lev"/>
          <w:rFonts w:asciiTheme="minorHAnsi"/>
          <w:b w:val="0"/>
          <w:sz w:val="22"/>
          <w:szCs w:val="24"/>
        </w:rPr>
        <w:t xml:space="preserve"> The DH can be either determined by a method </w:t>
      </w:r>
      <w:r w:rsidR="002E0883" w:rsidRPr="002E0883">
        <w:rPr>
          <w:rStyle w:val="lev"/>
          <w:rFonts w:asciiTheme="minorHAnsi"/>
          <w:b w:val="0"/>
          <w:sz w:val="22"/>
          <w:szCs w:val="24"/>
        </w:rPr>
        <w:t xml:space="preserve">based on a spectrophotometric reaction with amino groups released during hydrolysis or based on a titration of protons released during a peptide bond hydrolysis. To determine </w:t>
      </w:r>
      <w:proofErr w:type="spellStart"/>
      <w:r w:rsidR="002E0883" w:rsidRPr="002E0883">
        <w:rPr>
          <w:rStyle w:val="lev"/>
          <w:rFonts w:asciiTheme="minorHAnsi"/>
          <w:b w:val="0"/>
          <w:sz w:val="22"/>
          <w:szCs w:val="24"/>
        </w:rPr>
        <w:t>Xp</w:t>
      </w:r>
      <w:proofErr w:type="spellEnd"/>
      <w:r w:rsidR="002E0883" w:rsidRPr="002E0883">
        <w:rPr>
          <w:rStyle w:val="lev"/>
          <w:rFonts w:asciiTheme="minorHAnsi"/>
          <w:b w:val="0"/>
          <w:sz w:val="22"/>
          <w:szCs w:val="24"/>
        </w:rPr>
        <w:t>, the protein concentration must be specifically quantified by Reversed-Phase High-Performance Liquid Chromatography (RP-HPLC) or Kjeldahl method after protein precipitation with TCA.</w:t>
      </w:r>
      <w:r w:rsidR="002E0883" w:rsidRPr="002E0883">
        <w:rPr>
          <w:rStyle w:val="lev"/>
          <w:rFonts w:asciiTheme="minorHAnsi"/>
          <w:b w:val="0"/>
          <w:bCs w:val="0"/>
          <w:sz w:val="22"/>
          <w:szCs w:val="24"/>
        </w:rPr>
        <w:t xml:space="preserve"> </w:t>
      </w:r>
      <w:r w:rsidR="002E0883" w:rsidRPr="002E0883">
        <w:rPr>
          <w:rStyle w:val="lev"/>
          <w:rFonts w:asciiTheme="minorHAnsi"/>
          <w:b w:val="0"/>
          <w:sz w:val="22"/>
          <w:szCs w:val="24"/>
        </w:rPr>
        <w:t>Molecular weight distribution of peptides is classically achieved by Size-Exclusion High-Performance Liquid Chromatography (SE-HPLC) based on the UV signal at 214 nm.</w:t>
      </w:r>
      <w:r w:rsidR="002E0883">
        <w:rPr>
          <w:rStyle w:val="lev"/>
          <w:rFonts w:cstheme="minorHAnsi"/>
          <w:b w:val="0"/>
          <w:iCs/>
          <w:color w:val="auto"/>
          <w:sz w:val="24"/>
          <w:lang w:val="en-US"/>
        </w:rPr>
        <w:t xml:space="preserve"> </w:t>
      </w:r>
      <w:r w:rsidR="001C2778">
        <w:rPr>
          <w:rStyle w:val="lev"/>
          <w:rFonts w:asciiTheme="minorHAnsi"/>
          <w:b w:val="0"/>
          <w:sz w:val="22"/>
          <w:szCs w:val="24"/>
        </w:rPr>
        <w:t xml:space="preserve">This makes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>the en</w:t>
      </w:r>
      <w:r w:rsidR="00FB3BCB">
        <w:rPr>
          <w:rStyle w:val="lev"/>
          <w:rFonts w:asciiTheme="minorHAnsi"/>
          <w:b w:val="0"/>
          <w:sz w:val="22"/>
          <w:szCs w:val="24"/>
        </w:rPr>
        <w:t xml:space="preserve">zymatic proteolysis </w:t>
      </w:r>
      <w:r w:rsidR="008416E5" w:rsidRPr="008416E5">
        <w:rPr>
          <w:rStyle w:val="lev"/>
          <w:rFonts w:asciiTheme="minorHAnsi"/>
          <w:b w:val="0"/>
          <w:sz w:val="22"/>
          <w:szCs w:val="24"/>
        </w:rPr>
        <w:t xml:space="preserve">process laborious to monitor. </w:t>
      </w:r>
      <w:r w:rsidR="00564FF7">
        <w:rPr>
          <w:rStyle w:val="lev"/>
          <w:rFonts w:asciiTheme="minorHAnsi" w:hAnsiTheme="minorHAnsi"/>
          <w:b w:val="0"/>
          <w:sz w:val="22"/>
          <w:szCs w:val="24"/>
        </w:rPr>
        <w:t>In this way, t</w:t>
      </w:r>
      <w:r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he communication describes an original methodology to quantify simultaneously these three criteria by size-exclusion chromatography (SE-HPLC). </w:t>
      </w:r>
    </w:p>
    <w:bookmarkEnd w:id="0"/>
    <w:p w14:paraId="50C03200" w14:textId="77777777" w:rsidR="00704BDF" w:rsidRDefault="00704BDF" w:rsidP="0053724E">
      <w:pPr>
        <w:snapToGrid w:val="0"/>
        <w:spacing w:before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862C732" w14:textId="77777777" w:rsidR="0053724E" w:rsidRDefault="00EF2D5C" w:rsidP="00EF2D5C">
      <w:pPr>
        <w:rPr>
          <w:rStyle w:val="lev"/>
          <w:rFonts w:asciiTheme="minorHAnsi" w:hAnsiTheme="minorHAnsi"/>
          <w:b w:val="0"/>
          <w:sz w:val="22"/>
          <w:szCs w:val="24"/>
        </w:rPr>
      </w:pPr>
      <w:r>
        <w:rPr>
          <w:rStyle w:val="lev"/>
          <w:rFonts w:asciiTheme="minorHAnsi" w:hAnsiTheme="minorHAnsi"/>
          <w:b w:val="0"/>
          <w:sz w:val="22"/>
          <w:szCs w:val="24"/>
        </w:rPr>
        <w:t>The protein conversion rate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 is </w:t>
      </w:r>
      <w:r w:rsidRPr="00F95BD8">
        <w:rPr>
          <w:rStyle w:val="lev"/>
          <w:rFonts w:asciiTheme="minorHAnsi"/>
          <w:b w:val="0"/>
          <w:sz w:val="22"/>
          <w:szCs w:val="24"/>
        </w:rPr>
        <w:t>simply deduced from the evolution of the protein peak area</w:t>
      </w:r>
      <w:r w:rsidR="001C2778" w:rsidRPr="00F95BD8">
        <w:rPr>
          <w:rStyle w:val="lev"/>
          <w:rFonts w:asciiTheme="minorHAnsi"/>
          <w:b w:val="0"/>
          <w:sz w:val="22"/>
          <w:szCs w:val="24"/>
        </w:rPr>
        <w:t xml:space="preserve"> in the course of the reaction. With the chosen column (</w:t>
      </w:r>
      <w:r w:rsidR="00F95BD8" w:rsidRPr="00F95BD8">
        <w:rPr>
          <w:rStyle w:val="lev"/>
          <w:rFonts w:asciiTheme="minorHAnsi"/>
          <w:b w:val="0"/>
          <w:sz w:val="22"/>
          <w:szCs w:val="24"/>
        </w:rPr>
        <w:t>S</w:t>
      </w:r>
      <w:proofErr w:type="spellStart"/>
      <w:r w:rsidR="00F95BD8" w:rsidRPr="00F95BD8">
        <w:rPr>
          <w:rStyle w:val="lev"/>
          <w:rFonts w:asciiTheme="minorHAnsi"/>
          <w:b w:val="0"/>
          <w:sz w:val="22"/>
          <w:szCs w:val="24"/>
        </w:rPr>
        <w:t>uperdex</w:t>
      </w:r>
      <w:proofErr w:type="spellEnd"/>
      <w:r w:rsidR="00F95BD8" w:rsidRPr="00F95BD8">
        <w:rPr>
          <w:rStyle w:val="lev"/>
          <w:rFonts w:asciiTheme="minorHAnsi"/>
          <w:b w:val="0"/>
          <w:sz w:val="22"/>
          <w:szCs w:val="24"/>
        </w:rPr>
        <w:t xml:space="preserve"> peptide 10/300 GL column</w:t>
      </w:r>
      <w:r w:rsidR="001C2778" w:rsidRPr="00F95BD8">
        <w:rPr>
          <w:rStyle w:val="lev"/>
          <w:rFonts w:asciiTheme="minorHAnsi"/>
          <w:b w:val="0"/>
          <w:sz w:val="22"/>
          <w:szCs w:val="24"/>
        </w:rPr>
        <w:t>)</w:t>
      </w:r>
      <w:r w:rsidR="00F95BD8">
        <w:rPr>
          <w:rStyle w:val="lev"/>
          <w:rFonts w:asciiTheme="minorHAnsi"/>
          <w:b w:val="0"/>
          <w:sz w:val="22"/>
          <w:szCs w:val="24"/>
        </w:rPr>
        <w:t>,</w:t>
      </w:r>
      <w:r w:rsidRPr="00F95BD8">
        <w:rPr>
          <w:rStyle w:val="lev"/>
          <w:rFonts w:asciiTheme="minorHAnsi"/>
          <w:b w:val="0"/>
          <w:sz w:val="22"/>
          <w:szCs w:val="24"/>
        </w:rPr>
        <w:t xml:space="preserve"> </w:t>
      </w:r>
      <w:r w:rsidR="001C2778" w:rsidRPr="00F95BD8">
        <w:rPr>
          <w:rStyle w:val="lev"/>
          <w:rFonts w:asciiTheme="minorHAnsi"/>
          <w:b w:val="0"/>
          <w:sz w:val="22"/>
          <w:szCs w:val="24"/>
        </w:rPr>
        <w:t xml:space="preserve">proteins are </w:t>
      </w:r>
      <w:r w:rsidRPr="00F95BD8">
        <w:rPr>
          <w:rStyle w:val="lev"/>
          <w:rFonts w:asciiTheme="minorHAnsi"/>
          <w:b w:val="0"/>
          <w:sz w:val="22"/>
          <w:szCs w:val="24"/>
        </w:rPr>
        <w:t>eluted in the column dead volume</w:t>
      </w:r>
      <w:r w:rsidR="001C2778" w:rsidRPr="00F95BD8">
        <w:rPr>
          <w:rStyle w:val="lev"/>
          <w:rFonts w:asciiTheme="minorHAnsi"/>
          <w:b w:val="0"/>
          <w:sz w:val="22"/>
          <w:szCs w:val="24"/>
        </w:rPr>
        <w:t xml:space="preserve"> due to the column</w:t>
      </w:r>
      <w:r w:rsidR="001C2778">
        <w:rPr>
          <w:rStyle w:val="lev"/>
          <w:rFonts w:asciiTheme="minorHAnsi" w:hAnsiTheme="minorHAnsi"/>
          <w:b w:val="0"/>
          <w:sz w:val="22"/>
          <w:szCs w:val="24"/>
        </w:rPr>
        <w:t xml:space="preserve"> separation domain </w:t>
      </w:r>
      <w:r w:rsidR="001C2778"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>(</w:t>
      </w:r>
      <w:r w:rsidR="00F95BD8"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 xml:space="preserve">&lt; 7 </w:t>
      </w:r>
      <w:proofErr w:type="spellStart"/>
      <w:r w:rsidR="00F95BD8"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>kDa</w:t>
      </w:r>
      <w:proofErr w:type="spellEnd"/>
      <w:r w:rsidR="001C2778"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>)</w:t>
      </w:r>
      <w:r w:rsidRPr="00F95BD8">
        <w:rPr>
          <w:rStyle w:val="lev"/>
          <w:rFonts w:asciiTheme="minorHAnsi" w:hAnsiTheme="minorHAnsi"/>
          <w:b w:val="0"/>
          <w:color w:val="auto"/>
          <w:sz w:val="22"/>
          <w:szCs w:val="24"/>
        </w:rPr>
        <w:t xml:space="preserve">. 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For </w:t>
      </w:r>
      <w:r>
        <w:rPr>
          <w:rStyle w:val="lev"/>
          <w:rFonts w:asciiTheme="minorHAnsi" w:hAnsiTheme="minorHAnsi"/>
          <w:b w:val="0"/>
          <w:sz w:val="22"/>
          <w:szCs w:val="24"/>
        </w:rPr>
        <w:t>the mean peptide size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 and DH, the method</w:t>
      </w:r>
      <w:r>
        <w:rPr>
          <w:rStyle w:val="lev"/>
          <w:rFonts w:asciiTheme="minorHAnsi" w:hAnsiTheme="minorHAnsi"/>
          <w:b w:val="0"/>
          <w:sz w:val="22"/>
          <w:szCs w:val="24"/>
        </w:rPr>
        <w:t>ology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 </w:t>
      </w:r>
      <w:r w:rsidR="001C2778">
        <w:rPr>
          <w:rStyle w:val="lev"/>
          <w:rFonts w:asciiTheme="minorHAnsi" w:hAnsiTheme="minorHAnsi"/>
          <w:b w:val="0"/>
          <w:sz w:val="22"/>
          <w:szCs w:val="24"/>
        </w:rPr>
        <w:t>consists in converting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 peptide </w:t>
      </w:r>
      <w:r w:rsidR="001C2778">
        <w:rPr>
          <w:rStyle w:val="lev"/>
          <w:rFonts w:asciiTheme="minorHAnsi" w:hAnsiTheme="minorHAnsi"/>
          <w:b w:val="0"/>
          <w:sz w:val="22"/>
          <w:szCs w:val="24"/>
        </w:rPr>
        <w:t xml:space="preserve">UV </w:t>
      </w:r>
      <w:proofErr w:type="spellStart"/>
      <w:r w:rsidRPr="00EF2D5C">
        <w:rPr>
          <w:rStyle w:val="lev"/>
          <w:rFonts w:asciiTheme="minorHAnsi" w:hAnsiTheme="minorHAnsi"/>
          <w:b w:val="0"/>
          <w:sz w:val="22"/>
          <w:szCs w:val="24"/>
        </w:rPr>
        <w:t>absorbances</w:t>
      </w:r>
      <w:proofErr w:type="spellEnd"/>
      <w:r w:rsidR="001C2778">
        <w:rPr>
          <w:rStyle w:val="lev"/>
          <w:rFonts w:asciiTheme="minorHAnsi" w:hAnsiTheme="minorHAnsi"/>
          <w:b w:val="0"/>
          <w:sz w:val="22"/>
          <w:szCs w:val="24"/>
        </w:rPr>
        <w:t xml:space="preserve"> of chromatograms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 into concentrations by applying Beer-Lambert law</w:t>
      </w:r>
      <w:r>
        <w:rPr>
          <w:rStyle w:val="lev"/>
          <w:rFonts w:asciiTheme="minorHAnsi" w:hAnsiTheme="minorHAnsi"/>
          <w:b w:val="0"/>
          <w:sz w:val="22"/>
          <w:szCs w:val="24"/>
        </w:rPr>
        <w:t xml:space="preserve"> [</w:t>
      </w:r>
      <w:r w:rsidR="00F95BD8">
        <w:rPr>
          <w:rStyle w:val="lev"/>
          <w:rFonts w:asciiTheme="minorHAnsi" w:hAnsiTheme="minorHAnsi"/>
          <w:b w:val="0"/>
          <w:sz w:val="22"/>
          <w:szCs w:val="24"/>
        </w:rPr>
        <w:t>4</w:t>
      </w:r>
      <w:r>
        <w:rPr>
          <w:rStyle w:val="lev"/>
          <w:rFonts w:asciiTheme="minorHAnsi" w:hAnsiTheme="minorHAnsi"/>
          <w:b w:val="0"/>
          <w:sz w:val="22"/>
          <w:szCs w:val="24"/>
        </w:rPr>
        <w:t>]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>. To do so, a molar extinction coefficient is assessed for each chromatogram point</w:t>
      </w:r>
      <w:r w:rsidR="0053724E">
        <w:rPr>
          <w:rStyle w:val="lev"/>
          <w:rFonts w:asciiTheme="minorHAnsi" w:hAnsiTheme="minorHAnsi"/>
          <w:b w:val="0"/>
          <w:sz w:val="22"/>
          <w:szCs w:val="24"/>
        </w:rPr>
        <w:t xml:space="preserve"> (Eq. 1)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. The coefficient depends on the hydrolysate </w:t>
      </w:r>
      <w:proofErr w:type="spellStart"/>
      <w:r w:rsidRPr="00EF2D5C">
        <w:rPr>
          <w:rStyle w:val="lev"/>
          <w:rFonts w:asciiTheme="minorHAnsi" w:hAnsiTheme="minorHAnsi"/>
          <w:b w:val="0"/>
          <w:sz w:val="22"/>
          <w:szCs w:val="24"/>
        </w:rPr>
        <w:t>aminoacid</w:t>
      </w:r>
      <w:proofErr w:type="spellEnd"/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 compositions and the molar weight corresponding to the considered point (deduced from SE column calibration). </w:t>
      </w:r>
    </w:p>
    <w:p w14:paraId="214E9F6E" w14:textId="13E9B942" w:rsidR="0053724E" w:rsidRPr="00257807" w:rsidRDefault="0053724E" w:rsidP="00257807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lev"/>
          <w:rFonts w:asciiTheme="minorHAnsi"/>
          <w:b w:val="0"/>
          <w:bCs w:val="0"/>
          <w:color w:val="auto"/>
          <w:sz w:val="20"/>
          <w:szCs w:val="24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x</m:t>
            </m:r>
          </m:sub>
        </m:sSub>
        <m:r>
          <w:rPr>
            <w:rFonts w:ascii="Cambria Math" w:hAnsi="Cambria Math" w:cstheme="minorHAnsi"/>
            <w:sz w:val="20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bond</m:t>
            </m:r>
          </m:sub>
        </m:sSub>
        <m:r>
          <w:rPr>
            <w:rFonts w:ascii="Cambria Math" w:hAnsi="Cambria Math" w:cstheme="minorHAnsi"/>
            <w:sz w:val="20"/>
            <w:szCs w:val="24"/>
            <w:lang w:val="en-US"/>
          </w:rPr>
          <m:t xml:space="preserve">× 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a×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+b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lang w:val="en-US"/>
                          </w:rPr>
                          <m:t>MM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aa</m:t>
                    </m:r>
                  </m:sub>
                </m:sSub>
              </m:den>
            </m:f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-1</m:t>
            </m:r>
          </m:e>
        </m:d>
        <m:r>
          <w:rPr>
            <w:rFonts w:ascii="Cambria Math" w:hAnsi="Cambria Math" w:cstheme="minorHAnsi"/>
            <w:sz w:val="20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4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sz w:val="20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4"/>
                    <w:lang w:val="en-US"/>
                  </w:rPr>
                  <m:t>ε</m:t>
                </m:r>
              </m:e>
            </m:acc>
          </m:e>
          <m:sub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aa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a×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+b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lang w:val="en-US"/>
                          </w:rPr>
                          <m:t>MM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4"/>
                        <w:lang w:val="en-US"/>
                      </w:rPr>
                      <m:t>aa</m:t>
                    </m:r>
                  </m:sub>
                </m:sSub>
              </m:den>
            </m:f>
          </m:e>
        </m:d>
      </m:oMath>
      <w:r w:rsidRPr="0053724E">
        <w:rPr>
          <w:rFonts w:asciiTheme="minorHAnsi"/>
          <w:sz w:val="20"/>
          <w:szCs w:val="24"/>
          <w:lang w:val="en-US"/>
        </w:rPr>
        <w:tab/>
        <w:t>(Eq. 1)</w:t>
      </w:r>
    </w:p>
    <w:p w14:paraId="100459DD" w14:textId="3697A33C" w:rsidR="00257807" w:rsidRPr="00257807" w:rsidRDefault="00257807" w:rsidP="000D09F9">
      <w:pPr>
        <w:spacing w:after="160" w:line="240" w:lineRule="auto"/>
        <w:rPr>
          <w:rFonts w:asciiTheme="minorHAnsi" w:hAnsiTheme="minorHAnsi" w:cstheme="minorHAnsi"/>
          <w:sz w:val="20"/>
          <w:szCs w:val="24"/>
          <w:lang w:val="en-US"/>
        </w:rPr>
      </w:pPr>
      <w:r w:rsidRPr="00257807">
        <w:rPr>
          <w:rFonts w:asciiTheme="minorHAnsi" w:hAnsiTheme="minorHAnsi"/>
          <w:sz w:val="20"/>
          <w:szCs w:val="24"/>
          <w:lang w:val="en-US"/>
        </w:rPr>
        <w:t>With</w:t>
      </w:r>
      <m:oMath>
        <m:r>
          <w:rPr>
            <w:rFonts w:ascii="Cambria Math" w:hAnsi="Cambria Math"/>
            <w:sz w:val="20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theme="minorHAnsi"/>
                <w:sz w:val="20"/>
                <w:szCs w:val="24"/>
                <w:lang w:val="en-US"/>
              </w:rPr>
              <m:t>bond</m:t>
            </m:r>
          </m:sub>
        </m:sSub>
      </m:oMath>
      <w:r w:rsidRPr="00257807">
        <w:rPr>
          <w:rFonts w:asciiTheme="minorHAnsi" w:hAnsiTheme="minorHAnsi" w:cstheme="minorHAnsi"/>
          <w:sz w:val="20"/>
          <w:szCs w:val="24"/>
          <w:lang w:val="en-US"/>
        </w:rPr>
        <w:t xml:space="preserve">, the molar extinction coefficient of peptide bond and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0"/>
                <w:szCs w:val="24"/>
                <w:lang w:val="en-US"/>
              </w:rPr>
            </m:ctrlPr>
          </m:accPr>
          <m:e>
            <m:r>
              <m:rPr>
                <m:nor/>
              </m:rPr>
              <w:rPr>
                <w:rFonts w:asciiTheme="minorHAnsi" w:hAnsiTheme="minorHAnsi" w:cstheme="minorHAnsi"/>
                <w:sz w:val="20"/>
                <w:szCs w:val="24"/>
                <w:lang w:val="en-US"/>
              </w:rPr>
              <m:t>MM</m:t>
            </m:r>
          </m:e>
        </m:acc>
        <w:proofErr w:type="gramStart"/>
        <m:r>
          <m:rPr>
            <m:nor/>
          </m:rPr>
          <w:rPr>
            <w:rFonts w:asciiTheme="minorHAnsi" w:hAnsiTheme="minorHAnsi" w:cstheme="minorHAnsi"/>
            <w:sz w:val="20"/>
            <w:szCs w:val="24"/>
            <w:lang w:val="en-US"/>
          </w:rPr>
          <m:t>aa</m:t>
        </m:r>
      </m:oMath>
      <w:proofErr w:type="gramEnd"/>
      <w:r w:rsidRPr="00257807">
        <w:rPr>
          <w:rFonts w:asciiTheme="minorHAnsi" w:hAnsiTheme="minorHAnsi" w:cstheme="minorHAnsi"/>
          <w:sz w:val="20"/>
          <w:szCs w:val="24"/>
          <w:lang w:val="en-US"/>
        </w:rPr>
        <w:t>, the mean amino acid molar mass of the hydrolysate</w:t>
      </w:r>
      <w:r w:rsidRPr="00257807">
        <w:rPr>
          <w:rFonts w:asciiTheme="minorHAnsi" w:hAnsiTheme="minorHAnsi" w:cstheme="minorHAnsi"/>
          <w:sz w:val="20"/>
          <w:szCs w:val="24"/>
          <w:lang w:val="en-US"/>
        </w:rPr>
        <w:t>.</w:t>
      </w:r>
    </w:p>
    <w:p w14:paraId="7CE5E47F" w14:textId="3A4249C7" w:rsidR="0053724E" w:rsidRPr="00EF2D5C" w:rsidRDefault="0053724E" w:rsidP="000D09F9">
      <w:pPr>
        <w:spacing w:after="120"/>
        <w:rPr>
          <w:rStyle w:val="lev"/>
          <w:rFonts w:asciiTheme="minorHAnsi" w:hAnsiTheme="minorHAnsi"/>
          <w:b w:val="0"/>
          <w:sz w:val="22"/>
          <w:szCs w:val="24"/>
        </w:rPr>
      </w:pPr>
      <w:r w:rsidRPr="00EF2D5C">
        <w:rPr>
          <w:rStyle w:val="lev"/>
          <w:rFonts w:asciiTheme="minorHAnsi" w:hAnsiTheme="minorHAnsi"/>
          <w:b w:val="0"/>
          <w:sz w:val="22"/>
          <w:szCs w:val="24"/>
        </w:rPr>
        <w:t>The</w:t>
      </w:r>
      <w:r w:rsidRPr="00EF2D5C">
        <w:rPr>
          <w:rStyle w:val="lev"/>
          <w:rFonts w:asciiTheme="minorHAnsi" w:hAnsiTheme="minorHAnsi"/>
          <w:b w:val="0"/>
          <w:sz w:val="20"/>
          <w:szCs w:val="24"/>
        </w:rPr>
        <w:t xml:space="preserve"> 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overall concentration signal is integrated and Naa is calculated with the ratio of the molar quantities of amino acids </w:t>
      </w:r>
      <w:r w:rsidR="00257807">
        <w:rPr>
          <w:rStyle w:val="lev"/>
          <w:rFonts w:asciiTheme="minorHAnsi" w:hAnsiTheme="minorHAnsi"/>
          <w:b w:val="0"/>
          <w:sz w:val="22"/>
          <w:szCs w:val="24"/>
        </w:rPr>
        <w:t xml:space="preserve">(determined with Eq. 2) 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to peptides </w:t>
      </w:r>
      <w:r w:rsidR="00257807">
        <w:rPr>
          <w:rStyle w:val="lev"/>
          <w:rFonts w:asciiTheme="minorHAnsi" w:hAnsiTheme="minorHAnsi"/>
          <w:b w:val="0"/>
          <w:sz w:val="22"/>
          <w:szCs w:val="24"/>
        </w:rPr>
        <w:t xml:space="preserve">(determined with Eq. </w:t>
      </w:r>
      <w:r w:rsidR="00257807">
        <w:rPr>
          <w:rStyle w:val="lev"/>
          <w:rFonts w:asciiTheme="minorHAnsi" w:hAnsiTheme="minorHAnsi"/>
          <w:b w:val="0"/>
          <w:sz w:val="22"/>
          <w:szCs w:val="24"/>
        </w:rPr>
        <w:t>3)</w:t>
      </w:r>
      <w:r w:rsidR="00257807">
        <w:rPr>
          <w:rStyle w:val="lev"/>
          <w:rFonts w:asciiTheme="minorHAnsi" w:hAnsiTheme="minorHAnsi"/>
          <w:b w:val="0"/>
          <w:sz w:val="22"/>
          <w:szCs w:val="24"/>
        </w:rPr>
        <w:t xml:space="preserve"> </w:t>
      </w:r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in the hydrolysate. DH is deduced from the ratio of </w:t>
      </w:r>
      <w:proofErr w:type="spellStart"/>
      <w:r w:rsidR="00257807">
        <w:rPr>
          <w:rStyle w:val="lev"/>
          <w:rFonts w:asciiTheme="minorHAnsi" w:hAnsiTheme="minorHAnsi"/>
          <w:b w:val="0"/>
          <w:sz w:val="22"/>
          <w:szCs w:val="24"/>
        </w:rPr>
        <w:t>Xp</w:t>
      </w:r>
      <w:proofErr w:type="spellEnd"/>
      <w:r w:rsidRPr="00EF2D5C">
        <w:rPr>
          <w:rStyle w:val="lev"/>
          <w:rFonts w:asciiTheme="minorHAnsi" w:hAnsiTheme="minorHAnsi"/>
          <w:b w:val="0"/>
          <w:sz w:val="22"/>
          <w:szCs w:val="24"/>
        </w:rPr>
        <w:t xml:space="preserve"> and </w:t>
      </w:r>
      <w:r>
        <w:rPr>
          <w:rStyle w:val="lev"/>
          <w:rFonts w:asciiTheme="minorHAnsi" w:hAnsiTheme="minorHAnsi"/>
          <w:b w:val="0"/>
          <w:sz w:val="22"/>
          <w:szCs w:val="24"/>
        </w:rPr>
        <w:t>the mean size of peptide.</w:t>
      </w:r>
    </w:p>
    <w:p w14:paraId="6F10DE8F" w14:textId="0C0AB42A" w:rsidR="0053724E" w:rsidRPr="00257807" w:rsidRDefault="00257807" w:rsidP="000E5B26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2"/>
                <w:lang w:val="en-US"/>
              </w:rPr>
              <m:t>n</m:t>
            </m:r>
          </m:e>
          <m:sub>
            <m:r>
              <w:rPr>
                <w:rFonts w:ascii="Cambria Math" w:hAnsi="Cambria Math" w:cstheme="minorHAnsi"/>
                <w:sz w:val="20"/>
                <w:szCs w:val="22"/>
                <w:lang w:val="en-US"/>
              </w:rPr>
              <m:t>p</m:t>
            </m:r>
          </m:sub>
        </m:sSub>
        <m:r>
          <w:rPr>
            <w:rFonts w:ascii="Cambria Math" w:hAnsi="Cambria Math" w:cstheme="minorHAnsi"/>
            <w:sz w:val="20"/>
            <w:szCs w:val="22"/>
            <w:lang w:val="en-US"/>
          </w:rPr>
          <m:t>= Qv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0"/>
                <w:szCs w:val="22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2"/>
                        <w:lang w:val="en-US"/>
                      </w:rPr>
                      <m:t>Cp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2"/>
                        <w:lang w:val="en-US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0"/>
                <w:szCs w:val="22"/>
                <w:lang w:val="en-US"/>
              </w:rPr>
              <m:t xml:space="preserve"> dt</m:t>
            </m:r>
          </m:e>
        </m:nary>
      </m:oMath>
      <w:r w:rsidRPr="002578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Pr="00257807">
        <w:rPr>
          <w:rFonts w:asciiTheme="minorHAnsi" w:hAnsiTheme="minorHAnsi" w:cstheme="minorHAnsi"/>
          <w:sz w:val="22"/>
          <w:szCs w:val="22"/>
          <w:lang w:val="en-US"/>
        </w:rPr>
        <w:t>(Eq. 2)</w:t>
      </w:r>
      <w:r w:rsidRPr="00257807">
        <w:rPr>
          <w:rFonts w:asciiTheme="minorHAnsi" w:hAnsiTheme="minorHAnsi" w:cstheme="minorHAnsi"/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2"/>
                <w:lang w:val="en-US"/>
              </w:rPr>
              <m:t>n</m:t>
            </m:r>
          </m:e>
          <m:sub>
            <m:r>
              <w:rPr>
                <w:rFonts w:ascii="Cambria Math" w:hAnsi="Cambria Math" w:cstheme="minorHAnsi"/>
                <w:sz w:val="20"/>
                <w:szCs w:val="22"/>
                <w:lang w:val="en-US"/>
              </w:rPr>
              <m:t>aa</m:t>
            </m:r>
          </m:sub>
        </m:sSub>
        <m:r>
          <w:rPr>
            <w:rFonts w:ascii="Cambria Math" w:hAnsi="Cambria Math" w:cstheme="minorHAnsi"/>
            <w:sz w:val="20"/>
            <w:szCs w:val="22"/>
            <w:lang w:val="en-US"/>
          </w:rPr>
          <m:t>= Qv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0"/>
                <w:szCs w:val="22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2"/>
                        <w:lang w:val="en-US"/>
                      </w:rPr>
                      <m:t>Cp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2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2"/>
                    <w:lang w:val="en-US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  <w:iCs/>
                        <w:sz w:val="20"/>
                        <w:szCs w:val="22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20"/>
                        <w:szCs w:val="22"/>
                        <w:lang w:val="en-US"/>
                      </w:rPr>
                      <m:t>N</m:t>
                    </m:r>
                  </m:e>
                </m:ba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sz w:val="20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aa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0"/>
                <w:szCs w:val="22"/>
                <w:lang w:val="en-US"/>
              </w:rPr>
              <m:t xml:space="preserve"> dt</m:t>
            </m:r>
          </m:e>
        </m:nary>
      </m:oMath>
      <w:r w:rsidRPr="00A73EE1">
        <w:rPr>
          <w:rFonts w:asciiTheme="minorHAnsi" w:hAnsiTheme="minorHAnsi" w:cstheme="minorHAnsi"/>
          <w:sz w:val="20"/>
          <w:szCs w:val="22"/>
          <w:lang w:val="en-US"/>
        </w:rPr>
        <w:tab/>
      </w:r>
      <w:r w:rsidRPr="00257807">
        <w:rPr>
          <w:rFonts w:asciiTheme="minorHAnsi" w:hAnsiTheme="minorHAnsi" w:cstheme="minorHAnsi"/>
          <w:sz w:val="22"/>
          <w:szCs w:val="22"/>
          <w:lang w:val="en-US"/>
        </w:rPr>
        <w:t>(Eq. 3)</w:t>
      </w:r>
    </w:p>
    <w:p w14:paraId="5E672D04" w14:textId="02FD9C9D" w:rsidR="00257807" w:rsidRPr="00257807" w:rsidRDefault="00257807" w:rsidP="00257807">
      <w:pPr>
        <w:spacing w:line="360" w:lineRule="auto"/>
        <w:rPr>
          <w:rStyle w:val="lev"/>
          <w:rFonts w:asciiTheme="minorHAnsi" w:hAnsiTheme="minorHAnsi" w:cstheme="minorHAnsi"/>
          <w:b w:val="0"/>
          <w:bCs w:val="0"/>
          <w:color w:val="auto"/>
          <w:sz w:val="20"/>
          <w:szCs w:val="22"/>
          <w:lang w:val="en-US"/>
        </w:rPr>
      </w:pPr>
      <w:proofErr w:type="gramStart"/>
      <w:r w:rsidRPr="00257807">
        <w:rPr>
          <w:rFonts w:asciiTheme="minorHAnsi" w:hAnsiTheme="minorHAnsi" w:cstheme="minorHAnsi"/>
          <w:sz w:val="20"/>
          <w:szCs w:val="22"/>
          <w:lang w:val="en-US"/>
        </w:rPr>
        <w:t>with</w:t>
      </w:r>
      <w:proofErr w:type="gramEnd"/>
      <w:r w:rsidRPr="00257807">
        <w:rPr>
          <w:rFonts w:asciiTheme="minorHAnsi" w:hAnsiTheme="minorHAnsi" w:cstheme="minorHAnsi"/>
          <w:sz w:val="20"/>
          <w:szCs w:val="22"/>
          <w:lang w:val="en-US"/>
        </w:rPr>
        <w:t xml:space="preserve"> Q</w:t>
      </w:r>
      <w:r w:rsidRPr="00257807">
        <w:rPr>
          <w:rFonts w:asciiTheme="minorHAnsi" w:hAnsiTheme="minorHAnsi" w:cstheme="minorHAnsi"/>
          <w:sz w:val="20"/>
          <w:szCs w:val="22"/>
          <w:vertAlign w:val="subscript"/>
          <w:lang w:val="en-US"/>
        </w:rPr>
        <w:t>v</w:t>
      </w:r>
      <w:r w:rsidRPr="00257807">
        <w:rPr>
          <w:rFonts w:asciiTheme="minorHAnsi" w:hAnsiTheme="minorHAnsi" w:cstheme="minorHAnsi"/>
          <w:sz w:val="20"/>
          <w:szCs w:val="22"/>
          <w:lang w:val="en-US"/>
        </w:rPr>
        <w:t xml:space="preserve"> the elution flow rate and </w:t>
      </w:r>
      <w:proofErr w:type="spellStart"/>
      <w:r w:rsidRPr="00257807">
        <w:rPr>
          <w:rFonts w:asciiTheme="minorHAnsi" w:hAnsiTheme="minorHAnsi" w:cstheme="minorHAnsi"/>
          <w:sz w:val="20"/>
          <w:szCs w:val="22"/>
          <w:lang w:val="en-US"/>
        </w:rPr>
        <w:t>dt</w:t>
      </w:r>
      <w:proofErr w:type="spellEnd"/>
      <w:r w:rsidRPr="00257807">
        <w:rPr>
          <w:rFonts w:asciiTheme="minorHAnsi" w:hAnsiTheme="minorHAnsi" w:cstheme="minorHAnsi"/>
          <w:sz w:val="20"/>
          <w:szCs w:val="22"/>
          <w:lang w:val="en-US"/>
        </w:rPr>
        <w:t xml:space="preserve"> a fraction of the elution time.</w:t>
      </w:r>
    </w:p>
    <w:p w14:paraId="15DD75C4" w14:textId="77777777" w:rsidR="00B67582" w:rsidRDefault="00704BDF" w:rsidP="00A73EE1">
      <w:pPr>
        <w:tabs>
          <w:tab w:val="clear" w:pos="7100"/>
          <w:tab w:val="left" w:pos="6645"/>
        </w:tabs>
        <w:snapToGrid w:val="0"/>
        <w:spacing w:before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BFBA55C" w14:textId="73700A58" w:rsidR="00F311AD" w:rsidRPr="0046751D" w:rsidRDefault="000B6FF5" w:rsidP="00257807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 w:themeColor="text1"/>
          <w:sz w:val="22"/>
          <w:szCs w:val="24"/>
        </w:rPr>
      </w:pPr>
      <w:r w:rsidRPr="00281092">
        <w:rPr>
          <w:rFonts w:asciiTheme="minorHAnsi" w:hAnsiTheme="minorHAnsi" w:cs="AdvPS8C2A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6DF05" wp14:editId="22F4A311">
                <wp:simplePos x="0" y="0"/>
                <wp:positionH relativeFrom="margin">
                  <wp:posOffset>3171825</wp:posOffset>
                </wp:positionH>
                <wp:positionV relativeFrom="paragraph">
                  <wp:posOffset>1097915</wp:posOffset>
                </wp:positionV>
                <wp:extent cx="200660" cy="280670"/>
                <wp:effectExtent l="0" t="0" r="8890" b="50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51A2" w14:textId="77777777" w:rsidR="00257807" w:rsidRPr="00F311AD" w:rsidRDefault="00257807" w:rsidP="00257807">
                            <w:pPr>
                              <w:rPr>
                                <w:rFonts w:asciiTheme="minorHAnsi" w:hAnsiTheme="minorHAnsi"/>
                                <w:lang w:val="fr-FR"/>
                              </w:rPr>
                            </w:pPr>
                            <w:r w:rsidRPr="00F311AD">
                              <w:rPr>
                                <w:rFonts w:asciiTheme="minorHAnsi" w:hAnsiTheme="minorHAnsi"/>
                                <w:lang w:val="fr-F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6DF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9.75pt;margin-top:86.45pt;width:15.8pt;height:2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" stroked="f">
                <v:textbox>
                  <w:txbxContent>
                    <w:p w14:paraId="6F3C51A2" w14:textId="77777777" w:rsidR="00257807" w:rsidRPr="00F311AD" w:rsidRDefault="00257807" w:rsidP="00257807">
                      <w:pPr>
                        <w:rPr>
                          <w:rFonts w:asciiTheme="minorHAnsi" w:hAnsiTheme="minorHAnsi"/>
                          <w:lang w:val="fr-FR"/>
                        </w:rPr>
                      </w:pPr>
                      <w:r w:rsidRPr="00F311AD">
                        <w:rPr>
                          <w:rFonts w:asciiTheme="minorHAnsi" w:hAnsiTheme="minorHAnsi"/>
                          <w:lang w:val="fr-FR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1092">
        <w:rPr>
          <w:rFonts w:asciiTheme="minorHAnsi" w:hAnsiTheme="minorHAnsi" w:cs="AdvPS8C2A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90A5C" wp14:editId="720B6A0B">
                <wp:simplePos x="0" y="0"/>
                <wp:positionH relativeFrom="leftMargin">
                  <wp:posOffset>1042035</wp:posOffset>
                </wp:positionH>
                <wp:positionV relativeFrom="paragraph">
                  <wp:posOffset>1097915</wp:posOffset>
                </wp:positionV>
                <wp:extent cx="152400" cy="25082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7C82" w14:textId="77777777" w:rsidR="00257807" w:rsidRPr="00F311AD" w:rsidRDefault="00257807" w:rsidP="00257807">
                            <w:pPr>
                              <w:rPr>
                                <w:rFonts w:asciiTheme="minorHAnsi" w:hAnsiTheme="minorHAnsi"/>
                                <w:lang w:val="fr-FR"/>
                              </w:rPr>
                            </w:pPr>
                            <w:r w:rsidRPr="00F311AD">
                              <w:rPr>
                                <w:rFonts w:asciiTheme="minorHAnsi" w:hAnsiTheme="minorHAns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0A5C" id="_x0000_s1027" type="#_x0000_t202" style="position:absolute;left:0;text-align:left;margin-left:82.05pt;margin-top:86.45pt;width:12pt;height: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" stroked="f">
                <v:textbox>
                  <w:txbxContent>
                    <w:p w14:paraId="4CA07C82" w14:textId="77777777" w:rsidR="00257807" w:rsidRPr="00F311AD" w:rsidRDefault="00257807" w:rsidP="00257807">
                      <w:pPr>
                        <w:rPr>
                          <w:rFonts w:asciiTheme="minorHAnsi" w:hAnsiTheme="minorHAnsi"/>
                          <w:lang w:val="fr-FR"/>
                        </w:rPr>
                      </w:pPr>
                      <w:r w:rsidRPr="00F311AD">
                        <w:rPr>
                          <w:rFonts w:asciiTheme="minorHAnsi" w:hAnsiTheme="minorHAnsi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>As a first step, the approach was tested on the hydrolysis of bovine serum albumin</w:t>
      </w:r>
      <w:r w:rsidR="0046751D">
        <w:rPr>
          <w:rStyle w:val="lev"/>
          <w:rFonts w:asciiTheme="minorHAnsi" w:hAnsiTheme="minorHAnsi"/>
          <w:b w:val="0"/>
          <w:sz w:val="22"/>
          <w:szCs w:val="24"/>
        </w:rPr>
        <w:t xml:space="preserve"> (BSA)</w: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 and rapeseed albumin</w:t>
      </w:r>
      <w:r w:rsidR="0046751D">
        <w:rPr>
          <w:rStyle w:val="lev"/>
          <w:rFonts w:asciiTheme="minorHAnsi" w:hAnsiTheme="minorHAnsi"/>
          <w:b w:val="0"/>
          <w:sz w:val="22"/>
          <w:szCs w:val="24"/>
        </w:rPr>
        <w:t xml:space="preserve"> (RA)</w: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 by Alcalase 2.4L</w:t>
      </w:r>
      <w:r w:rsidR="0046751D">
        <w:rPr>
          <w:rStyle w:val="lev"/>
          <w:rFonts w:asciiTheme="minorHAnsi" w:hAnsiTheme="minorHAnsi"/>
          <w:b w:val="0"/>
          <w:sz w:val="22"/>
          <w:szCs w:val="24"/>
        </w:rPr>
        <w:t xml:space="preserve"> </w:t>
      </w:r>
      <w:r w:rsidR="0046751D" w:rsidRPr="00EF2D5C">
        <w:rPr>
          <w:rStyle w:val="lev"/>
          <w:rFonts w:asciiTheme="minorHAnsi"/>
          <w:b w:val="0"/>
          <w:sz w:val="22"/>
          <w:szCs w:val="24"/>
        </w:rPr>
        <w:t>because of their different origin, structure, iso</w:t>
      </w:r>
      <w:r w:rsidR="0046751D">
        <w:rPr>
          <w:rStyle w:val="lev"/>
          <w:rFonts w:asciiTheme="minorHAnsi"/>
          <w:b w:val="0"/>
          <w:sz w:val="22"/>
          <w:szCs w:val="24"/>
        </w:rPr>
        <w:t>electric point and composition</w: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. </w:t>
      </w:r>
      <w:r w:rsidR="00A73EE1">
        <w:rPr>
          <w:rStyle w:val="lev"/>
          <w:rFonts w:asciiTheme="minorHAnsi" w:hAnsiTheme="minorHAnsi"/>
          <w:b w:val="0"/>
          <w:sz w:val="22"/>
          <w:szCs w:val="24"/>
        </w:rPr>
        <w:t xml:space="preserve">Hydrolysis kinetics were monitored by SE-HPLC (Figure 1A) and the 3 parameters were determined in the course of reaction as described above.  </w: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>Values of DH were also determined by TNBS and pH-stat methods. Most of the hydrolysate</w:t>
      </w:r>
      <w:r w:rsidR="00A73EE1">
        <w:rPr>
          <w:rStyle w:val="lev"/>
          <w:rFonts w:asciiTheme="minorHAnsi" w:hAnsiTheme="minorHAnsi"/>
          <w:b w:val="0"/>
          <w:sz w:val="22"/>
          <w:szCs w:val="24"/>
        </w:rPr>
        <w:t>s</w: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 obtaine</w:t>
      </w:r>
      <w:r w:rsidR="00A73EE1">
        <w:rPr>
          <w:rStyle w:val="lev"/>
          <w:rFonts w:asciiTheme="minorHAnsi" w:hAnsiTheme="minorHAnsi"/>
          <w:b w:val="0"/>
          <w:sz w:val="22"/>
          <w:szCs w:val="24"/>
        </w:rPr>
        <w:t>d showed relative differences &lt;</w: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>20% with the reference methods</w:t>
      </w:r>
      <w:r w:rsidR="0046751D">
        <w:rPr>
          <w:rStyle w:val="lev"/>
          <w:rFonts w:asciiTheme="minorHAnsi" w:hAnsiTheme="minorHAnsi"/>
          <w:b w:val="0"/>
          <w:sz w:val="22"/>
          <w:szCs w:val="24"/>
        </w:rPr>
        <w:t xml:space="preserve"> (Figure 1</w:t>
      </w:r>
      <w:r w:rsidR="00257807">
        <w:rPr>
          <w:rStyle w:val="lev"/>
          <w:rFonts w:asciiTheme="minorHAnsi" w:hAnsiTheme="minorHAnsi"/>
          <w:b w:val="0"/>
          <w:sz w:val="22"/>
          <w:szCs w:val="24"/>
        </w:rPr>
        <w:t>B</w:t>
      </w:r>
      <w:r w:rsidR="0046751D">
        <w:rPr>
          <w:rStyle w:val="lev"/>
          <w:rFonts w:asciiTheme="minorHAnsi" w:hAnsiTheme="minorHAnsi"/>
          <w:b w:val="0"/>
          <w:sz w:val="22"/>
          <w:szCs w:val="24"/>
        </w:rPr>
        <w:t>)</w:t>
      </w:r>
      <w:r w:rsidR="008416E5"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. </w:t>
      </w:r>
      <w:r w:rsidR="0046751D" w:rsidRPr="00432224">
        <w:rPr>
          <w:rStyle w:val="lev"/>
          <w:rFonts w:asciiTheme="minorHAnsi" w:hAnsiTheme="minorHAnsi"/>
          <w:b w:val="0"/>
          <w:sz w:val="22"/>
          <w:szCs w:val="24"/>
        </w:rPr>
        <w:t>The method was also adapted to fit the TNBS assay.</w:t>
      </w:r>
    </w:p>
    <w:p w14:paraId="30CDB15E" w14:textId="32F4C681" w:rsidR="0053724E" w:rsidRDefault="0053724E" w:rsidP="0046751D">
      <w:pPr>
        <w:jc w:val="center"/>
      </w:pPr>
      <w:r>
        <w:rPr>
          <w:noProof/>
          <w:lang w:val="en-US"/>
        </w:rPr>
        <w:drawing>
          <wp:inline distT="0" distB="0" distL="0" distR="0" wp14:anchorId="4266CBD2" wp14:editId="41C3100A">
            <wp:extent cx="3305175" cy="1533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57" cy="154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807">
        <w:rPr>
          <w:noProof/>
          <w:lang w:val="en-US"/>
        </w:rPr>
        <w:drawing>
          <wp:inline distT="0" distB="0" distL="0" distR="0" wp14:anchorId="126D55AE" wp14:editId="1F16B8A6">
            <wp:extent cx="2142490" cy="1524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43" cy="154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94D7" w14:textId="6E20B407" w:rsidR="0028592C" w:rsidRPr="00263F49" w:rsidRDefault="00F311AD" w:rsidP="0046751D">
      <w:pPr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Cs w:val="18"/>
          <w:lang w:val="fr-FR"/>
        </w:rPr>
      </w:pPr>
      <w:r w:rsidRPr="0046751D">
        <w:rPr>
          <w:rFonts w:asciiTheme="minorHAnsi" w:hAnsiTheme="minorHAnsi"/>
          <w:b/>
          <w:noProof/>
          <w:szCs w:val="18"/>
        </w:rPr>
        <w:t xml:space="preserve">Figure </w:t>
      </w:r>
      <w:r w:rsidR="00575903" w:rsidRPr="0046751D">
        <w:rPr>
          <w:rFonts w:asciiTheme="minorHAnsi" w:hAnsiTheme="minorHAnsi"/>
          <w:b/>
          <w:noProof/>
          <w:szCs w:val="18"/>
        </w:rPr>
        <w:t>1.</w:t>
      </w:r>
      <w:r w:rsidRPr="0046751D">
        <w:rPr>
          <w:rFonts w:asciiTheme="minorHAnsi" w:hAnsiTheme="minorHAnsi"/>
          <w:noProof/>
          <w:szCs w:val="18"/>
        </w:rPr>
        <w:t xml:space="preserve"> </w:t>
      </w:r>
      <w:r w:rsidR="00257807">
        <w:rPr>
          <w:rFonts w:asciiTheme="minorHAnsi" w:hAnsiTheme="minorHAnsi"/>
          <w:noProof/>
          <w:szCs w:val="18"/>
        </w:rPr>
        <w:t xml:space="preserve">(A) </w:t>
      </w:r>
      <w:r w:rsidR="00257807" w:rsidRPr="00257807">
        <w:rPr>
          <w:rFonts w:asciiTheme="minorHAnsi" w:hAnsiTheme="minorHAnsi" w:cstheme="minorHAnsi"/>
          <w:szCs w:val="18"/>
          <w:lang w:val="en-US"/>
        </w:rPr>
        <w:t>Size exclusion chromatograms obtained for the hydrolysis of 1 % (w/v) RA with Alcalase 2.4 L over 6 h</w:t>
      </w:r>
      <w:r w:rsidR="00257807">
        <w:rPr>
          <w:rFonts w:asciiTheme="minorHAnsi" w:hAnsiTheme="minorHAnsi" w:cstheme="minorHAnsi"/>
          <w:szCs w:val="18"/>
          <w:lang w:val="en-US"/>
        </w:rPr>
        <w:t>;</w:t>
      </w:r>
      <w:r w:rsidR="00257807">
        <w:rPr>
          <w:rFonts w:asciiTheme="minorHAnsi" w:hAnsiTheme="minorHAnsi"/>
          <w:noProof/>
          <w:szCs w:val="18"/>
        </w:rPr>
        <w:t xml:space="preserve"> (B) </w:t>
      </w:r>
      <w:r w:rsidR="00256997" w:rsidRPr="0046751D">
        <w:rPr>
          <w:rFonts w:asciiTheme="minorHAnsi" w:hAnsiTheme="minorHAnsi" w:cstheme="minorHAnsi"/>
          <w:szCs w:val="18"/>
          <w:lang w:val="en-US"/>
        </w:rPr>
        <w:t xml:space="preserve">Comparison of the DH values obtained with </w:t>
      </w:r>
      <w:r w:rsidR="00257807">
        <w:rPr>
          <w:rFonts w:asciiTheme="minorHAnsi" w:hAnsiTheme="minorHAnsi" w:cstheme="minorHAnsi"/>
          <w:szCs w:val="18"/>
          <w:lang w:val="en-US"/>
        </w:rPr>
        <w:t>the SE-HPLC and</w:t>
      </w:r>
      <w:r w:rsidR="00256997" w:rsidRPr="0046751D">
        <w:rPr>
          <w:rFonts w:asciiTheme="minorHAnsi" w:hAnsiTheme="minorHAnsi" w:cstheme="minorHAnsi"/>
          <w:szCs w:val="18"/>
          <w:lang w:val="en-US"/>
        </w:rPr>
        <w:t xml:space="preserve"> TNBS </w:t>
      </w:r>
      <w:r w:rsidR="00257807">
        <w:rPr>
          <w:rFonts w:asciiTheme="minorHAnsi" w:hAnsiTheme="minorHAnsi" w:cstheme="minorHAnsi"/>
          <w:szCs w:val="18"/>
          <w:lang w:val="en-US"/>
        </w:rPr>
        <w:t>methods</w:t>
      </w:r>
      <w:r w:rsidR="00256997" w:rsidRPr="0046751D">
        <w:rPr>
          <w:rFonts w:asciiTheme="minorHAnsi" w:hAnsiTheme="minorHAnsi" w:cstheme="minorHAnsi"/>
          <w:szCs w:val="18"/>
          <w:lang w:val="en-US"/>
        </w:rPr>
        <w:t xml:space="preserve"> for the hydrolysis of 1 % (w/v) BSA (</w:t>
      </w:r>
      <w:r w:rsidR="00256997" w:rsidRPr="0046751D">
        <w:rPr>
          <w:rFonts w:asciiTheme="minorHAnsi" w:hAnsiTheme="minorHAnsi" w:cstheme="minorHAnsi"/>
          <w:color w:val="4F81BD" w:themeColor="accent1"/>
          <w:szCs w:val="18"/>
          <w:lang w:val="en-US"/>
        </w:rPr>
        <w:sym w:font="Wingdings 2" w:char="F098"/>
      </w:r>
      <w:r w:rsidR="00256997" w:rsidRPr="0046751D">
        <w:rPr>
          <w:rFonts w:asciiTheme="minorHAnsi" w:hAnsiTheme="minorHAnsi" w:cstheme="minorHAnsi"/>
          <w:szCs w:val="18"/>
          <w:lang w:val="en-US"/>
        </w:rPr>
        <w:t>) and RA (</w:t>
      </w:r>
      <w:r w:rsidR="00256997" w:rsidRPr="0046751D">
        <w:rPr>
          <w:rFonts w:asciiTheme="minorHAnsi" w:hAnsiTheme="minorHAnsi" w:cstheme="minorHAnsi"/>
          <w:color w:val="9BBB59" w:themeColor="accent3"/>
          <w:szCs w:val="18"/>
          <w:lang w:val="en-US"/>
        </w:rPr>
        <w:sym w:font="Wingdings 2" w:char="F0BE"/>
      </w:r>
      <w:r w:rsidR="00256997" w:rsidRPr="0046751D">
        <w:rPr>
          <w:rFonts w:asciiTheme="minorHAnsi" w:hAnsiTheme="minorHAnsi" w:cstheme="minorHAnsi"/>
          <w:szCs w:val="18"/>
          <w:lang w:val="en-US"/>
        </w:rPr>
        <w:t xml:space="preserve">) with Alcalase 2.4 L. Values are means of triplicate determinations. </w:t>
      </w:r>
      <w:proofErr w:type="spellStart"/>
      <w:r w:rsidR="00256997" w:rsidRPr="00263F49">
        <w:rPr>
          <w:rFonts w:asciiTheme="minorHAnsi" w:hAnsiTheme="minorHAnsi" w:cstheme="minorHAnsi"/>
          <w:szCs w:val="18"/>
          <w:lang w:val="fr-FR"/>
        </w:rPr>
        <w:t>Error</w:t>
      </w:r>
      <w:proofErr w:type="spellEnd"/>
      <w:r w:rsidR="00256997" w:rsidRPr="00263F49">
        <w:rPr>
          <w:rFonts w:asciiTheme="minorHAnsi" w:hAnsiTheme="minorHAnsi" w:cstheme="minorHAnsi"/>
          <w:szCs w:val="18"/>
          <w:lang w:val="fr-FR"/>
        </w:rPr>
        <w:t xml:space="preserve"> bars show standard </w:t>
      </w:r>
      <w:proofErr w:type="spellStart"/>
      <w:r w:rsidR="00256997" w:rsidRPr="00263F49">
        <w:rPr>
          <w:rFonts w:asciiTheme="minorHAnsi" w:hAnsiTheme="minorHAnsi" w:cstheme="minorHAnsi"/>
          <w:szCs w:val="18"/>
          <w:lang w:val="fr-FR"/>
        </w:rPr>
        <w:t>deviation</w:t>
      </w:r>
      <w:proofErr w:type="spellEnd"/>
      <w:r w:rsidR="00256997" w:rsidRPr="00263F49">
        <w:rPr>
          <w:rFonts w:asciiTheme="minorHAnsi" w:hAnsiTheme="minorHAnsi" w:cstheme="minorHAnsi"/>
          <w:szCs w:val="18"/>
          <w:lang w:val="fr-FR"/>
        </w:rPr>
        <w:t>.</w:t>
      </w:r>
      <w:r w:rsidR="001C2778" w:rsidRPr="00263F49">
        <w:rPr>
          <w:rFonts w:asciiTheme="minorHAnsi" w:hAnsiTheme="minorHAnsi" w:cstheme="minorHAnsi"/>
          <w:szCs w:val="18"/>
          <w:lang w:val="fr-FR"/>
        </w:rPr>
        <w:t xml:space="preserve"> </w:t>
      </w:r>
    </w:p>
    <w:p w14:paraId="6840BD97" w14:textId="62A31C8C" w:rsidR="0046751D" w:rsidRPr="00263F49" w:rsidRDefault="0046751D" w:rsidP="0046751D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18"/>
          <w:lang w:val="fr-FR"/>
        </w:rPr>
      </w:pPr>
    </w:p>
    <w:p w14:paraId="16B6409F" w14:textId="21ED9830" w:rsidR="0046751D" w:rsidRPr="0046751D" w:rsidRDefault="0046751D" w:rsidP="0046751D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/>
          <w:bCs/>
          <w:color w:val="000000" w:themeColor="text1"/>
          <w:sz w:val="22"/>
          <w:szCs w:val="24"/>
        </w:rPr>
      </w:pPr>
      <w:r w:rsidRPr="00EF2D5C">
        <w:rPr>
          <w:rStyle w:val="lev"/>
          <w:rFonts w:asciiTheme="minorHAnsi"/>
          <w:b w:val="0"/>
          <w:sz w:val="22"/>
          <w:szCs w:val="24"/>
        </w:rPr>
        <w:t>Then, validation of the methodology was realized through a statistical comparison between the DH value</w:t>
      </w:r>
      <w:r>
        <w:rPr>
          <w:rStyle w:val="lev"/>
          <w:rFonts w:asciiTheme="minorHAnsi"/>
          <w:b w:val="0"/>
          <w:sz w:val="22"/>
          <w:szCs w:val="24"/>
        </w:rPr>
        <w:t>s</w:t>
      </w:r>
      <w:r w:rsidRPr="00EF2D5C">
        <w:rPr>
          <w:rStyle w:val="lev"/>
          <w:rFonts w:asciiTheme="minorHAnsi"/>
          <w:b w:val="0"/>
          <w:sz w:val="22"/>
          <w:szCs w:val="24"/>
        </w:rPr>
        <w:t xml:space="preserve"> obtained by the method and those obtained with TNBS and pH stat methods for BSA, RA and lysozyme substrates.</w:t>
      </w:r>
      <w:r>
        <w:rPr>
          <w:rFonts w:asciiTheme="minorHAnsi"/>
          <w:bCs/>
          <w:color w:val="000000" w:themeColor="text1"/>
          <w:sz w:val="22"/>
          <w:szCs w:val="24"/>
        </w:rPr>
        <w:t xml:space="preserve"> </w:t>
      </w:r>
      <w:r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39 experimental validation tests were </w:t>
      </w:r>
      <w:r w:rsidR="00257807" w:rsidRPr="00432224">
        <w:rPr>
          <w:rStyle w:val="lev"/>
          <w:rFonts w:asciiTheme="minorHAnsi" w:hAnsiTheme="minorHAnsi"/>
          <w:b w:val="0"/>
          <w:sz w:val="22"/>
          <w:szCs w:val="24"/>
        </w:rPr>
        <w:t>analysed</w:t>
      </w:r>
      <w:r w:rsidRPr="00432224">
        <w:rPr>
          <w:rStyle w:val="lev"/>
          <w:rFonts w:asciiTheme="minorHAnsi" w:hAnsiTheme="minorHAnsi"/>
          <w:b w:val="0"/>
          <w:sz w:val="22"/>
          <w:szCs w:val="24"/>
        </w:rPr>
        <w:t xml:space="preserve"> by SE-HPLC, TNBS and pH stat methods. 90% of the validation data show non-significant differences between the DH predicted and the DH measured by TNBS method.</w:t>
      </w:r>
    </w:p>
    <w:p w14:paraId="68D9C36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52AA76E" w14:textId="77777777" w:rsidR="00E02BDF" w:rsidRPr="0046751D" w:rsidRDefault="008416E5" w:rsidP="0046751D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color w:val="000000" w:themeColor="text1"/>
          <w:sz w:val="22"/>
          <w:szCs w:val="24"/>
        </w:rPr>
      </w:pPr>
      <w:r w:rsidRPr="002803BE">
        <w:rPr>
          <w:rStyle w:val="lev"/>
          <w:rFonts w:asciiTheme="minorHAnsi" w:hAnsiTheme="minorHAnsi"/>
          <w:b w:val="0"/>
          <w:sz w:val="22"/>
          <w:szCs w:val="24"/>
        </w:rPr>
        <w:t>The proposed methodology can be efficient</w:t>
      </w:r>
      <w:r w:rsidRPr="002803BE">
        <w:rPr>
          <w:rStyle w:val="lev"/>
          <w:rFonts w:asciiTheme="minorHAnsi" w:hAnsiTheme="minorHAnsi"/>
          <w:sz w:val="22"/>
          <w:szCs w:val="24"/>
        </w:rPr>
        <w:t xml:space="preserve"> </w:t>
      </w:r>
      <w:r w:rsidRPr="002803BE">
        <w:rPr>
          <w:rFonts w:asciiTheme="minorHAnsi" w:hAnsiTheme="minorHAnsi"/>
          <w:sz w:val="22"/>
        </w:rPr>
        <w:t>for the process monitoring of enzymatic proteolysis</w:t>
      </w:r>
      <w:r w:rsidRPr="002803BE">
        <w:rPr>
          <w:rFonts w:asciiTheme="minorHAnsi" w:hAnsiTheme="minorHAnsi"/>
          <w:b/>
          <w:sz w:val="22"/>
        </w:rPr>
        <w:t xml:space="preserve"> </w:t>
      </w:r>
      <w:r w:rsidRPr="002803BE">
        <w:rPr>
          <w:rStyle w:val="lev"/>
          <w:rFonts w:asciiTheme="minorHAnsi" w:hAnsiTheme="minorHAnsi"/>
          <w:b w:val="0"/>
          <w:sz w:val="22"/>
          <w:szCs w:val="24"/>
        </w:rPr>
        <w:t>while minimizing time and quantity of sample assay required. Moreover, it could be used for functionalities or bioactivities analysis of produced hydrolysates.</w:t>
      </w:r>
    </w:p>
    <w:p w14:paraId="5065EC58" w14:textId="77777777" w:rsidR="004D1162" w:rsidRPr="008416E5" w:rsidRDefault="00704BDF" w:rsidP="0046751D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416E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 w:rsidRPr="008416E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1EC25A82" w14:textId="72443A1C" w:rsidR="00F95BD8" w:rsidRPr="00F95BD8" w:rsidRDefault="00E14F13" w:rsidP="00F95BD8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0"/>
          <w:szCs w:val="22"/>
          <w:lang w:val="fr-FR" w:eastAsia="zh-CN"/>
        </w:rPr>
      </w:pPr>
      <w:r w:rsidRPr="00F95BD8">
        <w:rPr>
          <w:rFonts w:asciiTheme="minorHAnsi" w:eastAsia="SimSun" w:hAnsiTheme="minorHAnsi"/>
          <w:sz w:val="20"/>
          <w:szCs w:val="22"/>
          <w:lang w:val="fr-FR" w:eastAsia="zh-CN"/>
        </w:rPr>
        <w:t>[1</w:t>
      </w:r>
      <w:r w:rsidR="00256997" w:rsidRPr="00F95BD8">
        <w:rPr>
          <w:rFonts w:asciiTheme="minorHAnsi" w:eastAsia="SimSun" w:hAnsiTheme="minorHAnsi"/>
          <w:sz w:val="20"/>
          <w:szCs w:val="22"/>
          <w:lang w:val="fr-FR" w:eastAsia="zh-CN"/>
        </w:rPr>
        <w:t xml:space="preserve">] </w:t>
      </w:r>
      <w:proofErr w:type="spellStart"/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>Tavano</w:t>
      </w:r>
      <w:proofErr w:type="spellEnd"/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 xml:space="preserve">, O. L. (2013). </w:t>
      </w:r>
      <w:r w:rsidR="00F95BD8" w:rsidRPr="00F95BD8">
        <w:rPr>
          <w:rFonts w:asciiTheme="minorHAnsi" w:eastAsia="SimSun" w:hAnsiTheme="minorHAnsi"/>
          <w:sz w:val="20"/>
          <w:szCs w:val="22"/>
          <w:lang w:val="en-US" w:eastAsia="zh-CN"/>
        </w:rPr>
        <w:t>Protein hydrolysis using proteases: an importa</w:t>
      </w:r>
      <w:r w:rsidR="00F95BD8" w:rsidRPr="00F95BD8">
        <w:rPr>
          <w:rFonts w:asciiTheme="minorHAnsi" w:eastAsia="SimSun" w:hAnsiTheme="minorHAnsi"/>
          <w:sz w:val="20"/>
          <w:szCs w:val="22"/>
          <w:lang w:val="en-US" w:eastAsia="zh-CN"/>
        </w:rPr>
        <w:t xml:space="preserve">nt tool for food biotechnology. </w:t>
      </w:r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 xml:space="preserve">Journal of </w:t>
      </w:r>
      <w:proofErr w:type="spellStart"/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>Molecular</w:t>
      </w:r>
      <w:proofErr w:type="spellEnd"/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 xml:space="preserve"> </w:t>
      </w:r>
      <w:proofErr w:type="spellStart"/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>Catalysis</w:t>
      </w:r>
      <w:proofErr w:type="spellEnd"/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 xml:space="preserve"> B: Enzymatic, 90, 1-11.</w:t>
      </w:r>
      <w:r w:rsidR="00F95BD8" w:rsidRPr="00F95BD8">
        <w:rPr>
          <w:rFonts w:asciiTheme="minorHAnsi" w:eastAsia="SimSun" w:hAnsiTheme="minorHAnsi"/>
          <w:sz w:val="20"/>
          <w:szCs w:val="22"/>
          <w:lang w:val="fr-FR" w:eastAsia="zh-CN"/>
        </w:rPr>
        <w:t xml:space="preserve"> </w:t>
      </w:r>
    </w:p>
    <w:p w14:paraId="7128CD73" w14:textId="2116E5E0" w:rsidR="004D1162" w:rsidRPr="00256997" w:rsidRDefault="00F95BD8" w:rsidP="00F95BD8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="SimSun" w:hAnsiTheme="minorHAnsi"/>
          <w:sz w:val="20"/>
          <w:szCs w:val="22"/>
          <w:lang w:val="en-US" w:eastAsia="zh-CN"/>
        </w:rPr>
      </w:pPr>
      <w:r>
        <w:rPr>
          <w:rFonts w:asciiTheme="minorHAnsi" w:eastAsia="SimSun" w:hAnsiTheme="minorHAnsi"/>
          <w:sz w:val="20"/>
          <w:szCs w:val="22"/>
          <w:lang w:val="en-US" w:eastAsia="zh-CN"/>
        </w:rPr>
        <w:t xml:space="preserve">[2] </w:t>
      </w:r>
      <w:r w:rsidR="008416E5" w:rsidRPr="00256997">
        <w:rPr>
          <w:rFonts w:asciiTheme="minorHAnsi" w:eastAsia="SimSun" w:hAnsiTheme="minorHAnsi"/>
          <w:sz w:val="20"/>
          <w:szCs w:val="22"/>
          <w:lang w:val="en-US" w:eastAsia="zh-CN"/>
        </w:rPr>
        <w:t>Adler-</w:t>
      </w:r>
      <w:proofErr w:type="spellStart"/>
      <w:r w:rsidR="008416E5" w:rsidRPr="00256997">
        <w:rPr>
          <w:rFonts w:asciiTheme="minorHAnsi" w:eastAsia="SimSun" w:hAnsiTheme="minorHAnsi"/>
          <w:sz w:val="20"/>
          <w:szCs w:val="22"/>
          <w:lang w:val="en-US" w:eastAsia="zh-CN"/>
        </w:rPr>
        <w:t>Nissen</w:t>
      </w:r>
      <w:proofErr w:type="spellEnd"/>
      <w:r w:rsidR="00256997">
        <w:rPr>
          <w:rFonts w:asciiTheme="minorHAnsi" w:eastAsia="SimSun" w:hAnsiTheme="minorHAnsi"/>
          <w:sz w:val="20"/>
          <w:szCs w:val="22"/>
          <w:lang w:val="en-US" w:eastAsia="zh-CN"/>
        </w:rPr>
        <w:t>, J. (1986).</w:t>
      </w:r>
      <w:r w:rsidR="008416E5" w:rsidRPr="00256997">
        <w:rPr>
          <w:rFonts w:asciiTheme="minorHAnsi" w:eastAsia="SimSun" w:hAnsiTheme="minorHAnsi"/>
          <w:sz w:val="20"/>
          <w:szCs w:val="22"/>
          <w:lang w:val="en-US" w:eastAsia="zh-CN"/>
        </w:rPr>
        <w:t xml:space="preserve"> Enzymatic Hydrolysis of Food Proteins, Elsevier </w:t>
      </w:r>
      <w:r w:rsidR="00256997">
        <w:rPr>
          <w:rFonts w:asciiTheme="minorHAnsi" w:eastAsia="SimSun" w:hAnsiTheme="minorHAnsi"/>
          <w:sz w:val="20"/>
          <w:szCs w:val="22"/>
          <w:lang w:val="en-US" w:eastAsia="zh-CN"/>
        </w:rPr>
        <w:t>Applied Science Pub., New York.</w:t>
      </w:r>
    </w:p>
    <w:p w14:paraId="5960E03F" w14:textId="206B4189" w:rsidR="00256997" w:rsidRPr="00256997" w:rsidRDefault="00256997" w:rsidP="0025699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fr-FR" w:eastAsia="zh-CN"/>
        </w:rPr>
      </w:pPr>
      <w:r w:rsidRPr="00F95BD8">
        <w:rPr>
          <w:rFonts w:asciiTheme="minorHAnsi" w:eastAsia="SimSun" w:hAnsiTheme="minorHAnsi"/>
          <w:szCs w:val="22"/>
          <w:lang w:val="fr-FR" w:eastAsia="zh-CN"/>
        </w:rPr>
        <w:t>[</w:t>
      </w:r>
      <w:r w:rsidR="002E0883">
        <w:rPr>
          <w:rFonts w:asciiTheme="minorHAnsi" w:eastAsia="SimSun" w:hAnsiTheme="minorHAnsi"/>
          <w:szCs w:val="22"/>
          <w:lang w:val="fr-FR" w:eastAsia="zh-CN"/>
        </w:rPr>
        <w:t>3</w:t>
      </w:r>
      <w:r w:rsidRPr="00F95BD8">
        <w:rPr>
          <w:rFonts w:asciiTheme="minorHAnsi" w:eastAsia="SimSun" w:hAnsiTheme="minorHAnsi"/>
          <w:szCs w:val="22"/>
          <w:lang w:val="fr-FR" w:eastAsia="zh-CN"/>
        </w:rPr>
        <w:t xml:space="preserve">] Bodin, A., Framboisier, X., Alonso, D., Marc, I., </w:t>
      </w:r>
      <w:proofErr w:type="spellStart"/>
      <w:r w:rsidRPr="00F95BD8">
        <w:rPr>
          <w:rFonts w:asciiTheme="minorHAnsi" w:eastAsia="SimSun" w:hAnsiTheme="minorHAnsi"/>
          <w:szCs w:val="22"/>
          <w:lang w:val="fr-FR" w:eastAsia="zh-CN"/>
        </w:rPr>
        <w:t>Kapel</w:t>
      </w:r>
      <w:proofErr w:type="spellEnd"/>
      <w:r w:rsidRPr="00F95BD8">
        <w:rPr>
          <w:rFonts w:asciiTheme="minorHAnsi" w:eastAsia="SimSun" w:hAnsiTheme="minorHAnsi"/>
          <w:szCs w:val="22"/>
          <w:lang w:val="fr-FR" w:eastAsia="zh-CN"/>
        </w:rPr>
        <w:t xml:space="preserve">, R. (2015). </w:t>
      </w:r>
      <w:r w:rsidRPr="001C2778">
        <w:rPr>
          <w:rFonts w:asciiTheme="minorHAnsi" w:eastAsia="SimSun" w:hAnsiTheme="minorHAnsi"/>
          <w:szCs w:val="22"/>
          <w:lang w:eastAsia="zh-CN"/>
        </w:rPr>
        <w:t xml:space="preserve">Size-exclusion HPLC as a sensitive and </w:t>
      </w:r>
      <w:proofErr w:type="spellStart"/>
      <w:r w:rsidRPr="001C2778">
        <w:rPr>
          <w:rFonts w:asciiTheme="minorHAnsi" w:eastAsia="SimSun" w:hAnsiTheme="minorHAnsi"/>
          <w:szCs w:val="22"/>
          <w:lang w:eastAsia="zh-CN"/>
        </w:rPr>
        <w:t>calibrationless</w:t>
      </w:r>
      <w:proofErr w:type="spellEnd"/>
      <w:r w:rsidRPr="001C2778">
        <w:rPr>
          <w:rFonts w:asciiTheme="minorHAnsi" w:eastAsia="SimSun" w:hAnsiTheme="minorHAnsi"/>
          <w:szCs w:val="22"/>
          <w:lang w:eastAsia="zh-CN"/>
        </w:rPr>
        <w:t xml:space="preserve"> method for complex peptide mixtures quantification. </w:t>
      </w:r>
      <w:r w:rsidRPr="00256997">
        <w:rPr>
          <w:rFonts w:asciiTheme="minorHAnsi" w:eastAsia="SimSun" w:hAnsiTheme="minorHAnsi"/>
          <w:szCs w:val="22"/>
          <w:lang w:val="fr-FR" w:eastAsia="zh-CN"/>
        </w:rPr>
        <w:t xml:space="preserve">Journal of </w:t>
      </w:r>
      <w:proofErr w:type="spellStart"/>
      <w:r w:rsidRPr="00256997">
        <w:rPr>
          <w:rFonts w:asciiTheme="minorHAnsi" w:eastAsia="SimSun" w:hAnsiTheme="minorHAnsi"/>
          <w:szCs w:val="22"/>
          <w:lang w:val="fr-FR" w:eastAsia="zh-CN"/>
        </w:rPr>
        <w:t>Chromatography</w:t>
      </w:r>
      <w:proofErr w:type="spellEnd"/>
      <w:r w:rsidRPr="00256997">
        <w:rPr>
          <w:rFonts w:asciiTheme="minorHAnsi" w:eastAsia="SimSun" w:hAnsiTheme="minorHAnsi"/>
          <w:szCs w:val="22"/>
          <w:lang w:val="fr-FR" w:eastAsia="zh-CN"/>
        </w:rPr>
        <w:t xml:space="preserve"> B, 1006, 71–79.</w:t>
      </w:r>
    </w:p>
    <w:sectPr w:rsidR="00256997" w:rsidRPr="0025699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AF2FC" w14:textId="77777777" w:rsidR="0064723E" w:rsidRDefault="0064723E" w:rsidP="004F5E36">
      <w:r>
        <w:separator/>
      </w:r>
    </w:p>
  </w:endnote>
  <w:endnote w:type="continuationSeparator" w:id="0">
    <w:p w14:paraId="23E40AE2" w14:textId="77777777" w:rsidR="0064723E" w:rsidRDefault="0064723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PS8C2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53CA7" w14:textId="77777777" w:rsidR="0064723E" w:rsidRDefault="0064723E" w:rsidP="004F5E36">
      <w:r>
        <w:separator/>
      </w:r>
    </w:p>
  </w:footnote>
  <w:footnote w:type="continuationSeparator" w:id="0">
    <w:p w14:paraId="301CEC14" w14:textId="77777777" w:rsidR="0064723E" w:rsidRDefault="0064723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4415B" w14:textId="77777777"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83D376" wp14:editId="3E54306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ED0E343" wp14:editId="6EAB5C0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2605B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F563F6" wp14:editId="6708A6D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28D73D34" w14:textId="77777777" w:rsidR="00704BDF" w:rsidRDefault="00704BDF">
    <w:pPr>
      <w:pStyle w:val="En-tte"/>
    </w:pPr>
  </w:p>
  <w:p w14:paraId="6453CBEE" w14:textId="77777777"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F64599" wp14:editId="6FD8EC3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28A7"/>
    <w:multiLevelType w:val="hybridMultilevel"/>
    <w:tmpl w:val="B4DE1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E51CE"/>
    <w:multiLevelType w:val="hybridMultilevel"/>
    <w:tmpl w:val="82E02E86"/>
    <w:lvl w:ilvl="0" w:tplc="2B78F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A4DF9"/>
    <w:multiLevelType w:val="hybridMultilevel"/>
    <w:tmpl w:val="9800D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8"/>
  </w:num>
  <w:num w:numId="17">
    <w:abstractNumId w:val="1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4AC0"/>
    <w:rsid w:val="00062A9A"/>
    <w:rsid w:val="00097231"/>
    <w:rsid w:val="000A03B2"/>
    <w:rsid w:val="000B6FF5"/>
    <w:rsid w:val="000C1B53"/>
    <w:rsid w:val="000C753C"/>
    <w:rsid w:val="000D09F9"/>
    <w:rsid w:val="000D34BE"/>
    <w:rsid w:val="000E36F1"/>
    <w:rsid w:val="000E3A73"/>
    <w:rsid w:val="000E414A"/>
    <w:rsid w:val="000E5B26"/>
    <w:rsid w:val="0013121F"/>
    <w:rsid w:val="00131D90"/>
    <w:rsid w:val="00134DE4"/>
    <w:rsid w:val="00150E59"/>
    <w:rsid w:val="00184AD6"/>
    <w:rsid w:val="001857E7"/>
    <w:rsid w:val="00187967"/>
    <w:rsid w:val="001A6BED"/>
    <w:rsid w:val="001B65C1"/>
    <w:rsid w:val="001C2778"/>
    <w:rsid w:val="001C684B"/>
    <w:rsid w:val="001D53FC"/>
    <w:rsid w:val="001F2EC7"/>
    <w:rsid w:val="002027DB"/>
    <w:rsid w:val="002065DB"/>
    <w:rsid w:val="00236053"/>
    <w:rsid w:val="002447EF"/>
    <w:rsid w:val="00251550"/>
    <w:rsid w:val="00256997"/>
    <w:rsid w:val="00257807"/>
    <w:rsid w:val="00263F49"/>
    <w:rsid w:val="0027221A"/>
    <w:rsid w:val="00275B61"/>
    <w:rsid w:val="002803BE"/>
    <w:rsid w:val="0028592C"/>
    <w:rsid w:val="002D1F12"/>
    <w:rsid w:val="002D58B7"/>
    <w:rsid w:val="002E0883"/>
    <w:rsid w:val="002F39AD"/>
    <w:rsid w:val="003009B7"/>
    <w:rsid w:val="0030469C"/>
    <w:rsid w:val="00341905"/>
    <w:rsid w:val="003723D4"/>
    <w:rsid w:val="00380937"/>
    <w:rsid w:val="003A7D1C"/>
    <w:rsid w:val="00427A28"/>
    <w:rsid w:val="00432224"/>
    <w:rsid w:val="0046164A"/>
    <w:rsid w:val="00462DCD"/>
    <w:rsid w:val="0046751D"/>
    <w:rsid w:val="004D1162"/>
    <w:rsid w:val="004E4DD6"/>
    <w:rsid w:val="004F563B"/>
    <w:rsid w:val="004F5E36"/>
    <w:rsid w:val="005119A5"/>
    <w:rsid w:val="005278B7"/>
    <w:rsid w:val="005346C8"/>
    <w:rsid w:val="0053724E"/>
    <w:rsid w:val="00564FF7"/>
    <w:rsid w:val="00575903"/>
    <w:rsid w:val="00594E9F"/>
    <w:rsid w:val="005A4DE3"/>
    <w:rsid w:val="005B61E6"/>
    <w:rsid w:val="005C2B18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4723E"/>
    <w:rsid w:val="00660E3E"/>
    <w:rsid w:val="00662E74"/>
    <w:rsid w:val="006A4677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16E5"/>
    <w:rsid w:val="008479A2"/>
    <w:rsid w:val="00852BEC"/>
    <w:rsid w:val="0087637F"/>
    <w:rsid w:val="008A1512"/>
    <w:rsid w:val="008D0BEB"/>
    <w:rsid w:val="008E566E"/>
    <w:rsid w:val="00901EB6"/>
    <w:rsid w:val="009450CE"/>
    <w:rsid w:val="0095164B"/>
    <w:rsid w:val="00955624"/>
    <w:rsid w:val="00982715"/>
    <w:rsid w:val="00996483"/>
    <w:rsid w:val="009E788A"/>
    <w:rsid w:val="00A024EA"/>
    <w:rsid w:val="00A05AD8"/>
    <w:rsid w:val="00A15924"/>
    <w:rsid w:val="00A1763D"/>
    <w:rsid w:val="00A17CEC"/>
    <w:rsid w:val="00A2079B"/>
    <w:rsid w:val="00A27EF0"/>
    <w:rsid w:val="00A73EE1"/>
    <w:rsid w:val="00A76EFC"/>
    <w:rsid w:val="00A8594C"/>
    <w:rsid w:val="00A94EB3"/>
    <w:rsid w:val="00A97F29"/>
    <w:rsid w:val="00AA3AD0"/>
    <w:rsid w:val="00AB0964"/>
    <w:rsid w:val="00AE377D"/>
    <w:rsid w:val="00B61DBF"/>
    <w:rsid w:val="00B67582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B4E0A"/>
    <w:rsid w:val="00CC3F4B"/>
    <w:rsid w:val="00CD0397"/>
    <w:rsid w:val="00CD5FE2"/>
    <w:rsid w:val="00D02B4C"/>
    <w:rsid w:val="00D57C46"/>
    <w:rsid w:val="00D654A8"/>
    <w:rsid w:val="00D84576"/>
    <w:rsid w:val="00DA10FE"/>
    <w:rsid w:val="00DC1B02"/>
    <w:rsid w:val="00DE0019"/>
    <w:rsid w:val="00DE264A"/>
    <w:rsid w:val="00DE3961"/>
    <w:rsid w:val="00E02BDF"/>
    <w:rsid w:val="00E041E7"/>
    <w:rsid w:val="00E14F13"/>
    <w:rsid w:val="00E23CA1"/>
    <w:rsid w:val="00E409A8"/>
    <w:rsid w:val="00E47211"/>
    <w:rsid w:val="00E7209D"/>
    <w:rsid w:val="00EA50E1"/>
    <w:rsid w:val="00EE0131"/>
    <w:rsid w:val="00EF2D5C"/>
    <w:rsid w:val="00F30C64"/>
    <w:rsid w:val="00F311AD"/>
    <w:rsid w:val="00F4439C"/>
    <w:rsid w:val="00F745CF"/>
    <w:rsid w:val="00F95BD8"/>
    <w:rsid w:val="00FB3BCB"/>
    <w:rsid w:val="00FB5C46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68F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2D58B7"/>
    <w:pPr>
      <w:numPr>
        <w:ilvl w:val="1"/>
      </w:numPr>
      <w:tabs>
        <w:tab w:val="clear" w:pos="7100"/>
      </w:tabs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0"/>
      <w:sz w:val="22"/>
      <w:szCs w:val="22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2D58B7"/>
    <w:rPr>
      <w:rFonts w:eastAsiaTheme="minorEastAsia"/>
      <w:color w:val="5A5A5A" w:themeColor="text1" w:themeTint="A5"/>
      <w:spacing w:val="10"/>
      <w:lang w:val="fr-FR"/>
    </w:rPr>
  </w:style>
  <w:style w:type="character" w:styleId="Emphaseple">
    <w:name w:val="Subtle Emphasis"/>
    <w:basedOn w:val="Policepardfaut"/>
    <w:uiPriority w:val="19"/>
    <w:qFormat/>
    <w:locked/>
    <w:rsid w:val="002D58B7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locked/>
    <w:rsid w:val="00E02BDF"/>
    <w:rPr>
      <w:b/>
      <w:bCs/>
      <w:color w:val="000000" w:themeColor="text1"/>
    </w:rPr>
  </w:style>
  <w:style w:type="paragraph" w:styleId="Paragraphedeliste">
    <w:name w:val="List Paragraph"/>
    <w:basedOn w:val="Normal"/>
    <w:uiPriority w:val="34"/>
    <w:qFormat/>
    <w:locked/>
    <w:rsid w:val="002027DB"/>
    <w:pPr>
      <w:ind w:left="720"/>
      <w:contextualSpacing/>
    </w:pPr>
  </w:style>
  <w:style w:type="paragraph" w:customStyle="1" w:styleId="Bibliografia1">
    <w:name w:val="Bibliografia1"/>
    <w:basedOn w:val="Normal"/>
    <w:rsid w:val="005A4DE3"/>
    <w:pPr>
      <w:tabs>
        <w:tab w:val="clear" w:pos="7100"/>
        <w:tab w:val="left" w:pos="20"/>
      </w:tabs>
      <w:spacing w:line="240" w:lineRule="auto"/>
      <w:ind w:left="720" w:hanging="720"/>
      <w:jc w:val="left"/>
    </w:pPr>
    <w:rPr>
      <w:rFonts w:ascii="Times New Roman" w:hAnsi="Times New Roman"/>
      <w:sz w:val="24"/>
      <w:szCs w:val="24"/>
      <w:lang w:val="fr-FR"/>
    </w:rPr>
  </w:style>
  <w:style w:type="paragraph" w:customStyle="1" w:styleId="Bibliographie1">
    <w:name w:val="Bibliographie1"/>
    <w:basedOn w:val="Normal"/>
    <w:rsid w:val="005A4DE3"/>
    <w:pPr>
      <w:tabs>
        <w:tab w:val="clear" w:pos="7100"/>
      </w:tabs>
      <w:spacing w:line="480" w:lineRule="auto"/>
      <w:ind w:left="720" w:hanging="720"/>
      <w:jc w:val="left"/>
    </w:pPr>
    <w:rPr>
      <w:rFonts w:ascii="Cambria" w:eastAsia="Cambria" w:hAnsi="Cambria"/>
      <w:sz w:val="24"/>
      <w:szCs w:val="24"/>
      <w:lang w:val="fr-FR"/>
    </w:rPr>
  </w:style>
  <w:style w:type="paragraph" w:styleId="Sansinterligne">
    <w:name w:val="No Spacing"/>
    <w:aliases w:val="encadré"/>
    <w:uiPriority w:val="1"/>
    <w:qFormat/>
    <w:locked/>
    <w:rsid w:val="004322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Theme="minorEastAsia" w:hAnsi="Arial"/>
      <w:i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EF2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A465-3780-4888-AF6D-B1DDBF7A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Sophie</cp:lastModifiedBy>
  <cp:revision>8</cp:revision>
  <cp:lastPrinted>2015-05-12T18:31:00Z</cp:lastPrinted>
  <dcterms:created xsi:type="dcterms:W3CDTF">2019-01-15T15:30:00Z</dcterms:created>
  <dcterms:modified xsi:type="dcterms:W3CDTF">2019-01-15T15:55:00Z</dcterms:modified>
</cp:coreProperties>
</file>