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rsidR="00704BDF" w:rsidRPr="00DE0019" w:rsidRDefault="00C7150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Investigating Deep-Sea Oil Spills – Transfer of Engineering Methods to an Environmental Issue in Experiments and Modeling</w:t>
      </w:r>
    </w:p>
    <w:p w:rsidR="00DE0019" w:rsidRPr="008025B4" w:rsidRDefault="00C71504" w:rsidP="00704BDF">
      <w:pPr>
        <w:snapToGrid w:val="0"/>
        <w:spacing w:after="120"/>
        <w:jc w:val="center"/>
        <w:rPr>
          <w:rFonts w:asciiTheme="minorHAnsi" w:eastAsia="SimSun" w:hAnsiTheme="minorHAnsi"/>
          <w:color w:val="000000"/>
          <w:sz w:val="24"/>
          <w:szCs w:val="24"/>
          <w:lang w:val="de-DE" w:eastAsia="zh-CN"/>
        </w:rPr>
      </w:pPr>
      <w:r w:rsidRPr="008025B4">
        <w:rPr>
          <w:rFonts w:asciiTheme="minorHAnsi" w:eastAsia="SimSun" w:hAnsiTheme="minorHAnsi"/>
          <w:color w:val="000000"/>
          <w:sz w:val="24"/>
          <w:szCs w:val="24"/>
          <w:u w:val="single"/>
          <w:lang w:val="de-DE" w:eastAsia="zh-CN"/>
        </w:rPr>
        <w:t>Simeon Pesch</w:t>
      </w:r>
      <w:r w:rsidR="00704BDF" w:rsidRPr="008025B4">
        <w:rPr>
          <w:rFonts w:asciiTheme="minorHAnsi" w:eastAsia="SimSun" w:hAnsiTheme="minorHAnsi"/>
          <w:color w:val="000000"/>
          <w:sz w:val="24"/>
          <w:szCs w:val="24"/>
          <w:u w:val="single"/>
          <w:vertAlign w:val="superscript"/>
          <w:lang w:val="de-DE" w:eastAsia="zh-CN"/>
        </w:rPr>
        <w:t>1</w:t>
      </w:r>
      <w:r w:rsidR="00380095" w:rsidRPr="008025B4">
        <w:rPr>
          <w:rFonts w:asciiTheme="minorHAnsi" w:eastAsia="SimSun" w:hAnsiTheme="minorHAnsi"/>
          <w:color w:val="000000"/>
          <w:sz w:val="24"/>
          <w:szCs w:val="24"/>
          <w:u w:val="single"/>
          <w:vertAlign w:val="superscript"/>
          <w:lang w:val="de-DE" w:eastAsia="zh-CN"/>
        </w:rPr>
        <w:t>*</w:t>
      </w:r>
      <w:r w:rsidR="00736B13" w:rsidRPr="008025B4">
        <w:rPr>
          <w:rFonts w:asciiTheme="minorHAnsi" w:eastAsia="SimSun" w:hAnsiTheme="minorHAnsi"/>
          <w:color w:val="000000"/>
          <w:sz w:val="24"/>
          <w:szCs w:val="24"/>
          <w:lang w:val="de-DE" w:eastAsia="zh-CN"/>
        </w:rPr>
        <w:t xml:space="preserve">, </w:t>
      </w:r>
      <w:r w:rsidRPr="008025B4">
        <w:rPr>
          <w:rFonts w:asciiTheme="minorHAnsi" w:eastAsia="SimSun" w:hAnsiTheme="minorHAnsi"/>
          <w:color w:val="000000"/>
          <w:sz w:val="24"/>
          <w:szCs w:val="24"/>
          <w:lang w:val="de-DE" w:eastAsia="zh-CN"/>
        </w:rPr>
        <w:t>Claire Paris</w:t>
      </w:r>
      <w:r w:rsidR="00704BDF" w:rsidRPr="008025B4">
        <w:rPr>
          <w:rFonts w:asciiTheme="minorHAnsi" w:eastAsia="SimSun" w:hAnsiTheme="minorHAnsi"/>
          <w:color w:val="000000"/>
          <w:sz w:val="24"/>
          <w:szCs w:val="24"/>
          <w:vertAlign w:val="superscript"/>
          <w:lang w:val="de-DE" w:eastAsia="zh-CN"/>
        </w:rPr>
        <w:t>2</w:t>
      </w:r>
      <w:r w:rsidRPr="008025B4">
        <w:rPr>
          <w:rFonts w:asciiTheme="minorHAnsi" w:eastAsia="SimSun" w:hAnsiTheme="minorHAnsi"/>
          <w:color w:val="000000"/>
          <w:sz w:val="24"/>
          <w:szCs w:val="24"/>
          <w:lang w:val="de-DE" w:eastAsia="zh-CN"/>
        </w:rPr>
        <w:t>, Zachary Aman</w:t>
      </w:r>
      <w:r w:rsidRPr="008025B4">
        <w:rPr>
          <w:rFonts w:asciiTheme="minorHAnsi" w:eastAsia="SimSun" w:hAnsiTheme="minorHAnsi"/>
          <w:color w:val="000000"/>
          <w:sz w:val="24"/>
          <w:szCs w:val="24"/>
          <w:vertAlign w:val="superscript"/>
          <w:lang w:val="de-DE" w:eastAsia="zh-CN"/>
        </w:rPr>
        <w:t>3</w:t>
      </w:r>
      <w:r w:rsidRPr="008025B4">
        <w:rPr>
          <w:rFonts w:asciiTheme="minorHAnsi" w:eastAsia="SimSun" w:hAnsiTheme="minorHAnsi"/>
          <w:color w:val="000000"/>
          <w:sz w:val="24"/>
          <w:szCs w:val="24"/>
          <w:lang w:val="de-DE" w:eastAsia="zh-CN"/>
        </w:rPr>
        <w:t>, Philip Jaeger</w:t>
      </w:r>
      <w:r w:rsidRPr="008025B4">
        <w:rPr>
          <w:rFonts w:asciiTheme="minorHAnsi" w:eastAsia="SimSun" w:hAnsiTheme="minorHAnsi"/>
          <w:color w:val="000000"/>
          <w:sz w:val="24"/>
          <w:szCs w:val="24"/>
          <w:vertAlign w:val="superscript"/>
          <w:lang w:val="de-DE" w:eastAsia="zh-CN"/>
        </w:rPr>
        <w:t>4</w:t>
      </w:r>
      <w:r w:rsidRPr="008025B4">
        <w:rPr>
          <w:rFonts w:asciiTheme="minorHAnsi" w:eastAsia="SimSun" w:hAnsiTheme="minorHAnsi"/>
          <w:color w:val="000000"/>
          <w:sz w:val="24"/>
          <w:szCs w:val="24"/>
          <w:lang w:val="de-DE" w:eastAsia="zh-CN"/>
        </w:rPr>
        <w:t>, Marko Hoffmann</w:t>
      </w:r>
      <w:r w:rsidRPr="008025B4">
        <w:rPr>
          <w:rFonts w:asciiTheme="minorHAnsi" w:eastAsia="SimSun" w:hAnsiTheme="minorHAnsi"/>
          <w:color w:val="000000"/>
          <w:sz w:val="24"/>
          <w:szCs w:val="24"/>
          <w:vertAlign w:val="superscript"/>
          <w:lang w:val="de-DE" w:eastAsia="zh-CN"/>
        </w:rPr>
        <w:t>1</w:t>
      </w:r>
      <w:r w:rsidRPr="008025B4">
        <w:rPr>
          <w:rFonts w:asciiTheme="minorHAnsi" w:eastAsia="SimSun" w:hAnsiTheme="minorHAnsi"/>
          <w:color w:val="000000"/>
          <w:sz w:val="24"/>
          <w:szCs w:val="24"/>
          <w:lang w:val="de-DE" w:eastAsia="zh-CN"/>
        </w:rPr>
        <w:t xml:space="preserve">, </w:t>
      </w:r>
      <w:r w:rsidR="000E4F79">
        <w:rPr>
          <w:rFonts w:asciiTheme="minorHAnsi" w:eastAsia="SimSun" w:hAnsiTheme="minorHAnsi"/>
          <w:color w:val="000000"/>
          <w:sz w:val="24"/>
          <w:szCs w:val="24"/>
          <w:lang w:val="de-DE" w:eastAsia="zh-CN"/>
        </w:rPr>
        <w:t xml:space="preserve">     </w:t>
      </w:r>
      <w:r w:rsidRPr="008025B4">
        <w:rPr>
          <w:rFonts w:asciiTheme="minorHAnsi" w:eastAsia="SimSun" w:hAnsiTheme="minorHAnsi"/>
          <w:color w:val="000000"/>
          <w:sz w:val="24"/>
          <w:szCs w:val="24"/>
          <w:lang w:val="de-DE" w:eastAsia="zh-CN"/>
        </w:rPr>
        <w:t>Michael Schlüter</w:t>
      </w:r>
      <w:r w:rsidRPr="008025B4">
        <w:rPr>
          <w:rFonts w:asciiTheme="minorHAnsi" w:eastAsia="SimSun" w:hAnsiTheme="minorHAnsi"/>
          <w:color w:val="000000"/>
          <w:sz w:val="24"/>
          <w:szCs w:val="24"/>
          <w:vertAlign w:val="superscript"/>
          <w:lang w:val="de-DE" w:eastAsia="zh-CN"/>
        </w:rPr>
        <w:t>1</w:t>
      </w:r>
      <w:r w:rsidR="00DE0019" w:rsidRPr="008025B4">
        <w:rPr>
          <w:rFonts w:asciiTheme="minorHAnsi" w:eastAsia="SimSun" w:hAnsiTheme="minorHAnsi"/>
          <w:color w:val="000000"/>
          <w:sz w:val="24"/>
          <w:szCs w:val="24"/>
          <w:lang w:val="de-DE"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803382">
        <w:rPr>
          <w:rFonts w:asciiTheme="minorHAnsi" w:eastAsia="MS PGothic" w:hAnsiTheme="minorHAnsi"/>
          <w:i/>
          <w:iCs/>
          <w:color w:val="000000"/>
          <w:sz w:val="20"/>
          <w:lang w:val="en-US"/>
        </w:rPr>
        <w:t xml:space="preserve">1 </w:t>
      </w:r>
      <w:r w:rsidR="00C71504">
        <w:rPr>
          <w:rFonts w:asciiTheme="minorHAnsi" w:eastAsia="MS PGothic" w:hAnsiTheme="minorHAnsi"/>
          <w:i/>
          <w:iCs/>
          <w:color w:val="000000"/>
          <w:sz w:val="20"/>
          <w:lang w:val="en-US"/>
        </w:rPr>
        <w:t xml:space="preserve">Hamburg University of Technology, Institute of Multiphase Flows, </w:t>
      </w:r>
      <w:proofErr w:type="spellStart"/>
      <w:r w:rsidR="00C71504">
        <w:rPr>
          <w:rFonts w:asciiTheme="minorHAnsi" w:eastAsia="MS PGothic" w:hAnsiTheme="minorHAnsi"/>
          <w:i/>
          <w:iCs/>
          <w:color w:val="000000"/>
          <w:sz w:val="20"/>
          <w:lang w:val="en-US"/>
        </w:rPr>
        <w:t>Eissendorfer</w:t>
      </w:r>
      <w:proofErr w:type="spellEnd"/>
      <w:r w:rsidR="00C71504">
        <w:rPr>
          <w:rFonts w:asciiTheme="minorHAnsi" w:eastAsia="MS PGothic" w:hAnsiTheme="minorHAnsi"/>
          <w:i/>
          <w:iCs/>
          <w:color w:val="000000"/>
          <w:sz w:val="20"/>
          <w:lang w:val="en-US"/>
        </w:rPr>
        <w:t xml:space="preserve"> Str. 38, 21073 Hamburg, Ger</w:t>
      </w:r>
      <w:r w:rsidR="00261903">
        <w:rPr>
          <w:rFonts w:asciiTheme="minorHAnsi" w:eastAsia="MS PGothic" w:hAnsiTheme="minorHAnsi"/>
          <w:i/>
          <w:iCs/>
          <w:color w:val="000000"/>
          <w:sz w:val="20"/>
          <w:lang w:val="en-US"/>
        </w:rPr>
        <w:softHyphen/>
      </w:r>
      <w:r w:rsidR="00C71504">
        <w:rPr>
          <w:rFonts w:asciiTheme="minorHAnsi" w:eastAsia="MS PGothic" w:hAnsiTheme="minorHAnsi"/>
          <w:i/>
          <w:iCs/>
          <w:color w:val="000000"/>
          <w:sz w:val="20"/>
          <w:lang w:val="en-US"/>
        </w:rPr>
        <w:t>ma</w:t>
      </w:r>
      <w:r w:rsidR="00261903">
        <w:rPr>
          <w:rFonts w:asciiTheme="minorHAnsi" w:eastAsia="MS PGothic" w:hAnsiTheme="minorHAnsi"/>
          <w:i/>
          <w:iCs/>
          <w:color w:val="000000"/>
          <w:sz w:val="20"/>
          <w:lang w:val="en-US"/>
        </w:rPr>
        <w:softHyphen/>
      </w:r>
      <w:r w:rsidR="00C71504">
        <w:rPr>
          <w:rFonts w:asciiTheme="minorHAnsi" w:eastAsia="MS PGothic" w:hAnsiTheme="minorHAnsi"/>
          <w:i/>
          <w:iCs/>
          <w:color w:val="000000"/>
          <w:sz w:val="20"/>
          <w:lang w:val="en-US"/>
        </w:rPr>
        <w:t>ny</w:t>
      </w:r>
      <w:r w:rsidRPr="00DE0019">
        <w:rPr>
          <w:rFonts w:asciiTheme="minorHAnsi" w:eastAsia="MS PGothic" w:hAnsiTheme="minorHAnsi"/>
          <w:i/>
          <w:iCs/>
          <w:color w:val="000000"/>
          <w:sz w:val="20"/>
          <w:lang w:val="en-US"/>
        </w:rPr>
        <w:t xml:space="preserve">; 2 </w:t>
      </w:r>
      <w:r w:rsidR="00380095">
        <w:rPr>
          <w:rFonts w:asciiTheme="minorHAnsi" w:eastAsia="MS PGothic" w:hAnsiTheme="minorHAnsi"/>
          <w:i/>
          <w:iCs/>
          <w:color w:val="000000"/>
          <w:sz w:val="20"/>
          <w:lang w:val="en-US"/>
        </w:rPr>
        <w:t xml:space="preserve">University of Miami, </w:t>
      </w:r>
      <w:proofErr w:type="spellStart"/>
      <w:r w:rsidR="00380095">
        <w:rPr>
          <w:rFonts w:asciiTheme="minorHAnsi" w:eastAsia="MS PGothic" w:hAnsiTheme="minorHAnsi"/>
          <w:i/>
          <w:iCs/>
          <w:color w:val="000000"/>
          <w:sz w:val="20"/>
          <w:lang w:val="en-US"/>
        </w:rPr>
        <w:t>Rosenstiel</w:t>
      </w:r>
      <w:proofErr w:type="spellEnd"/>
      <w:r w:rsidR="00380095">
        <w:rPr>
          <w:rFonts w:asciiTheme="minorHAnsi" w:eastAsia="MS PGothic" w:hAnsiTheme="minorHAnsi"/>
          <w:i/>
          <w:iCs/>
          <w:color w:val="000000"/>
          <w:sz w:val="20"/>
          <w:lang w:val="en-US"/>
        </w:rPr>
        <w:t xml:space="preserve"> School of Marine and Atmospheric Science, 4600 Rickenbacker Cause</w:t>
      </w:r>
      <w:r w:rsidR="00261903">
        <w:rPr>
          <w:rFonts w:asciiTheme="minorHAnsi" w:eastAsia="MS PGothic" w:hAnsiTheme="minorHAnsi"/>
          <w:i/>
          <w:iCs/>
          <w:color w:val="000000"/>
          <w:sz w:val="20"/>
          <w:lang w:val="en-US"/>
        </w:rPr>
        <w:softHyphen/>
      </w:r>
      <w:r w:rsidR="00380095">
        <w:rPr>
          <w:rFonts w:asciiTheme="minorHAnsi" w:eastAsia="MS PGothic" w:hAnsiTheme="minorHAnsi"/>
          <w:i/>
          <w:iCs/>
          <w:color w:val="000000"/>
          <w:sz w:val="20"/>
          <w:lang w:val="en-US"/>
        </w:rPr>
        <w:t>way, Miami, F</w:t>
      </w:r>
      <w:r w:rsidR="00803382">
        <w:rPr>
          <w:rFonts w:asciiTheme="minorHAnsi" w:eastAsia="MS PGothic" w:hAnsiTheme="minorHAnsi"/>
          <w:i/>
          <w:iCs/>
          <w:color w:val="000000"/>
          <w:sz w:val="20"/>
          <w:lang w:val="en-US"/>
        </w:rPr>
        <w:t xml:space="preserve">L </w:t>
      </w:r>
      <w:r w:rsidR="00380095">
        <w:rPr>
          <w:rFonts w:asciiTheme="minorHAnsi" w:eastAsia="MS PGothic" w:hAnsiTheme="minorHAnsi"/>
          <w:i/>
          <w:iCs/>
          <w:color w:val="000000"/>
          <w:sz w:val="20"/>
          <w:lang w:val="en-US"/>
        </w:rPr>
        <w:t>33149, USA; 3 University of Western Australia, Dep</w:t>
      </w:r>
      <w:r w:rsidR="00803382">
        <w:rPr>
          <w:rFonts w:asciiTheme="minorHAnsi" w:eastAsia="MS PGothic" w:hAnsiTheme="minorHAnsi"/>
          <w:i/>
          <w:iCs/>
          <w:color w:val="000000"/>
          <w:sz w:val="20"/>
          <w:lang w:val="en-US"/>
        </w:rPr>
        <w:t>t.</w:t>
      </w:r>
      <w:r w:rsidR="00380095">
        <w:rPr>
          <w:rFonts w:asciiTheme="minorHAnsi" w:eastAsia="MS PGothic" w:hAnsiTheme="minorHAnsi"/>
          <w:i/>
          <w:iCs/>
          <w:color w:val="000000"/>
          <w:sz w:val="20"/>
          <w:lang w:val="en-US"/>
        </w:rPr>
        <w:t xml:space="preserve"> of Chemical Engineering, 35 </w:t>
      </w:r>
      <w:proofErr w:type="spellStart"/>
      <w:r w:rsidR="00380095">
        <w:rPr>
          <w:rFonts w:asciiTheme="minorHAnsi" w:eastAsia="MS PGothic" w:hAnsiTheme="minorHAnsi"/>
          <w:i/>
          <w:iCs/>
          <w:color w:val="000000"/>
          <w:sz w:val="20"/>
          <w:lang w:val="en-US"/>
        </w:rPr>
        <w:t>Stir</w:t>
      </w:r>
      <w:r w:rsidR="00261903">
        <w:rPr>
          <w:rFonts w:asciiTheme="minorHAnsi" w:eastAsia="MS PGothic" w:hAnsiTheme="minorHAnsi"/>
          <w:i/>
          <w:iCs/>
          <w:color w:val="000000"/>
          <w:sz w:val="20"/>
          <w:lang w:val="en-US"/>
        </w:rPr>
        <w:softHyphen/>
      </w:r>
      <w:r w:rsidR="00380095">
        <w:rPr>
          <w:rFonts w:asciiTheme="minorHAnsi" w:eastAsia="MS PGothic" w:hAnsiTheme="minorHAnsi"/>
          <w:i/>
          <w:iCs/>
          <w:color w:val="000000"/>
          <w:sz w:val="20"/>
          <w:lang w:val="en-US"/>
        </w:rPr>
        <w:t>ling</w:t>
      </w:r>
      <w:proofErr w:type="spellEnd"/>
      <w:r w:rsidR="00380095">
        <w:rPr>
          <w:rFonts w:asciiTheme="minorHAnsi" w:eastAsia="MS PGothic" w:hAnsiTheme="minorHAnsi"/>
          <w:i/>
          <w:iCs/>
          <w:color w:val="000000"/>
          <w:sz w:val="20"/>
          <w:lang w:val="en-US"/>
        </w:rPr>
        <w:t xml:space="preserve"> H</w:t>
      </w:r>
      <w:r w:rsidR="00261903">
        <w:rPr>
          <w:rFonts w:asciiTheme="minorHAnsi" w:eastAsia="MS PGothic" w:hAnsiTheme="minorHAnsi"/>
          <w:i/>
          <w:iCs/>
          <w:color w:val="000000"/>
          <w:sz w:val="20"/>
          <w:lang w:val="en-US"/>
        </w:rPr>
        <w:t>wy., Perth WA 6009</w:t>
      </w:r>
      <w:r w:rsidR="00380095">
        <w:rPr>
          <w:rFonts w:asciiTheme="minorHAnsi" w:eastAsia="MS PGothic" w:hAnsiTheme="minorHAnsi"/>
          <w:i/>
          <w:iCs/>
          <w:color w:val="000000"/>
          <w:sz w:val="20"/>
          <w:lang w:val="en-US"/>
        </w:rPr>
        <w:t xml:space="preserve"> Australia; 4 </w:t>
      </w:r>
      <w:proofErr w:type="spellStart"/>
      <w:r w:rsidR="00380095">
        <w:rPr>
          <w:rFonts w:asciiTheme="minorHAnsi" w:eastAsia="MS PGothic" w:hAnsiTheme="minorHAnsi"/>
          <w:i/>
          <w:iCs/>
          <w:color w:val="000000"/>
          <w:sz w:val="20"/>
          <w:lang w:val="en-US"/>
        </w:rPr>
        <w:t>Eurotechnica</w:t>
      </w:r>
      <w:proofErr w:type="spellEnd"/>
      <w:r w:rsidR="00380095">
        <w:rPr>
          <w:rFonts w:asciiTheme="minorHAnsi" w:eastAsia="MS PGothic" w:hAnsiTheme="minorHAnsi"/>
          <w:i/>
          <w:iCs/>
          <w:color w:val="000000"/>
          <w:sz w:val="20"/>
          <w:lang w:val="en-US"/>
        </w:rPr>
        <w:t xml:space="preserve"> GmbH, An den </w:t>
      </w:r>
      <w:proofErr w:type="spellStart"/>
      <w:r w:rsidR="00380095">
        <w:rPr>
          <w:rFonts w:asciiTheme="minorHAnsi" w:eastAsia="MS PGothic" w:hAnsiTheme="minorHAnsi"/>
          <w:i/>
          <w:iCs/>
          <w:color w:val="000000"/>
          <w:sz w:val="20"/>
          <w:lang w:val="en-US"/>
        </w:rPr>
        <w:t>Stücken</w:t>
      </w:r>
      <w:proofErr w:type="spellEnd"/>
      <w:r w:rsidR="00380095">
        <w:rPr>
          <w:rFonts w:asciiTheme="minorHAnsi" w:eastAsia="MS PGothic" w:hAnsiTheme="minorHAnsi"/>
          <w:i/>
          <w:iCs/>
          <w:color w:val="000000"/>
          <w:sz w:val="20"/>
          <w:lang w:val="en-US"/>
        </w:rPr>
        <w:t xml:space="preserve"> 55, 22941 </w:t>
      </w:r>
      <w:proofErr w:type="spellStart"/>
      <w:r w:rsidR="00380095">
        <w:rPr>
          <w:rFonts w:asciiTheme="minorHAnsi" w:eastAsia="MS PGothic" w:hAnsiTheme="minorHAnsi"/>
          <w:i/>
          <w:iCs/>
          <w:color w:val="000000"/>
          <w:sz w:val="20"/>
          <w:lang w:val="en-US"/>
        </w:rPr>
        <w:t>Bargteheide</w:t>
      </w:r>
      <w:proofErr w:type="spellEnd"/>
      <w:r w:rsidR="00380095">
        <w:rPr>
          <w:rFonts w:asciiTheme="minorHAnsi" w:eastAsia="MS PGothic" w:hAnsiTheme="minorHAnsi"/>
          <w:i/>
          <w:iCs/>
          <w:color w:val="000000"/>
          <w:sz w:val="20"/>
          <w:lang w:val="en-US"/>
        </w:rPr>
        <w:t>,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80095">
        <w:rPr>
          <w:rFonts w:asciiTheme="minorHAnsi" w:eastAsia="MS PGothic" w:hAnsiTheme="minorHAnsi"/>
          <w:bCs/>
          <w:i/>
          <w:iCs/>
          <w:sz w:val="20"/>
          <w:lang w:val="en-US"/>
        </w:rPr>
        <w:t>simeon.pesch</w:t>
      </w:r>
      <w:r w:rsidRPr="00DE0019">
        <w:rPr>
          <w:rFonts w:asciiTheme="minorHAnsi" w:eastAsia="MS PGothic" w:hAnsiTheme="minorHAnsi"/>
          <w:bCs/>
          <w:i/>
          <w:iCs/>
          <w:sz w:val="20"/>
          <w:lang w:val="en-US"/>
        </w:rPr>
        <w:t>@</w:t>
      </w:r>
      <w:r w:rsidR="00380095">
        <w:rPr>
          <w:rFonts w:asciiTheme="minorHAnsi" w:eastAsia="MS PGothic" w:hAnsiTheme="minorHAnsi"/>
          <w:bCs/>
          <w:i/>
          <w:iCs/>
          <w:sz w:val="20"/>
          <w:lang w:val="en-US"/>
        </w:rPr>
        <w:t>tuhh.de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2549D" w:rsidRPr="00EC66CC" w:rsidRDefault="00F644A8" w:rsidP="0022549D">
      <w:pPr>
        <w:pStyle w:val="AbstractBody"/>
        <w:numPr>
          <w:ilvl w:val="0"/>
          <w:numId w:val="16"/>
        </w:numPr>
        <w:rPr>
          <w:rFonts w:asciiTheme="minorHAnsi" w:hAnsiTheme="minorHAnsi"/>
        </w:rPr>
      </w:pPr>
      <w:r>
        <w:rPr>
          <w:rFonts w:asciiTheme="minorHAnsi" w:hAnsiTheme="minorHAnsi"/>
        </w:rPr>
        <w:t>Scale-up of oil-in-water DSD and effects of pressure are examined experimentally</w:t>
      </w:r>
      <w:r w:rsidR="0022549D" w:rsidRPr="00EC66CC">
        <w:rPr>
          <w:rFonts w:asciiTheme="minorHAnsi" w:hAnsiTheme="minorHAnsi"/>
        </w:rPr>
        <w:t xml:space="preserve">. </w:t>
      </w:r>
    </w:p>
    <w:p w:rsidR="00704BDF" w:rsidRPr="00EC66CC" w:rsidRDefault="0022549D" w:rsidP="00704BDF">
      <w:pPr>
        <w:pStyle w:val="AbstractBody"/>
        <w:numPr>
          <w:ilvl w:val="0"/>
          <w:numId w:val="16"/>
        </w:numPr>
        <w:rPr>
          <w:rFonts w:asciiTheme="minorHAnsi" w:hAnsiTheme="minorHAnsi"/>
        </w:rPr>
      </w:pPr>
      <w:r>
        <w:rPr>
          <w:rFonts w:asciiTheme="minorHAnsi" w:hAnsiTheme="minorHAnsi"/>
        </w:rPr>
        <w:t>New approach for prediction and scale-up of jet DSD based on TKE dissipation rate.</w:t>
      </w:r>
    </w:p>
    <w:p w:rsidR="00704BDF" w:rsidRPr="00EC66CC" w:rsidRDefault="0022549D" w:rsidP="00704BDF">
      <w:pPr>
        <w:pStyle w:val="AbstractBody"/>
        <w:numPr>
          <w:ilvl w:val="0"/>
          <w:numId w:val="16"/>
        </w:numPr>
        <w:rPr>
          <w:rFonts w:asciiTheme="minorHAnsi" w:hAnsiTheme="minorHAnsi"/>
        </w:rPr>
      </w:pPr>
      <w:r>
        <w:rPr>
          <w:rFonts w:asciiTheme="minorHAnsi" w:hAnsiTheme="minorHAnsi"/>
        </w:rPr>
        <w:t>Rise of gas-saturated oil droplets is accelerated by pressure-induced degassing</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9C5BD3"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depletion of readily accessible oil reservoirs in conjunction with the unabated demand for fossil fuels leads to the exploration and production of remote deposits, esp. in deep-sea regions</w:t>
      </w:r>
      <w:r w:rsidR="00C867B1"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Such operations at hard-to-reach locations far beyond atmospheric conditions are extremely challenging and associated with elevated risk, which became clear when the Deepwater Horizon drilling rig ignited and sank in 2010 in the Gulf of Mexico, causing one of the </w:t>
      </w:r>
      <w:r w:rsidR="00722B98">
        <w:rPr>
          <w:rFonts w:asciiTheme="minorHAnsi" w:eastAsia="MS PGothic" w:hAnsiTheme="minorHAnsi"/>
          <w:color w:val="000000"/>
          <w:sz w:val="22"/>
          <w:szCs w:val="22"/>
          <w:lang w:val="en-US"/>
        </w:rPr>
        <w:t xml:space="preserve">largest oil spills in human history. </w:t>
      </w:r>
      <w:r w:rsidR="009C7E77">
        <w:rPr>
          <w:rFonts w:asciiTheme="minorHAnsi" w:eastAsia="MS PGothic" w:hAnsiTheme="minorHAnsi"/>
          <w:color w:val="000000"/>
          <w:sz w:val="22"/>
          <w:szCs w:val="22"/>
          <w:lang w:val="en-US"/>
        </w:rPr>
        <w:t xml:space="preserve">The depiction and prediction of the multiphase plume’s behavior under deep-sea conditions and the oil fate is critical for </w:t>
      </w:r>
      <w:r w:rsidR="001F4168">
        <w:rPr>
          <w:rFonts w:asciiTheme="minorHAnsi" w:eastAsia="MS PGothic" w:hAnsiTheme="minorHAnsi"/>
          <w:color w:val="000000"/>
          <w:sz w:val="22"/>
          <w:szCs w:val="22"/>
          <w:lang w:val="en-US"/>
        </w:rPr>
        <w:t>the development of mitigation strategies</w:t>
      </w:r>
      <w:r w:rsidR="001F4168" w:rsidRPr="001F4168">
        <w:rPr>
          <w:rFonts w:asciiTheme="minorHAnsi" w:eastAsia="MS PGothic" w:hAnsiTheme="minorHAnsi"/>
          <w:color w:val="000000"/>
          <w:sz w:val="22"/>
          <w:szCs w:val="22"/>
          <w:lang w:val="en-US"/>
        </w:rPr>
        <w:t xml:space="preserve"> </w:t>
      </w:r>
      <w:r w:rsidR="001F4168">
        <w:rPr>
          <w:rFonts w:asciiTheme="minorHAnsi" w:eastAsia="MS PGothic" w:hAnsiTheme="minorHAnsi"/>
          <w:color w:val="000000"/>
          <w:sz w:val="22"/>
          <w:szCs w:val="22"/>
          <w:lang w:val="en-US"/>
        </w:rPr>
        <w:t>in case of a subsea blowout. Some of the most</w:t>
      </w:r>
      <w:r w:rsidR="008D767A">
        <w:rPr>
          <w:rFonts w:asciiTheme="minorHAnsi" w:eastAsia="MS PGothic" w:hAnsiTheme="minorHAnsi"/>
          <w:color w:val="000000"/>
          <w:sz w:val="22"/>
          <w:szCs w:val="22"/>
          <w:lang w:val="en-US"/>
        </w:rPr>
        <w:t xml:space="preserve"> important input parameters for accurate oil fate modeling are the ensuing droplet size distribution (DSD), the rise velocity of the present droplets and bubbles plus the physical properties and phase behavior of the involved substances. The highly turbulent flow structure and the multiphase</w:t>
      </w:r>
      <w:r w:rsidR="00C306A3">
        <w:rPr>
          <w:rFonts w:asciiTheme="minorHAnsi" w:eastAsia="MS PGothic" w:hAnsiTheme="minorHAnsi"/>
          <w:color w:val="000000"/>
          <w:sz w:val="22"/>
          <w:szCs w:val="22"/>
          <w:lang w:val="en-US"/>
        </w:rPr>
        <w:t xml:space="preserve"> nature</w:t>
      </w:r>
      <w:r w:rsidR="008D767A">
        <w:rPr>
          <w:rFonts w:asciiTheme="minorHAnsi" w:eastAsia="MS PGothic" w:hAnsiTheme="minorHAnsi"/>
          <w:color w:val="000000"/>
          <w:sz w:val="22"/>
          <w:szCs w:val="22"/>
          <w:lang w:val="en-US"/>
        </w:rPr>
        <w:t xml:space="preserve"> of the system as well as the </w:t>
      </w:r>
      <w:r w:rsidR="00AE717C">
        <w:rPr>
          <w:rFonts w:asciiTheme="minorHAnsi" w:eastAsia="MS PGothic" w:hAnsiTheme="minorHAnsi"/>
          <w:color w:val="000000"/>
          <w:sz w:val="22"/>
          <w:szCs w:val="22"/>
          <w:lang w:val="en-US"/>
        </w:rPr>
        <w:t>specific deep-</w:t>
      </w:r>
      <w:r w:rsidR="008D767A">
        <w:rPr>
          <w:rFonts w:asciiTheme="minorHAnsi" w:eastAsia="MS PGothic" w:hAnsiTheme="minorHAnsi"/>
          <w:color w:val="000000"/>
          <w:sz w:val="22"/>
          <w:szCs w:val="22"/>
          <w:lang w:val="en-US"/>
        </w:rPr>
        <w:t xml:space="preserve">sea </w:t>
      </w:r>
      <w:r w:rsidR="00AE717C">
        <w:rPr>
          <w:rFonts w:asciiTheme="minorHAnsi" w:eastAsia="MS PGothic" w:hAnsiTheme="minorHAnsi"/>
          <w:color w:val="000000"/>
          <w:sz w:val="22"/>
          <w:szCs w:val="22"/>
          <w:lang w:val="en-US"/>
        </w:rPr>
        <w:t xml:space="preserve">conditions </w:t>
      </w:r>
      <w:r w:rsidR="008D767A">
        <w:rPr>
          <w:rFonts w:asciiTheme="minorHAnsi" w:eastAsia="MS PGothic" w:hAnsiTheme="minorHAnsi"/>
          <w:color w:val="000000"/>
          <w:sz w:val="22"/>
          <w:szCs w:val="22"/>
          <w:lang w:val="en-US"/>
        </w:rPr>
        <w:t>must be accounted for wh</w:t>
      </w:r>
      <w:r w:rsidR="00AA69AD">
        <w:rPr>
          <w:rFonts w:asciiTheme="minorHAnsi" w:eastAsia="MS PGothic" w:hAnsiTheme="minorHAnsi"/>
          <w:color w:val="000000"/>
          <w:sz w:val="22"/>
          <w:szCs w:val="22"/>
          <w:lang w:val="en-US"/>
        </w:rPr>
        <w:t>en experimental faci</w:t>
      </w:r>
      <w:r w:rsidR="00AE717C">
        <w:rPr>
          <w:rFonts w:asciiTheme="minorHAnsi" w:eastAsia="MS PGothic" w:hAnsiTheme="minorHAnsi"/>
          <w:color w:val="000000"/>
          <w:sz w:val="22"/>
          <w:szCs w:val="22"/>
          <w:lang w:val="en-US"/>
        </w:rPr>
        <w:t xml:space="preserve">lities are designed </w:t>
      </w:r>
      <w:r w:rsidR="00AA69AD">
        <w:rPr>
          <w:rFonts w:asciiTheme="minorHAnsi" w:eastAsia="MS PGothic" w:hAnsiTheme="minorHAnsi"/>
          <w:color w:val="000000"/>
          <w:sz w:val="22"/>
          <w:szCs w:val="22"/>
          <w:lang w:val="en-US"/>
        </w:rPr>
        <w:t>or when oil-spill models are developed and tuned</w:t>
      </w:r>
      <w:r w:rsidR="00740D4B">
        <w:rPr>
          <w:rFonts w:asciiTheme="minorHAnsi" w:eastAsia="MS PGothic" w:hAnsiTheme="minorHAnsi"/>
          <w:color w:val="000000"/>
          <w:sz w:val="22"/>
          <w:szCs w:val="22"/>
          <w:vertAlign w:val="superscript"/>
          <w:lang w:val="en-US"/>
        </w:rPr>
        <w:t>[1</w:t>
      </w:r>
      <w:r w:rsidR="000E4F79" w:rsidRPr="000E4F79">
        <w:rPr>
          <w:rFonts w:asciiTheme="minorHAnsi" w:eastAsia="MS PGothic" w:hAnsiTheme="minorHAnsi"/>
          <w:color w:val="000000"/>
          <w:sz w:val="22"/>
          <w:szCs w:val="22"/>
          <w:vertAlign w:val="superscript"/>
          <w:lang w:val="en-US"/>
        </w:rPr>
        <w:t>]</w:t>
      </w:r>
      <w:r w:rsidR="00AA69AD">
        <w:rPr>
          <w:rFonts w:asciiTheme="minorHAnsi" w:eastAsia="MS PGothic" w:hAnsiTheme="minorHAnsi"/>
          <w:color w:val="000000"/>
          <w:sz w:val="22"/>
          <w:szCs w:val="22"/>
          <w:lang w:val="en-US"/>
        </w:rPr>
        <w:t>.</w:t>
      </w:r>
    </w:p>
    <w:p w:rsidR="00704BDF" w:rsidRPr="008D0BEB" w:rsidRDefault="00704BDF" w:rsidP="008025B4">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0871F3" w:rsidRDefault="00C306A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Extensive experimental research on the oil and gas behavior under</w:t>
      </w:r>
      <w:r w:rsidR="009862F9">
        <w:rPr>
          <w:rFonts w:asciiTheme="minorHAnsi" w:eastAsia="MS PGothic" w:hAnsiTheme="minorHAnsi"/>
          <w:color w:val="000000"/>
          <w:sz w:val="22"/>
          <w:szCs w:val="22"/>
          <w:lang w:val="en-US"/>
        </w:rPr>
        <w:t xml:space="preserve"> ambient and</w:t>
      </w:r>
      <w:r>
        <w:rPr>
          <w:rFonts w:asciiTheme="minorHAnsi" w:eastAsia="MS PGothic" w:hAnsiTheme="minorHAnsi"/>
          <w:color w:val="000000"/>
          <w:sz w:val="22"/>
          <w:szCs w:val="22"/>
          <w:lang w:val="en-US"/>
        </w:rPr>
        <w:t xml:space="preserve"> in-situ conditions is done at Hamburg University of </w:t>
      </w:r>
      <w:r w:rsidRPr="00216FC5">
        <w:rPr>
          <w:rFonts w:asciiTheme="minorHAnsi" w:eastAsia="MS PGothic" w:hAnsiTheme="minorHAnsi"/>
          <w:color w:val="000000" w:themeColor="text1"/>
          <w:sz w:val="22"/>
          <w:szCs w:val="22"/>
          <w:lang w:val="en-US"/>
        </w:rPr>
        <w:t>Technology (TUHH).</w:t>
      </w:r>
      <w:r w:rsidR="00216FC5" w:rsidRPr="00216FC5">
        <w:rPr>
          <w:rFonts w:asciiTheme="minorHAnsi" w:eastAsia="MS PGothic" w:hAnsiTheme="minorHAnsi"/>
          <w:color w:val="000000" w:themeColor="text1"/>
          <w:sz w:val="22"/>
          <w:szCs w:val="22"/>
          <w:lang w:val="en-US"/>
        </w:rPr>
        <w:t xml:space="preserve"> </w:t>
      </w:r>
      <w:r w:rsidR="00FD339D" w:rsidRPr="00216FC5">
        <w:rPr>
          <w:rFonts w:asciiTheme="minorHAnsi" w:eastAsia="MS PGothic" w:hAnsiTheme="minorHAnsi"/>
          <w:color w:val="000000" w:themeColor="text1"/>
          <w:sz w:val="22"/>
          <w:szCs w:val="22"/>
          <w:lang w:val="en-US"/>
        </w:rPr>
        <w:t>The DSD of oil-in-water free jets at varying nozzle size</w:t>
      </w:r>
      <w:r w:rsidR="00216FC5" w:rsidRPr="00216FC5">
        <w:rPr>
          <w:rFonts w:asciiTheme="minorHAnsi" w:eastAsia="MS PGothic" w:hAnsiTheme="minorHAnsi"/>
          <w:color w:val="000000" w:themeColor="text1"/>
          <w:sz w:val="22"/>
          <w:szCs w:val="22"/>
          <w:lang w:val="en-US"/>
        </w:rPr>
        <w:t>s</w:t>
      </w:r>
      <w:r w:rsidR="00FD339D" w:rsidRPr="00216FC5">
        <w:rPr>
          <w:rFonts w:asciiTheme="minorHAnsi" w:eastAsia="MS PGothic" w:hAnsiTheme="minorHAnsi"/>
          <w:color w:val="000000" w:themeColor="text1"/>
          <w:sz w:val="22"/>
          <w:szCs w:val="22"/>
          <w:lang w:val="en-US"/>
        </w:rPr>
        <w:t>, measuring position</w:t>
      </w:r>
      <w:r w:rsidR="00216FC5" w:rsidRPr="00216FC5">
        <w:rPr>
          <w:rFonts w:asciiTheme="minorHAnsi" w:eastAsia="MS PGothic" w:hAnsiTheme="minorHAnsi"/>
          <w:color w:val="000000" w:themeColor="text1"/>
          <w:sz w:val="22"/>
          <w:szCs w:val="22"/>
          <w:lang w:val="en-US"/>
        </w:rPr>
        <w:t>s</w:t>
      </w:r>
      <w:r w:rsidR="00FD339D" w:rsidRPr="00216FC5">
        <w:rPr>
          <w:rFonts w:asciiTheme="minorHAnsi" w:eastAsia="MS PGothic" w:hAnsiTheme="minorHAnsi"/>
          <w:color w:val="000000" w:themeColor="text1"/>
          <w:sz w:val="22"/>
          <w:szCs w:val="22"/>
          <w:lang w:val="en-US"/>
        </w:rPr>
        <w:t xml:space="preserve"> and exit velocit</w:t>
      </w:r>
      <w:r w:rsidR="00216FC5" w:rsidRPr="00216FC5">
        <w:rPr>
          <w:rFonts w:asciiTheme="minorHAnsi" w:eastAsia="MS PGothic" w:hAnsiTheme="minorHAnsi"/>
          <w:color w:val="000000" w:themeColor="text1"/>
          <w:sz w:val="22"/>
          <w:szCs w:val="22"/>
          <w:lang w:val="en-US"/>
        </w:rPr>
        <w:t>ies</w:t>
      </w:r>
      <w:r w:rsidR="00FD339D" w:rsidRPr="00216FC5">
        <w:rPr>
          <w:rFonts w:asciiTheme="minorHAnsi" w:eastAsia="MS PGothic" w:hAnsiTheme="minorHAnsi"/>
          <w:color w:val="000000" w:themeColor="text1"/>
          <w:sz w:val="22"/>
          <w:szCs w:val="22"/>
          <w:lang w:val="en-US"/>
        </w:rPr>
        <w:t xml:space="preserve"> as well as appropriate scale-up rules for the prediction of the DSD are investigated</w:t>
      </w:r>
      <w:r w:rsidR="00AE717C">
        <w:rPr>
          <w:rFonts w:asciiTheme="minorHAnsi" w:eastAsia="MS PGothic" w:hAnsiTheme="minorHAnsi"/>
          <w:color w:val="000000" w:themeColor="text1"/>
          <w:sz w:val="22"/>
          <w:szCs w:val="22"/>
          <w:lang w:val="en-US"/>
        </w:rPr>
        <w:t xml:space="preserve"> under ambient conditions</w:t>
      </w:r>
      <w:r w:rsidR="00FD339D" w:rsidRPr="00216FC5">
        <w:rPr>
          <w:rFonts w:asciiTheme="minorHAnsi" w:eastAsia="MS PGothic" w:hAnsiTheme="minorHAnsi"/>
          <w:color w:val="000000" w:themeColor="text1"/>
          <w:sz w:val="22"/>
          <w:szCs w:val="22"/>
          <w:lang w:val="en-US"/>
        </w:rPr>
        <w:t xml:space="preserve">. For this purpose, a lab-scale and a pilot-plant-scale experimental plant with direct optical access have been designed, commissioned and </w:t>
      </w:r>
      <w:r w:rsidR="00AE717C">
        <w:rPr>
          <w:rFonts w:asciiTheme="minorHAnsi" w:eastAsia="MS PGothic" w:hAnsiTheme="minorHAnsi"/>
          <w:color w:val="000000" w:themeColor="text1"/>
          <w:sz w:val="22"/>
          <w:szCs w:val="22"/>
          <w:lang w:val="en-US"/>
        </w:rPr>
        <w:t>used</w:t>
      </w:r>
      <w:r w:rsidR="00FD339D" w:rsidRPr="00216FC5">
        <w:rPr>
          <w:rFonts w:asciiTheme="minorHAnsi" w:eastAsia="MS PGothic" w:hAnsiTheme="minorHAnsi"/>
          <w:color w:val="000000" w:themeColor="text1"/>
          <w:sz w:val="22"/>
          <w:szCs w:val="22"/>
          <w:lang w:val="en-US"/>
        </w:rPr>
        <w:t>, covering nozzle diameters from 1 mm to 74 mm and volume flow rates from 0.28 to 200 L/min.</w:t>
      </w:r>
      <w:r w:rsidR="00216FC5" w:rsidRPr="00216FC5">
        <w:rPr>
          <w:rFonts w:asciiTheme="minorHAnsi" w:eastAsia="MS PGothic" w:hAnsiTheme="minorHAnsi"/>
          <w:color w:val="000000" w:themeColor="text1"/>
          <w:sz w:val="22"/>
          <w:szCs w:val="22"/>
          <w:lang w:val="en-US"/>
        </w:rPr>
        <w:t xml:space="preserve"> </w:t>
      </w:r>
      <w:r w:rsidR="006247C4">
        <w:rPr>
          <w:rFonts w:asciiTheme="minorHAnsi" w:eastAsia="MS PGothic" w:hAnsiTheme="minorHAnsi"/>
          <w:color w:val="000000"/>
          <w:sz w:val="22"/>
          <w:szCs w:val="22"/>
          <w:lang w:val="en-US"/>
        </w:rPr>
        <w:t xml:space="preserve">Particle image velocimetry is </w:t>
      </w:r>
      <w:r w:rsidR="00783FA0">
        <w:rPr>
          <w:rFonts w:asciiTheme="minorHAnsi" w:eastAsia="MS PGothic" w:hAnsiTheme="minorHAnsi"/>
          <w:color w:val="000000"/>
          <w:sz w:val="22"/>
          <w:szCs w:val="22"/>
          <w:lang w:val="en-US"/>
        </w:rPr>
        <w:t>applied</w:t>
      </w:r>
      <w:r w:rsidR="004B6B98">
        <w:rPr>
          <w:rFonts w:asciiTheme="minorHAnsi" w:eastAsia="MS PGothic" w:hAnsiTheme="minorHAnsi"/>
          <w:color w:val="000000"/>
          <w:sz w:val="22"/>
          <w:szCs w:val="22"/>
          <w:lang w:val="en-US"/>
        </w:rPr>
        <w:t xml:space="preserve"> for the investigation of flow characteristics like the turbulent kinetic energy </w:t>
      </w:r>
      <w:r w:rsidR="00394112">
        <w:rPr>
          <w:rFonts w:asciiTheme="minorHAnsi" w:eastAsia="MS PGothic" w:hAnsiTheme="minorHAnsi"/>
          <w:color w:val="000000"/>
          <w:sz w:val="22"/>
          <w:szCs w:val="22"/>
          <w:lang w:val="en-US"/>
        </w:rPr>
        <w:t>(TKE) dissipation rate</w:t>
      </w:r>
      <w:r w:rsidR="004B6B98">
        <w:rPr>
          <w:rFonts w:asciiTheme="minorHAnsi" w:eastAsia="MS PGothic" w:hAnsiTheme="minorHAnsi"/>
          <w:color w:val="000000"/>
          <w:sz w:val="22"/>
          <w:szCs w:val="22"/>
          <w:lang w:val="en-US"/>
        </w:rPr>
        <w:t xml:space="preserve">. </w:t>
      </w:r>
      <w:r w:rsidR="006247C4">
        <w:rPr>
          <w:rFonts w:asciiTheme="minorHAnsi" w:eastAsia="MS PGothic" w:hAnsiTheme="minorHAnsi"/>
          <w:color w:val="000000"/>
          <w:sz w:val="22"/>
          <w:szCs w:val="22"/>
          <w:lang w:val="en-US"/>
        </w:rPr>
        <w:t>A colorized white oil</w:t>
      </w:r>
      <w:r w:rsidR="00750F43">
        <w:rPr>
          <w:rFonts w:asciiTheme="minorHAnsi" w:eastAsia="MS PGothic" w:hAnsiTheme="minorHAnsi"/>
          <w:color w:val="000000"/>
          <w:sz w:val="22"/>
          <w:szCs w:val="22"/>
          <w:lang w:val="en-US"/>
        </w:rPr>
        <w:t xml:space="preserve"> (H&amp;R PIONIER 7467)</w:t>
      </w:r>
      <w:bookmarkStart w:id="0" w:name="_GoBack"/>
      <w:bookmarkEnd w:id="0"/>
      <w:r w:rsidR="006247C4">
        <w:rPr>
          <w:rFonts w:asciiTheme="minorHAnsi" w:eastAsia="MS PGothic" w:hAnsiTheme="minorHAnsi"/>
          <w:color w:val="000000"/>
          <w:sz w:val="22"/>
          <w:szCs w:val="22"/>
          <w:lang w:val="en-US"/>
        </w:rPr>
        <w:t xml:space="preserve"> is used as dispersed </w:t>
      </w:r>
      <w:r w:rsidR="004B6B98">
        <w:rPr>
          <w:rFonts w:asciiTheme="minorHAnsi" w:eastAsia="MS PGothic" w:hAnsiTheme="minorHAnsi"/>
          <w:color w:val="000000"/>
          <w:sz w:val="22"/>
          <w:szCs w:val="22"/>
          <w:lang w:val="en-US"/>
        </w:rPr>
        <w:t xml:space="preserve">and </w:t>
      </w:r>
      <w:r w:rsidR="00750F43">
        <w:rPr>
          <w:rFonts w:asciiTheme="minorHAnsi" w:eastAsia="MS PGothic" w:hAnsiTheme="minorHAnsi"/>
          <w:color w:val="000000"/>
          <w:sz w:val="22"/>
          <w:szCs w:val="22"/>
          <w:lang w:val="en-US"/>
        </w:rPr>
        <w:t>DI water as continuous phase. T</w:t>
      </w:r>
      <w:r w:rsidR="004B6B98">
        <w:rPr>
          <w:rFonts w:asciiTheme="minorHAnsi" w:eastAsia="MS PGothic" w:hAnsiTheme="minorHAnsi"/>
          <w:color w:val="000000"/>
          <w:sz w:val="22"/>
          <w:szCs w:val="22"/>
          <w:lang w:val="en-US"/>
        </w:rPr>
        <w:t xml:space="preserve">he DSD is determined </w:t>
      </w:r>
      <w:r w:rsidR="00F952F3">
        <w:rPr>
          <w:rFonts w:asciiTheme="minorHAnsi" w:eastAsia="MS PGothic" w:hAnsiTheme="minorHAnsi"/>
          <w:color w:val="000000"/>
          <w:sz w:val="22"/>
          <w:szCs w:val="22"/>
          <w:lang w:val="en-US"/>
        </w:rPr>
        <w:t>by means of</w:t>
      </w:r>
      <w:r w:rsidR="004B6B98">
        <w:rPr>
          <w:rFonts w:asciiTheme="minorHAnsi" w:eastAsia="MS PGothic" w:hAnsiTheme="minorHAnsi"/>
          <w:color w:val="000000"/>
          <w:sz w:val="22"/>
          <w:szCs w:val="22"/>
          <w:lang w:val="en-US"/>
        </w:rPr>
        <w:t xml:space="preserve"> endoscopic imaging techniques.</w:t>
      </w:r>
      <w:r w:rsidR="00D14BF0">
        <w:rPr>
          <w:rFonts w:asciiTheme="minorHAnsi" w:eastAsia="MS PGothic" w:hAnsiTheme="minorHAnsi"/>
          <w:color w:val="000000"/>
          <w:sz w:val="22"/>
          <w:szCs w:val="22"/>
          <w:lang w:val="en-US"/>
        </w:rPr>
        <w:t xml:space="preserve"> </w:t>
      </w:r>
      <w:r w:rsidR="000E4F79">
        <w:rPr>
          <w:rFonts w:asciiTheme="minorHAnsi" w:eastAsia="MS PGothic" w:hAnsiTheme="minorHAnsi"/>
          <w:color w:val="000000"/>
          <w:sz w:val="22"/>
          <w:szCs w:val="22"/>
          <w:lang w:val="en-US"/>
        </w:rPr>
        <w:t xml:space="preserve">A high-pressure counter-current flow </w:t>
      </w:r>
      <w:r w:rsidR="000E4F79">
        <w:rPr>
          <w:rFonts w:asciiTheme="minorHAnsi" w:eastAsia="MS PGothic" w:hAnsiTheme="minorHAnsi"/>
          <w:color w:val="000000"/>
          <w:sz w:val="22"/>
          <w:szCs w:val="22"/>
          <w:lang w:val="en-US"/>
        </w:rPr>
        <w:lastRenderedPageBreak/>
        <w:t xml:space="preserve">cell is </w:t>
      </w:r>
      <w:r w:rsidR="00AE717C">
        <w:rPr>
          <w:rFonts w:asciiTheme="minorHAnsi" w:eastAsia="MS PGothic" w:hAnsiTheme="minorHAnsi"/>
          <w:color w:val="000000"/>
          <w:sz w:val="22"/>
          <w:szCs w:val="22"/>
          <w:lang w:val="en-US"/>
        </w:rPr>
        <w:t>used</w:t>
      </w:r>
      <w:r w:rsidR="000E4F79">
        <w:rPr>
          <w:rFonts w:asciiTheme="minorHAnsi" w:eastAsia="MS PGothic" w:hAnsiTheme="minorHAnsi"/>
          <w:color w:val="000000"/>
          <w:sz w:val="22"/>
          <w:szCs w:val="22"/>
          <w:lang w:val="en-US"/>
        </w:rPr>
        <w:t xml:space="preserve"> in o</w:t>
      </w:r>
      <w:r w:rsidR="00AE717C">
        <w:rPr>
          <w:rFonts w:asciiTheme="minorHAnsi" w:eastAsia="MS PGothic" w:hAnsiTheme="minorHAnsi"/>
          <w:color w:val="000000"/>
          <w:sz w:val="22"/>
          <w:szCs w:val="22"/>
          <w:lang w:val="en-US"/>
        </w:rPr>
        <w:t>rder to simulate the rise of gas</w:t>
      </w:r>
      <w:r w:rsidR="000E4F79">
        <w:rPr>
          <w:rFonts w:asciiTheme="minorHAnsi" w:eastAsia="MS PGothic" w:hAnsiTheme="minorHAnsi"/>
          <w:color w:val="000000"/>
          <w:sz w:val="22"/>
          <w:szCs w:val="22"/>
          <w:lang w:val="en-US"/>
        </w:rPr>
        <w:t>-saturated crude oil droplets</w:t>
      </w:r>
      <w:r w:rsidR="00750F43">
        <w:rPr>
          <w:rFonts w:asciiTheme="minorHAnsi" w:eastAsia="MS PGothic" w:hAnsiTheme="minorHAnsi"/>
          <w:color w:val="000000"/>
          <w:sz w:val="22"/>
          <w:szCs w:val="22"/>
          <w:lang w:val="en-US"/>
        </w:rPr>
        <w:t xml:space="preserve"> (Louisiana Sweet Crude oil, saturated with</w:t>
      </w:r>
      <w:r w:rsidR="00AE717C">
        <w:rPr>
          <w:rFonts w:asciiTheme="minorHAnsi" w:eastAsia="MS PGothic" w:hAnsiTheme="minorHAnsi"/>
          <w:color w:val="000000"/>
          <w:sz w:val="22"/>
          <w:szCs w:val="22"/>
          <w:lang w:val="en-US"/>
        </w:rPr>
        <w:t xml:space="preserve"> CH</w:t>
      </w:r>
      <w:r w:rsidR="00AE717C" w:rsidRPr="00AE717C">
        <w:rPr>
          <w:rFonts w:asciiTheme="minorHAnsi" w:eastAsia="MS PGothic" w:hAnsiTheme="minorHAnsi"/>
          <w:color w:val="000000"/>
          <w:sz w:val="22"/>
          <w:szCs w:val="22"/>
          <w:vertAlign w:val="subscript"/>
          <w:lang w:val="en-US"/>
        </w:rPr>
        <w:t>4</w:t>
      </w:r>
      <w:r w:rsidR="00750F43">
        <w:rPr>
          <w:rFonts w:asciiTheme="minorHAnsi" w:eastAsia="MS PGothic" w:hAnsiTheme="minorHAnsi"/>
          <w:color w:val="000000"/>
          <w:sz w:val="22"/>
          <w:szCs w:val="22"/>
          <w:lang w:val="en-US"/>
        </w:rPr>
        <w:t>, in seawater)</w:t>
      </w:r>
      <w:r w:rsidR="000E4F79">
        <w:rPr>
          <w:rFonts w:asciiTheme="minorHAnsi" w:eastAsia="MS PGothic" w:hAnsiTheme="minorHAnsi"/>
          <w:color w:val="000000"/>
          <w:sz w:val="22"/>
          <w:szCs w:val="22"/>
          <w:lang w:val="en-US"/>
        </w:rPr>
        <w:t>. Reservoir conditions</w:t>
      </w:r>
      <w:r w:rsidR="00750F43">
        <w:rPr>
          <w:rFonts w:asciiTheme="minorHAnsi" w:eastAsia="MS PGothic" w:hAnsiTheme="minorHAnsi"/>
          <w:color w:val="000000"/>
          <w:sz w:val="22"/>
          <w:szCs w:val="22"/>
          <w:lang w:val="en-US"/>
        </w:rPr>
        <w:t xml:space="preserve"> (~250 bar)</w:t>
      </w:r>
      <w:r w:rsidR="000E4F79">
        <w:rPr>
          <w:rFonts w:asciiTheme="minorHAnsi" w:eastAsia="MS PGothic" w:hAnsiTheme="minorHAnsi"/>
          <w:color w:val="000000"/>
          <w:sz w:val="22"/>
          <w:szCs w:val="22"/>
          <w:lang w:val="en-US"/>
        </w:rPr>
        <w:t xml:space="preserve"> and depth-dependent hydrostatic pressures</w:t>
      </w:r>
      <w:r w:rsidR="00750F43">
        <w:rPr>
          <w:rFonts w:asciiTheme="minorHAnsi" w:eastAsia="MS PGothic" w:hAnsiTheme="minorHAnsi"/>
          <w:color w:val="000000"/>
          <w:sz w:val="22"/>
          <w:szCs w:val="22"/>
          <w:lang w:val="en-US"/>
        </w:rPr>
        <w:t xml:space="preserve"> of up to 150 bar, corresponding to the 1,500 m water column of the Deepwater Horizon blowout,</w:t>
      </w:r>
      <w:r w:rsidR="000E4F79">
        <w:rPr>
          <w:rFonts w:asciiTheme="minorHAnsi" w:eastAsia="MS PGothic" w:hAnsiTheme="minorHAnsi"/>
          <w:color w:val="000000"/>
          <w:sz w:val="22"/>
          <w:szCs w:val="22"/>
          <w:lang w:val="en-US"/>
        </w:rPr>
        <w:t xml:space="preserve"> can be adjusted. </w:t>
      </w:r>
      <w:r w:rsidR="00AE717C">
        <w:rPr>
          <w:rFonts w:asciiTheme="minorHAnsi" w:eastAsia="MS PGothic" w:hAnsiTheme="minorHAnsi"/>
          <w:color w:val="000000"/>
          <w:sz w:val="22"/>
          <w:szCs w:val="22"/>
          <w:lang w:val="en-US"/>
        </w:rPr>
        <w:t xml:space="preserve">Temperatures range from 4 to 25 °C, also corresponding to the real conditions. </w:t>
      </w:r>
      <w:r w:rsidR="000E4F79">
        <w:rPr>
          <w:rFonts w:asciiTheme="minorHAnsi" w:eastAsia="MS PGothic" w:hAnsiTheme="minorHAnsi"/>
          <w:color w:val="000000"/>
          <w:sz w:val="22"/>
          <w:szCs w:val="22"/>
          <w:lang w:val="en-US"/>
        </w:rPr>
        <w:t xml:space="preserve">The droplet’s size, shape and motion is captured by means of high-speed imaging and evaluated over </w:t>
      </w:r>
      <w:proofErr w:type="gramStart"/>
      <w:r w:rsidR="000E4F79">
        <w:rPr>
          <w:rFonts w:asciiTheme="minorHAnsi" w:eastAsia="MS PGothic" w:hAnsiTheme="minorHAnsi"/>
          <w:color w:val="000000"/>
          <w:sz w:val="22"/>
          <w:szCs w:val="22"/>
          <w:lang w:val="en-US"/>
        </w:rPr>
        <w:t>time</w:t>
      </w:r>
      <w:r w:rsidR="000E4F79" w:rsidRPr="000E4F79">
        <w:rPr>
          <w:rFonts w:asciiTheme="minorHAnsi" w:eastAsia="MS PGothic" w:hAnsiTheme="minorHAnsi"/>
          <w:color w:val="000000"/>
          <w:sz w:val="22"/>
          <w:szCs w:val="22"/>
          <w:vertAlign w:val="superscript"/>
          <w:lang w:val="en-US"/>
        </w:rPr>
        <w:t>[</w:t>
      </w:r>
      <w:proofErr w:type="gramEnd"/>
      <w:r w:rsidR="000E4F79" w:rsidRPr="000E4F79">
        <w:rPr>
          <w:rFonts w:asciiTheme="minorHAnsi" w:eastAsia="MS PGothic" w:hAnsiTheme="minorHAnsi"/>
          <w:color w:val="000000"/>
          <w:sz w:val="22"/>
          <w:szCs w:val="22"/>
          <w:vertAlign w:val="superscript"/>
          <w:lang w:val="en-US"/>
        </w:rPr>
        <w:t>1]</w:t>
      </w:r>
      <w:r w:rsidR="000E4F79">
        <w:rPr>
          <w:rFonts w:asciiTheme="minorHAnsi" w:eastAsia="MS PGothic" w:hAnsiTheme="minorHAnsi"/>
          <w:color w:val="000000"/>
          <w:sz w:val="22"/>
          <w:szCs w:val="22"/>
          <w:lang w:val="en-US"/>
        </w:rPr>
        <w:t>.</w:t>
      </w:r>
    </w:p>
    <w:p w:rsidR="009862F9" w:rsidRPr="00DE0019" w:rsidRDefault="00590240" w:rsidP="009862F9">
      <w:pPr>
        <w:snapToGrid w:val="0"/>
        <w:spacing w:after="120"/>
        <w:jc w:val="center"/>
        <w:rPr>
          <w:rFonts w:asciiTheme="minorHAnsi" w:eastAsia="MS PGothic" w:hAnsiTheme="minorHAnsi"/>
          <w:color w:val="000000"/>
        </w:rPr>
      </w:pPr>
      <w:r w:rsidRPr="00590240">
        <w:rPr>
          <w:rFonts w:asciiTheme="minorHAnsi" w:eastAsia="MS PGothic" w:hAnsiTheme="minorHAnsi"/>
          <w:noProof/>
          <w:color w:val="000000"/>
          <w:lang w:val="de-DE" w:eastAsia="de-DE"/>
        </w:rPr>
        <mc:AlternateContent>
          <mc:Choice Requires="wps">
            <w:drawing>
              <wp:anchor distT="45720" distB="45720" distL="114300" distR="114300" simplePos="0" relativeHeight="251659264" behindDoc="0" locked="0" layoutInCell="1" allowOverlap="1">
                <wp:simplePos x="0" y="0"/>
                <wp:positionH relativeFrom="margin">
                  <wp:posOffset>297180</wp:posOffset>
                </wp:positionH>
                <wp:positionV relativeFrom="paragraph">
                  <wp:posOffset>1205230</wp:posOffset>
                </wp:positionV>
                <wp:extent cx="489585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noFill/>
                        <a:ln w="9525">
                          <a:noFill/>
                          <a:miter lim="800000"/>
                          <a:headEnd/>
                          <a:tailEnd/>
                        </a:ln>
                      </wps:spPr>
                      <wps:txbx>
                        <w:txbxContent>
                          <w:p w:rsidR="00590240" w:rsidRPr="00590240" w:rsidRDefault="00590240">
                            <w:pPr>
                              <w:rPr>
                                <w:rFonts w:asciiTheme="minorHAnsi" w:hAnsiTheme="minorHAnsi"/>
                                <w:b/>
                                <w:color w:val="FFFFFF" w:themeColor="background1"/>
                                <w:sz w:val="36"/>
                                <w:lang w:val="de-DE"/>
                                <w14:textOutline w14:w="6350" w14:cap="rnd" w14:cmpd="sng" w14:algn="ctr">
                                  <w14:solidFill>
                                    <w14:srgbClr w14:val="000000"/>
                                  </w14:solidFill>
                                  <w14:prstDash w14:val="solid"/>
                                  <w14:bevel/>
                                </w14:textOutline>
                              </w:rPr>
                            </w:pPr>
                            <w:proofErr w:type="gramStart"/>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a</w:t>
                            </w:r>
                            <w:proofErr w:type="gramEnd"/>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00AE717C">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b                      </w:t>
                            </w:r>
                            <w:r w:rsidRPr="00A30FC5">
                              <w:rPr>
                                <w:rFonts w:asciiTheme="minorHAnsi" w:hAnsiTheme="minorHAnsi"/>
                                <w:b/>
                                <w:color w:val="FFFFFF" w:themeColor="background1"/>
                                <w:sz w:val="44"/>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3.4pt;margin-top:94.9pt;width:3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" filled="f" stroked="f">
                <v:textbox style="mso-fit-shape-to-text:t">
                  <w:txbxContent>
                    <w:p w:rsidR="00590240" w:rsidRPr="00590240" w:rsidRDefault="00590240">
                      <w:pPr>
                        <w:rPr>
                          <w:rFonts w:asciiTheme="minorHAnsi" w:hAnsiTheme="minorHAnsi"/>
                          <w:b/>
                          <w:color w:val="FFFFFF" w:themeColor="background1"/>
                          <w:sz w:val="36"/>
                          <w:lang w:val="de-DE"/>
                          <w14:textOutline w14:w="6350" w14:cap="rnd" w14:cmpd="sng" w14:algn="ctr">
                            <w14:solidFill>
                              <w14:srgbClr w14:val="000000"/>
                            </w14:solidFill>
                            <w14:prstDash w14:val="solid"/>
                            <w14:bevel/>
                          </w14:textOutline>
                        </w:rPr>
                      </w:pPr>
                      <w:proofErr w:type="gramStart"/>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a</w:t>
                      </w:r>
                      <w:proofErr w:type="gramEnd"/>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00AE717C">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b                      </w:t>
                      </w:r>
                      <w:r w:rsidRPr="00A30FC5">
                        <w:rPr>
                          <w:rFonts w:asciiTheme="minorHAnsi" w:hAnsiTheme="minorHAnsi"/>
                          <w:b/>
                          <w:color w:val="FFFFFF" w:themeColor="background1"/>
                          <w:sz w:val="44"/>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Pr>
                          <w:rFonts w:asciiTheme="minorHAnsi" w:hAnsiTheme="minorHAnsi"/>
                          <w:b/>
                          <w:color w:val="FFFFFF" w:themeColor="background1"/>
                          <w:sz w:val="36"/>
                          <w14:textOutline w14:w="6350" w14:cap="rnd" w14:cmpd="sng" w14:algn="ctr">
                            <w14:solidFill>
                              <w14:srgbClr w14:val="000000"/>
                            </w14:solidFill>
                            <w14:prstDash w14:val="solid"/>
                            <w14:bevel/>
                          </w14:textOutline>
                        </w:rPr>
                        <w:t xml:space="preserve">     </w:t>
                      </w:r>
                      <w:r w:rsidRPr="00590240">
                        <w:rPr>
                          <w:rFonts w:asciiTheme="minorHAnsi" w:hAnsiTheme="minorHAnsi"/>
                          <w:b/>
                          <w:color w:val="FFFFFF" w:themeColor="background1"/>
                          <w:sz w:val="36"/>
                          <w14:textOutline w14:w="6350" w14:cap="rnd" w14:cmpd="sng" w14:algn="ctr">
                            <w14:solidFill>
                              <w14:srgbClr w14:val="000000"/>
                            </w14:solidFill>
                            <w14:prstDash w14:val="solid"/>
                            <w14:bevel/>
                          </w14:textOutline>
                        </w:rPr>
                        <w:t>c</w:t>
                      </w:r>
                    </w:p>
                  </w:txbxContent>
                </v:textbox>
                <w10:wrap anchorx="margin"/>
              </v:shape>
            </w:pict>
          </mc:Fallback>
        </mc:AlternateContent>
      </w:r>
      <w:r w:rsidR="009862F9" w:rsidRPr="008F6E2B">
        <w:rPr>
          <w:rFonts w:asciiTheme="minorHAnsi" w:eastAsia="MS PGothic" w:hAnsiTheme="minorHAnsi"/>
          <w:noProof/>
          <w:color w:val="000000"/>
          <w:lang w:val="de-DE" w:eastAsia="de-DE"/>
        </w:rPr>
        <w:drawing>
          <wp:inline distT="0" distB="0" distL="0" distR="0" wp14:anchorId="0986A631" wp14:editId="0DA258AE">
            <wp:extent cx="994531" cy="1511300"/>
            <wp:effectExtent l="0" t="0" r="0" b="0"/>
            <wp:docPr id="2" name="Grafik 2" descr="\\Ims-fileserver\c-image\03_veroeffentlichungen\03_presentations\20_ECCE12_Florenz_2019\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s-fileserver\c-image\03_veroeffentlichungen\03_presentations\20_ECCE12_Florenz_2019\Bild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39" t="1589" r="4334" b="1884"/>
                    <a:stretch/>
                  </pic:blipFill>
                  <pic:spPr bwMode="auto">
                    <a:xfrm>
                      <a:off x="0" y="0"/>
                      <a:ext cx="1009953" cy="1534735"/>
                    </a:xfrm>
                    <a:prstGeom prst="rect">
                      <a:avLst/>
                    </a:prstGeom>
                    <a:noFill/>
                    <a:ln>
                      <a:noFill/>
                    </a:ln>
                    <a:extLst>
                      <a:ext uri="{53640926-AAD7-44D8-BBD7-CCE9431645EC}">
                        <a14:shadowObscured xmlns:a14="http://schemas.microsoft.com/office/drawing/2010/main"/>
                      </a:ext>
                    </a:extLst>
                  </pic:spPr>
                </pic:pic>
              </a:graphicData>
            </a:graphic>
          </wp:inline>
        </w:drawing>
      </w:r>
      <w:r w:rsidR="009862F9">
        <w:rPr>
          <w:rFonts w:asciiTheme="minorHAnsi" w:eastAsia="MS PGothic" w:hAnsiTheme="minorHAnsi"/>
          <w:color w:val="000000"/>
        </w:rPr>
        <w:t xml:space="preserve">  </w:t>
      </w:r>
      <w:r w:rsidR="009862F9" w:rsidRPr="008F6E2B">
        <w:rPr>
          <w:rFonts w:asciiTheme="minorHAnsi" w:eastAsia="MS PGothic" w:hAnsiTheme="minorHAnsi"/>
          <w:noProof/>
          <w:color w:val="000000"/>
          <w:lang w:val="de-DE" w:eastAsia="de-DE"/>
        </w:rPr>
        <w:drawing>
          <wp:inline distT="0" distB="0" distL="0" distR="0" wp14:anchorId="2830CB80" wp14:editId="72FBC17E">
            <wp:extent cx="1662556" cy="1498600"/>
            <wp:effectExtent l="0" t="0" r="0" b="6350"/>
            <wp:docPr id="1" name="Grafik 1" descr="\\Ims-fileserver\c-image\03_veroeffentlichungen\03_presentations\20_ECCE12_Florenz_2019\20181213_14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s-fileserver\c-image\03_veroeffentlichungen\03_presentations\20_ECCE12_Florenz_2019\20181213_143628.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93" r="26215"/>
                    <a:stretch/>
                  </pic:blipFill>
                  <pic:spPr bwMode="auto">
                    <a:xfrm>
                      <a:off x="0" y="0"/>
                      <a:ext cx="1672987" cy="1508002"/>
                    </a:xfrm>
                    <a:prstGeom prst="rect">
                      <a:avLst/>
                    </a:prstGeom>
                    <a:noFill/>
                    <a:ln>
                      <a:noFill/>
                    </a:ln>
                    <a:extLst>
                      <a:ext uri="{53640926-AAD7-44D8-BBD7-CCE9431645EC}">
                        <a14:shadowObscured xmlns:a14="http://schemas.microsoft.com/office/drawing/2010/main"/>
                      </a:ext>
                    </a:extLst>
                  </pic:spPr>
                </pic:pic>
              </a:graphicData>
            </a:graphic>
          </wp:inline>
        </w:drawing>
      </w:r>
      <w:r w:rsidR="009862F9" w:rsidRPr="008F6E2B">
        <w:rPr>
          <w:rFonts w:asciiTheme="minorHAnsi" w:eastAsia="MS PGothic" w:hAnsiTheme="minorHAnsi"/>
          <w:noProof/>
          <w:color w:val="000000"/>
          <w:lang w:val="de-DE" w:eastAsia="de-DE"/>
        </w:rPr>
        <w:drawing>
          <wp:inline distT="0" distB="0" distL="0" distR="0" wp14:anchorId="3F3AF05D" wp14:editId="532407B6">
            <wp:extent cx="2232156" cy="1479550"/>
            <wp:effectExtent l="0" t="0" r="0" b="6350"/>
            <wp:docPr id="3" name="Grafik 3" descr="\\Ims-fileserver\c-image\03_veroeffentlichungen\03_presentations\20_ECCE12_Florenz_2019\Pesch_Chap_5_Fig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s-fileserver\c-image\03_veroeffentlichungen\03_presentations\20_ECCE12_Florenz_2019\Pesch_Chap_5_Fig_5.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8226" cy="1483574"/>
                    </a:xfrm>
                    <a:prstGeom prst="rect">
                      <a:avLst/>
                    </a:prstGeom>
                    <a:noFill/>
                    <a:ln>
                      <a:noFill/>
                    </a:ln>
                  </pic:spPr>
                </pic:pic>
              </a:graphicData>
            </a:graphic>
          </wp:inline>
        </w:drawing>
      </w:r>
    </w:p>
    <w:p w:rsidR="009862F9" w:rsidRPr="00DE0019" w:rsidRDefault="009862F9" w:rsidP="009862F9">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Experimental facilities for the investigation of submarine oil spills at TUHH: a. Lab-scale jet facility with direct optical access and variable </w:t>
      </w:r>
      <w:r w:rsidRPr="008F6E2B">
        <w:rPr>
          <w:rFonts w:asciiTheme="minorHAnsi" w:eastAsia="MS PGothic" w:hAnsiTheme="minorHAnsi"/>
          <w:color w:val="000000"/>
          <w:szCs w:val="18"/>
          <w:lang w:val="en-US"/>
        </w:rPr>
        <w:t xml:space="preserve">nozzle size; b. Oil-in-water jet experiment in the pilot-plant-scale jet facility; c. High-pressure counter-current flow cell for the </w:t>
      </w:r>
      <w:r w:rsidRPr="008F6E2B">
        <w:rPr>
          <w:rFonts w:asciiTheme="minorHAnsi" w:hAnsiTheme="minorHAnsi"/>
          <w:szCs w:val="18"/>
          <w:lang w:val="en-US"/>
        </w:rPr>
        <w:t xml:space="preserve">investigation of single rising </w:t>
      </w:r>
      <w:r>
        <w:rPr>
          <w:rFonts w:asciiTheme="minorHAnsi" w:hAnsiTheme="minorHAnsi"/>
          <w:szCs w:val="18"/>
          <w:lang w:val="en-US"/>
        </w:rPr>
        <w:t>live-oil</w:t>
      </w:r>
      <w:r w:rsidRPr="008F6E2B">
        <w:rPr>
          <w:rFonts w:asciiTheme="minorHAnsi" w:hAnsiTheme="minorHAnsi"/>
          <w:szCs w:val="18"/>
          <w:lang w:val="en-US"/>
        </w:rPr>
        <w:t xml:space="preserve"> droplets under simulated deep-sea conditions</w:t>
      </w:r>
      <w:r>
        <w:rPr>
          <w:rFonts w:asciiTheme="minorHAnsi" w:hAnsiTheme="minorHAnsi"/>
          <w:szCs w:val="18"/>
          <w:lang w:val="en-US"/>
        </w:rPr>
        <w:t>.</w:t>
      </w:r>
    </w:p>
    <w:p w:rsidR="00704BDF" w:rsidRPr="008D0BEB" w:rsidRDefault="00704BDF" w:rsidP="008025B4">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161327"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recorded droplet sizes of the oil-in-water jets are approximately log-normally distributed. </w:t>
      </w:r>
      <w:r w:rsidR="00394112">
        <w:rPr>
          <w:rFonts w:asciiTheme="minorHAnsi" w:eastAsia="MS PGothic" w:hAnsiTheme="minorHAnsi"/>
          <w:color w:val="000000"/>
          <w:sz w:val="22"/>
          <w:szCs w:val="22"/>
          <w:lang w:val="en-US"/>
        </w:rPr>
        <w:t xml:space="preserve">In collaboration with the University of Western Australia, a new model correlation </w:t>
      </w:r>
      <w:r w:rsidR="00A50E56">
        <w:rPr>
          <w:rFonts w:asciiTheme="minorHAnsi" w:eastAsia="MS PGothic" w:hAnsiTheme="minorHAnsi"/>
          <w:color w:val="000000"/>
          <w:sz w:val="22"/>
          <w:szCs w:val="22"/>
          <w:lang w:val="en-US"/>
        </w:rPr>
        <w:t xml:space="preserve">for the prediction and scale-up </w:t>
      </w:r>
      <w:r w:rsidR="00394112">
        <w:rPr>
          <w:rFonts w:asciiTheme="minorHAnsi" w:eastAsia="MS PGothic" w:hAnsiTheme="minorHAnsi"/>
          <w:color w:val="000000"/>
          <w:sz w:val="22"/>
          <w:szCs w:val="22"/>
          <w:lang w:val="en-US"/>
        </w:rPr>
        <w:t xml:space="preserve">of the jet DSD based on the TKE dissipation rate </w:t>
      </w:r>
      <w:r w:rsidR="00740D4B">
        <w:rPr>
          <w:rFonts w:asciiTheme="minorHAnsi" w:eastAsia="MS PGothic" w:hAnsiTheme="minorHAnsi"/>
          <w:color w:val="000000"/>
          <w:sz w:val="22"/>
          <w:szCs w:val="22"/>
          <w:lang w:val="en-US"/>
        </w:rPr>
        <w:t xml:space="preserve">(TDR) </w:t>
      </w:r>
      <w:r w:rsidR="00394112">
        <w:rPr>
          <w:rFonts w:asciiTheme="minorHAnsi" w:eastAsia="MS PGothic" w:hAnsiTheme="minorHAnsi"/>
          <w:color w:val="000000"/>
          <w:sz w:val="22"/>
          <w:szCs w:val="22"/>
          <w:lang w:val="en-US"/>
        </w:rPr>
        <w:t>and incorporating the recent experimental results as well as older datasets is developed at TUHH.</w:t>
      </w:r>
      <w:r w:rsidR="002D3153">
        <w:rPr>
          <w:rFonts w:asciiTheme="minorHAnsi" w:eastAsia="MS PGothic" w:hAnsiTheme="minorHAnsi"/>
          <w:color w:val="000000"/>
          <w:sz w:val="22"/>
          <w:szCs w:val="22"/>
          <w:lang w:val="en-US"/>
        </w:rPr>
        <w:t xml:space="preserve"> </w:t>
      </w:r>
      <w:r w:rsidR="00AE717C">
        <w:rPr>
          <w:rFonts w:asciiTheme="minorHAnsi" w:eastAsia="MS PGothic" w:hAnsiTheme="minorHAnsi"/>
          <w:color w:val="000000"/>
          <w:sz w:val="22"/>
          <w:szCs w:val="22"/>
          <w:lang w:val="en-US"/>
        </w:rPr>
        <w:t>The model correl</w:t>
      </w:r>
      <w:r w:rsidR="00740D4B">
        <w:rPr>
          <w:rFonts w:asciiTheme="minorHAnsi" w:eastAsia="MS PGothic" w:hAnsiTheme="minorHAnsi"/>
          <w:color w:val="000000"/>
          <w:sz w:val="22"/>
          <w:szCs w:val="22"/>
          <w:lang w:val="en-US"/>
        </w:rPr>
        <w:t>ates the mean diameter with the TDR, which</w:t>
      </w:r>
      <w:r w:rsidR="00AE717C">
        <w:rPr>
          <w:rFonts w:asciiTheme="minorHAnsi" w:eastAsia="MS PGothic" w:hAnsiTheme="minorHAnsi"/>
          <w:color w:val="000000"/>
          <w:sz w:val="22"/>
          <w:szCs w:val="22"/>
          <w:lang w:val="en-US"/>
        </w:rPr>
        <w:t xml:space="preserve"> i</w:t>
      </w:r>
      <w:r w:rsidR="00740D4B">
        <w:rPr>
          <w:rFonts w:asciiTheme="minorHAnsi" w:eastAsia="MS PGothic" w:hAnsiTheme="minorHAnsi"/>
          <w:color w:val="000000"/>
          <w:sz w:val="22"/>
          <w:szCs w:val="22"/>
          <w:lang w:val="en-US"/>
        </w:rPr>
        <w:t xml:space="preserve">s calculated by means of </w:t>
      </w:r>
      <w:r w:rsidR="00AE717C">
        <w:rPr>
          <w:rFonts w:asciiTheme="minorHAnsi" w:eastAsia="MS PGothic" w:hAnsiTheme="minorHAnsi"/>
          <w:color w:val="000000"/>
          <w:sz w:val="22"/>
          <w:szCs w:val="22"/>
          <w:lang w:val="en-US"/>
        </w:rPr>
        <w:t>literature equation</w:t>
      </w:r>
      <w:r w:rsidR="00740D4B">
        <w:rPr>
          <w:rFonts w:asciiTheme="minorHAnsi" w:eastAsia="MS PGothic" w:hAnsiTheme="minorHAnsi"/>
          <w:color w:val="000000"/>
          <w:sz w:val="22"/>
          <w:szCs w:val="22"/>
          <w:lang w:val="en-US"/>
        </w:rPr>
        <w:t>s, using a power-law function</w:t>
      </w:r>
      <w:r w:rsidR="00AE717C">
        <w:rPr>
          <w:rFonts w:asciiTheme="minorHAnsi" w:eastAsia="MS PGothic" w:hAnsiTheme="minorHAnsi"/>
          <w:color w:val="000000"/>
          <w:sz w:val="22"/>
          <w:szCs w:val="22"/>
          <w:lang w:val="en-US"/>
        </w:rPr>
        <w:t>.</w:t>
      </w:r>
      <w:r w:rsidR="00740D4B">
        <w:rPr>
          <w:rFonts w:asciiTheme="minorHAnsi" w:eastAsia="MS PGothic" w:hAnsiTheme="minorHAnsi"/>
          <w:color w:val="000000"/>
          <w:sz w:val="22"/>
          <w:szCs w:val="22"/>
          <w:lang w:val="en-US"/>
        </w:rPr>
        <w:t xml:space="preserve"> The results are independent of the nozzle size but</w:t>
      </w:r>
      <w:r w:rsidR="00AE717C">
        <w:rPr>
          <w:rFonts w:asciiTheme="minorHAnsi" w:eastAsia="MS PGothic" w:hAnsiTheme="minorHAnsi"/>
          <w:color w:val="000000"/>
          <w:sz w:val="22"/>
          <w:szCs w:val="22"/>
          <w:lang w:val="en-US"/>
        </w:rPr>
        <w:t xml:space="preserve"> </w:t>
      </w:r>
      <w:r w:rsidR="00740D4B">
        <w:rPr>
          <w:rFonts w:asciiTheme="minorHAnsi" w:eastAsia="MS PGothic" w:hAnsiTheme="minorHAnsi"/>
          <w:color w:val="000000"/>
          <w:sz w:val="22"/>
          <w:szCs w:val="22"/>
          <w:lang w:val="en-US"/>
        </w:rPr>
        <w:t xml:space="preserve">scale with the TDR value, which enables scale-up. </w:t>
      </w:r>
      <w:r w:rsidR="002D3153">
        <w:rPr>
          <w:rFonts w:asciiTheme="minorHAnsi" w:eastAsia="MS PGothic" w:hAnsiTheme="minorHAnsi"/>
          <w:color w:val="000000"/>
          <w:sz w:val="22"/>
          <w:szCs w:val="22"/>
          <w:lang w:val="en-US"/>
        </w:rPr>
        <w:t xml:space="preserve">In contrast to models available in literature, this </w:t>
      </w:r>
      <w:r w:rsidR="00BD47FF">
        <w:rPr>
          <w:rFonts w:asciiTheme="minorHAnsi" w:eastAsia="MS PGothic" w:hAnsiTheme="minorHAnsi"/>
          <w:color w:val="000000"/>
          <w:sz w:val="22"/>
          <w:szCs w:val="22"/>
          <w:lang w:val="en-US"/>
        </w:rPr>
        <w:t xml:space="preserve">quite fundamental </w:t>
      </w:r>
      <w:r w:rsidR="002D3153">
        <w:rPr>
          <w:rFonts w:asciiTheme="minorHAnsi" w:eastAsia="MS PGothic" w:hAnsiTheme="minorHAnsi"/>
          <w:color w:val="000000"/>
          <w:sz w:val="22"/>
          <w:szCs w:val="22"/>
          <w:lang w:val="en-US"/>
        </w:rPr>
        <w:t>correlation is capable of accounting for high-pressure effects</w:t>
      </w:r>
      <w:r w:rsidR="00DA26BF">
        <w:rPr>
          <w:rFonts w:asciiTheme="minorHAnsi" w:eastAsia="MS PGothic" w:hAnsiTheme="minorHAnsi"/>
          <w:color w:val="000000"/>
          <w:sz w:val="22"/>
          <w:szCs w:val="22"/>
          <w:lang w:val="en-US"/>
        </w:rPr>
        <w:t xml:space="preserve">, like pressure drop at the blowout site and outgassing of dissolved natural gas from the liquid oil. </w:t>
      </w:r>
      <w:r w:rsidR="003B1544">
        <w:rPr>
          <w:rFonts w:asciiTheme="minorHAnsi" w:eastAsia="MS PGothic" w:hAnsiTheme="minorHAnsi"/>
          <w:color w:val="000000"/>
          <w:sz w:val="22"/>
          <w:szCs w:val="22"/>
          <w:lang w:val="en-US"/>
        </w:rPr>
        <w:t>In the drop-rise experiments, gradually decreasing the pressure leads to the formation of gas bubbles inside the initially gas-saturated but purely liquid crude oil droplets.</w:t>
      </w:r>
      <w:r w:rsidR="00B24142">
        <w:rPr>
          <w:rFonts w:asciiTheme="minorHAnsi" w:eastAsia="MS PGothic" w:hAnsiTheme="minorHAnsi"/>
          <w:color w:val="000000"/>
          <w:sz w:val="22"/>
          <w:szCs w:val="22"/>
          <w:lang w:val="en-US"/>
        </w:rPr>
        <w:t xml:space="preserve"> This internal degassing causes a substantial growth of the two-phase particles and a significant decrease of their average density</w:t>
      </w:r>
      <w:r w:rsidR="00CF7CAD">
        <w:rPr>
          <w:rFonts w:asciiTheme="minorHAnsi" w:eastAsia="MS PGothic" w:hAnsiTheme="minorHAnsi"/>
          <w:color w:val="000000"/>
          <w:sz w:val="22"/>
          <w:szCs w:val="22"/>
          <w:lang w:val="en-US"/>
        </w:rPr>
        <w:t>. Both effects lead to an increased buoyancy and therefore a higher rise velocity of the droplets. Th</w:t>
      </w:r>
      <w:r w:rsidR="001949DA">
        <w:rPr>
          <w:rFonts w:asciiTheme="minorHAnsi" w:eastAsia="MS PGothic" w:hAnsiTheme="minorHAnsi"/>
          <w:color w:val="000000"/>
          <w:sz w:val="22"/>
          <w:szCs w:val="22"/>
          <w:lang w:val="en-US"/>
        </w:rPr>
        <w:t xml:space="preserve">e enhanced buoyancy of gas-saturated droplets is implemented into the 3D </w:t>
      </w:r>
      <w:proofErr w:type="spellStart"/>
      <w:r w:rsidR="001949DA">
        <w:rPr>
          <w:rFonts w:asciiTheme="minorHAnsi" w:eastAsia="MS PGothic" w:hAnsiTheme="minorHAnsi"/>
          <w:color w:val="000000"/>
          <w:sz w:val="22"/>
          <w:szCs w:val="22"/>
          <w:lang w:val="en-US"/>
        </w:rPr>
        <w:t>Lagrangian</w:t>
      </w:r>
      <w:proofErr w:type="spellEnd"/>
      <w:r w:rsidR="001949DA">
        <w:rPr>
          <w:rFonts w:asciiTheme="minorHAnsi" w:eastAsia="MS PGothic" w:hAnsiTheme="minorHAnsi"/>
          <w:color w:val="000000"/>
          <w:sz w:val="22"/>
          <w:szCs w:val="22"/>
          <w:lang w:val="en-US"/>
        </w:rPr>
        <w:t xml:space="preserve"> oil fate model by Paris et al. at the University of </w:t>
      </w:r>
      <w:proofErr w:type="gramStart"/>
      <w:r w:rsidR="001949DA">
        <w:rPr>
          <w:rFonts w:asciiTheme="minorHAnsi" w:eastAsia="MS PGothic" w:hAnsiTheme="minorHAnsi"/>
          <w:color w:val="000000"/>
          <w:sz w:val="22"/>
          <w:szCs w:val="22"/>
          <w:lang w:val="en-US"/>
        </w:rPr>
        <w:t>Miami</w:t>
      </w:r>
      <w:r w:rsidR="00740D4B">
        <w:rPr>
          <w:rFonts w:asciiTheme="minorHAnsi" w:eastAsia="MS PGothic" w:hAnsiTheme="minorHAnsi"/>
          <w:color w:val="000000"/>
          <w:sz w:val="22"/>
          <w:szCs w:val="22"/>
          <w:vertAlign w:val="superscript"/>
          <w:lang w:val="en-US"/>
        </w:rPr>
        <w:t>[</w:t>
      </w:r>
      <w:proofErr w:type="gramEnd"/>
      <w:r w:rsidR="00740D4B">
        <w:rPr>
          <w:rFonts w:asciiTheme="minorHAnsi" w:eastAsia="MS PGothic" w:hAnsiTheme="minorHAnsi"/>
          <w:color w:val="000000"/>
          <w:sz w:val="22"/>
          <w:szCs w:val="22"/>
          <w:vertAlign w:val="superscript"/>
          <w:lang w:val="en-US"/>
        </w:rPr>
        <w:t>2</w:t>
      </w:r>
      <w:r w:rsidR="001949DA" w:rsidRPr="001949DA">
        <w:rPr>
          <w:rFonts w:asciiTheme="minorHAnsi" w:eastAsia="MS PGothic" w:hAnsiTheme="minorHAnsi"/>
          <w:color w:val="000000"/>
          <w:sz w:val="22"/>
          <w:szCs w:val="22"/>
          <w:vertAlign w:val="superscript"/>
          <w:lang w:val="en-US"/>
        </w:rPr>
        <w:t>]</w:t>
      </w:r>
      <w:r w:rsidR="001949DA">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1F4168" w:rsidRPr="008D0BEB" w:rsidRDefault="008025B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F644A8">
        <w:rPr>
          <w:rFonts w:asciiTheme="minorHAnsi" w:eastAsia="MS PGothic" w:hAnsiTheme="minorHAnsi"/>
          <w:color w:val="000000"/>
          <w:sz w:val="22"/>
          <w:szCs w:val="22"/>
          <w:lang w:val="en-US"/>
        </w:rPr>
        <w:t>he presented experimental results and modeling approaches help to understand and predict the fate of the oil masses in case of a subsea blowout</w:t>
      </w:r>
      <w:r>
        <w:rPr>
          <w:rFonts w:asciiTheme="minorHAnsi" w:eastAsia="MS PGothic" w:hAnsiTheme="minorHAnsi"/>
          <w:color w:val="000000"/>
          <w:sz w:val="22"/>
          <w:szCs w:val="22"/>
          <w:lang w:val="en-US"/>
        </w:rPr>
        <w:t>.</w:t>
      </w:r>
      <w:r w:rsidR="00F644A8">
        <w:rPr>
          <w:rFonts w:asciiTheme="minorHAnsi" w:eastAsia="MS PGothic" w:hAnsiTheme="minorHAnsi"/>
          <w:color w:val="000000"/>
          <w:sz w:val="22"/>
          <w:szCs w:val="22"/>
          <w:lang w:val="en-US"/>
        </w:rPr>
        <w:t xml:space="preserve"> The multiphase nature of the oil and gas jet in question</w:t>
      </w:r>
      <w:r w:rsidR="00161327">
        <w:rPr>
          <w:rFonts w:asciiTheme="minorHAnsi" w:eastAsia="MS PGothic" w:hAnsiTheme="minorHAnsi"/>
          <w:color w:val="000000"/>
          <w:sz w:val="22"/>
          <w:szCs w:val="22"/>
          <w:lang w:val="en-US"/>
        </w:rPr>
        <w:t xml:space="preserve"> that determines the droplet size distribution</w:t>
      </w:r>
      <w:r w:rsidR="00F644A8">
        <w:rPr>
          <w:rFonts w:asciiTheme="minorHAnsi" w:eastAsia="MS PGothic" w:hAnsiTheme="minorHAnsi"/>
          <w:color w:val="000000"/>
          <w:sz w:val="22"/>
          <w:szCs w:val="22"/>
          <w:lang w:val="en-US"/>
        </w:rPr>
        <w:t xml:space="preserve"> as well as </w:t>
      </w:r>
      <w:r w:rsidR="00D772EC">
        <w:rPr>
          <w:rFonts w:asciiTheme="minorHAnsi" w:eastAsia="MS PGothic" w:hAnsiTheme="minorHAnsi"/>
          <w:color w:val="000000"/>
          <w:sz w:val="22"/>
          <w:szCs w:val="22"/>
          <w:lang w:val="en-US"/>
        </w:rPr>
        <w:t>pressure-dependent effects like</w:t>
      </w:r>
      <w:r w:rsidR="00161327">
        <w:rPr>
          <w:rFonts w:asciiTheme="minorHAnsi" w:eastAsia="MS PGothic" w:hAnsiTheme="minorHAnsi"/>
          <w:color w:val="000000"/>
          <w:sz w:val="22"/>
          <w:szCs w:val="22"/>
          <w:lang w:val="en-US"/>
        </w:rPr>
        <w:t xml:space="preserve"> enhanced buoyancy due to degassing are critical for accurate oil fate modeling. </w:t>
      </w:r>
      <w:r w:rsidR="001F4168">
        <w:rPr>
          <w:rFonts w:asciiTheme="minorHAnsi" w:eastAsia="MS PGothic" w:hAnsiTheme="minorHAnsi"/>
          <w:color w:val="000000"/>
          <w:sz w:val="22"/>
          <w:szCs w:val="22"/>
          <w:lang w:val="en-US"/>
        </w:rPr>
        <w:t>This research was made possible by a grant from the Gulf of Mexico Research Initiative, C-IMAGE III.</w:t>
      </w:r>
    </w:p>
    <w:p w:rsidR="00704BDF" w:rsidRPr="008D0BEB" w:rsidRDefault="00CB6C9A"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CB6C9A" w:rsidRPr="00740D4B" w:rsidRDefault="000E4F79" w:rsidP="00740D4B">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de-DE" w:eastAsia="zh-CN"/>
        </w:rPr>
      </w:pPr>
      <w:r w:rsidRPr="00902FC6">
        <w:rPr>
          <w:rFonts w:asciiTheme="minorHAnsi" w:hAnsiTheme="minorHAnsi"/>
          <w:color w:val="000000"/>
          <w:lang w:val="de-DE"/>
        </w:rPr>
        <w:t xml:space="preserve">S. Pesch, P. Jaeger, A. </w:t>
      </w:r>
      <w:proofErr w:type="spellStart"/>
      <w:r>
        <w:rPr>
          <w:rFonts w:asciiTheme="minorHAnsi" w:hAnsiTheme="minorHAnsi"/>
          <w:color w:val="000000"/>
          <w:lang w:val="de-DE"/>
        </w:rPr>
        <w:t>Jaggi</w:t>
      </w:r>
      <w:proofErr w:type="spellEnd"/>
      <w:r>
        <w:rPr>
          <w:rFonts w:asciiTheme="minorHAnsi" w:hAnsiTheme="minorHAnsi"/>
          <w:color w:val="000000"/>
          <w:lang w:val="de-DE"/>
        </w:rPr>
        <w:t xml:space="preserve">, K. Malone, M. Hoffmann, D. Krause, T.B.P. Oldenburg, M. Schlüter, </w:t>
      </w:r>
      <w:proofErr w:type="spellStart"/>
      <w:r>
        <w:rPr>
          <w:rFonts w:asciiTheme="minorHAnsi" w:hAnsiTheme="minorHAnsi"/>
          <w:color w:val="000000"/>
          <w:lang w:val="de-DE"/>
        </w:rPr>
        <w:t>Environ</w:t>
      </w:r>
      <w:proofErr w:type="spellEnd"/>
      <w:r>
        <w:rPr>
          <w:rFonts w:asciiTheme="minorHAnsi" w:hAnsiTheme="minorHAnsi"/>
          <w:color w:val="000000"/>
          <w:lang w:val="de-DE"/>
        </w:rPr>
        <w:t xml:space="preserve">. Eng. </w:t>
      </w:r>
      <w:proofErr w:type="spellStart"/>
      <w:r>
        <w:rPr>
          <w:rFonts w:asciiTheme="minorHAnsi" w:hAnsiTheme="minorHAnsi"/>
          <w:color w:val="000000"/>
          <w:lang w:val="de-DE"/>
        </w:rPr>
        <w:t>Sci</w:t>
      </w:r>
      <w:proofErr w:type="spellEnd"/>
      <w:r>
        <w:rPr>
          <w:rFonts w:asciiTheme="minorHAnsi" w:hAnsiTheme="minorHAnsi"/>
          <w:color w:val="000000"/>
          <w:lang w:val="de-DE"/>
        </w:rPr>
        <w:t>. 35(4), 2018, 289–299.</w:t>
      </w:r>
    </w:p>
    <w:p w:rsidR="00704BDF" w:rsidRPr="00F952F3" w:rsidRDefault="00CB6C9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de-DE" w:eastAsia="zh-CN"/>
        </w:rPr>
      </w:pPr>
      <w:r w:rsidRPr="00161327">
        <w:rPr>
          <w:rFonts w:asciiTheme="minorHAnsi" w:hAnsiTheme="minorHAnsi"/>
          <w:color w:val="000000"/>
        </w:rPr>
        <w:t xml:space="preserve">C. Paris, M. Le </w:t>
      </w:r>
      <w:proofErr w:type="spellStart"/>
      <w:r w:rsidRPr="00161327">
        <w:rPr>
          <w:rFonts w:asciiTheme="minorHAnsi" w:hAnsiTheme="minorHAnsi"/>
          <w:color w:val="000000"/>
        </w:rPr>
        <w:t>Henaff</w:t>
      </w:r>
      <w:proofErr w:type="spellEnd"/>
      <w:r w:rsidRPr="00161327">
        <w:rPr>
          <w:rFonts w:asciiTheme="minorHAnsi" w:hAnsiTheme="minorHAnsi"/>
          <w:color w:val="000000"/>
        </w:rPr>
        <w:t xml:space="preserve">, Z. </w:t>
      </w:r>
      <w:proofErr w:type="spellStart"/>
      <w:r w:rsidRPr="00161327">
        <w:rPr>
          <w:rFonts w:asciiTheme="minorHAnsi" w:hAnsiTheme="minorHAnsi"/>
          <w:color w:val="000000"/>
        </w:rPr>
        <w:t>Aman</w:t>
      </w:r>
      <w:proofErr w:type="spellEnd"/>
      <w:r w:rsidRPr="00161327">
        <w:rPr>
          <w:rFonts w:asciiTheme="minorHAnsi" w:hAnsiTheme="minorHAnsi"/>
          <w:color w:val="000000"/>
        </w:rPr>
        <w:t xml:space="preserve">, A. </w:t>
      </w:r>
      <w:proofErr w:type="spellStart"/>
      <w:r w:rsidRPr="00161327">
        <w:rPr>
          <w:rFonts w:asciiTheme="minorHAnsi" w:hAnsiTheme="minorHAnsi"/>
          <w:color w:val="000000"/>
        </w:rPr>
        <w:t>Subramaniam</w:t>
      </w:r>
      <w:proofErr w:type="spellEnd"/>
      <w:r w:rsidRPr="00161327">
        <w:rPr>
          <w:rFonts w:asciiTheme="minorHAnsi" w:hAnsiTheme="minorHAnsi"/>
          <w:color w:val="000000"/>
        </w:rPr>
        <w:t xml:space="preserve">, J. </w:t>
      </w:r>
      <w:proofErr w:type="spellStart"/>
      <w:r w:rsidRPr="00161327">
        <w:rPr>
          <w:rFonts w:asciiTheme="minorHAnsi" w:hAnsiTheme="minorHAnsi"/>
          <w:color w:val="000000"/>
        </w:rPr>
        <w:t>Helgers</w:t>
      </w:r>
      <w:proofErr w:type="spellEnd"/>
      <w:r w:rsidRPr="00161327">
        <w:rPr>
          <w:rFonts w:asciiTheme="minorHAnsi" w:hAnsiTheme="minorHAnsi"/>
          <w:color w:val="000000"/>
        </w:rPr>
        <w:t xml:space="preserve">, D.-P. Wang, V. </w:t>
      </w:r>
      <w:proofErr w:type="spellStart"/>
      <w:r w:rsidRPr="00161327">
        <w:rPr>
          <w:rFonts w:asciiTheme="minorHAnsi" w:hAnsiTheme="minorHAnsi"/>
          <w:color w:val="000000"/>
        </w:rPr>
        <w:t>Kourafalou</w:t>
      </w:r>
      <w:proofErr w:type="spellEnd"/>
      <w:r w:rsidRPr="00161327">
        <w:rPr>
          <w:rFonts w:asciiTheme="minorHAnsi" w:hAnsiTheme="minorHAnsi"/>
          <w:color w:val="000000"/>
        </w:rPr>
        <w:t xml:space="preserve">, A. Srinivasan, Environ. </w:t>
      </w:r>
      <w:proofErr w:type="spellStart"/>
      <w:r w:rsidRPr="000E4F79">
        <w:rPr>
          <w:rFonts w:asciiTheme="minorHAnsi" w:hAnsiTheme="minorHAnsi"/>
          <w:color w:val="000000"/>
          <w:lang w:val="de-DE"/>
        </w:rPr>
        <w:t>Sci</w:t>
      </w:r>
      <w:proofErr w:type="spellEnd"/>
      <w:r w:rsidRPr="000E4F79">
        <w:rPr>
          <w:rFonts w:asciiTheme="minorHAnsi" w:hAnsiTheme="minorHAnsi"/>
          <w:color w:val="000000"/>
          <w:lang w:val="de-DE"/>
        </w:rPr>
        <w:t xml:space="preserve">. </w:t>
      </w:r>
      <w:proofErr w:type="spellStart"/>
      <w:r w:rsidRPr="000E4F79">
        <w:rPr>
          <w:rFonts w:asciiTheme="minorHAnsi" w:hAnsiTheme="minorHAnsi"/>
          <w:color w:val="000000"/>
          <w:lang w:val="de-DE"/>
        </w:rPr>
        <w:t>Technol</w:t>
      </w:r>
      <w:proofErr w:type="spellEnd"/>
      <w:r w:rsidRPr="000E4F79">
        <w:rPr>
          <w:rFonts w:asciiTheme="minorHAnsi" w:hAnsiTheme="minorHAnsi"/>
          <w:color w:val="000000"/>
          <w:lang w:val="de-DE"/>
        </w:rPr>
        <w:t>. 46(24), 2012, 13293–13302.</w:t>
      </w:r>
    </w:p>
    <w:sectPr w:rsidR="00704BDF" w:rsidRPr="00F952F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71F3"/>
    <w:rsid w:val="000A03B2"/>
    <w:rsid w:val="000D34BE"/>
    <w:rsid w:val="000E36F1"/>
    <w:rsid w:val="000E3A73"/>
    <w:rsid w:val="000E414A"/>
    <w:rsid w:val="000E4F79"/>
    <w:rsid w:val="0013121F"/>
    <w:rsid w:val="00134DE4"/>
    <w:rsid w:val="00150E59"/>
    <w:rsid w:val="00161327"/>
    <w:rsid w:val="00184AD6"/>
    <w:rsid w:val="001949DA"/>
    <w:rsid w:val="001B65C1"/>
    <w:rsid w:val="001C684B"/>
    <w:rsid w:val="001D53FC"/>
    <w:rsid w:val="001F2EC7"/>
    <w:rsid w:val="001F4168"/>
    <w:rsid w:val="002065DB"/>
    <w:rsid w:val="002075E2"/>
    <w:rsid w:val="00216FC5"/>
    <w:rsid w:val="0022549D"/>
    <w:rsid w:val="002447EF"/>
    <w:rsid w:val="00251550"/>
    <w:rsid w:val="00261903"/>
    <w:rsid w:val="0027221A"/>
    <w:rsid w:val="00275B61"/>
    <w:rsid w:val="002D1F12"/>
    <w:rsid w:val="002D3153"/>
    <w:rsid w:val="003009B7"/>
    <w:rsid w:val="0030469C"/>
    <w:rsid w:val="0036089D"/>
    <w:rsid w:val="003723D4"/>
    <w:rsid w:val="00380095"/>
    <w:rsid w:val="00394112"/>
    <w:rsid w:val="003A7D1C"/>
    <w:rsid w:val="003B1544"/>
    <w:rsid w:val="0046164A"/>
    <w:rsid w:val="00462DCD"/>
    <w:rsid w:val="004B6B98"/>
    <w:rsid w:val="004D1162"/>
    <w:rsid w:val="004E4DD6"/>
    <w:rsid w:val="004F5E36"/>
    <w:rsid w:val="005119A5"/>
    <w:rsid w:val="00517828"/>
    <w:rsid w:val="005278B7"/>
    <w:rsid w:val="005346C8"/>
    <w:rsid w:val="00590240"/>
    <w:rsid w:val="00594E9F"/>
    <w:rsid w:val="005B61E6"/>
    <w:rsid w:val="005C77E1"/>
    <w:rsid w:val="005D5E73"/>
    <w:rsid w:val="005D6A2F"/>
    <w:rsid w:val="005E1A82"/>
    <w:rsid w:val="005F0A28"/>
    <w:rsid w:val="005F0E5E"/>
    <w:rsid w:val="00620DEE"/>
    <w:rsid w:val="006247C4"/>
    <w:rsid w:val="00625639"/>
    <w:rsid w:val="0064184D"/>
    <w:rsid w:val="00660E3E"/>
    <w:rsid w:val="00662E74"/>
    <w:rsid w:val="006A58D2"/>
    <w:rsid w:val="006C1709"/>
    <w:rsid w:val="006C5579"/>
    <w:rsid w:val="00704BDF"/>
    <w:rsid w:val="00722B98"/>
    <w:rsid w:val="00736B13"/>
    <w:rsid w:val="00740D4B"/>
    <w:rsid w:val="007447F3"/>
    <w:rsid w:val="00750F43"/>
    <w:rsid w:val="007661C8"/>
    <w:rsid w:val="00783FA0"/>
    <w:rsid w:val="007D52CD"/>
    <w:rsid w:val="008025B4"/>
    <w:rsid w:val="00803382"/>
    <w:rsid w:val="00813288"/>
    <w:rsid w:val="008168FC"/>
    <w:rsid w:val="008479A2"/>
    <w:rsid w:val="0087637F"/>
    <w:rsid w:val="008A1512"/>
    <w:rsid w:val="008D0BEB"/>
    <w:rsid w:val="008D767A"/>
    <w:rsid w:val="008E566E"/>
    <w:rsid w:val="008F6E2B"/>
    <w:rsid w:val="00901EB6"/>
    <w:rsid w:val="00902FC6"/>
    <w:rsid w:val="009450CE"/>
    <w:rsid w:val="0095164B"/>
    <w:rsid w:val="009862F9"/>
    <w:rsid w:val="00996483"/>
    <w:rsid w:val="009C5BD3"/>
    <w:rsid w:val="009C7E77"/>
    <w:rsid w:val="009E788A"/>
    <w:rsid w:val="00A1763D"/>
    <w:rsid w:val="00A17CEC"/>
    <w:rsid w:val="00A27EF0"/>
    <w:rsid w:val="00A30FC5"/>
    <w:rsid w:val="00A50E56"/>
    <w:rsid w:val="00A606CD"/>
    <w:rsid w:val="00A76EFC"/>
    <w:rsid w:val="00A9626B"/>
    <w:rsid w:val="00A97F29"/>
    <w:rsid w:val="00AA69AD"/>
    <w:rsid w:val="00AB0964"/>
    <w:rsid w:val="00AE377D"/>
    <w:rsid w:val="00AE717C"/>
    <w:rsid w:val="00B24142"/>
    <w:rsid w:val="00B61DBF"/>
    <w:rsid w:val="00BC30C9"/>
    <w:rsid w:val="00BD47FF"/>
    <w:rsid w:val="00BE3E58"/>
    <w:rsid w:val="00C01616"/>
    <w:rsid w:val="00C0162B"/>
    <w:rsid w:val="00C306A3"/>
    <w:rsid w:val="00C345B1"/>
    <w:rsid w:val="00C40142"/>
    <w:rsid w:val="00C57182"/>
    <w:rsid w:val="00C655FD"/>
    <w:rsid w:val="00C71504"/>
    <w:rsid w:val="00C867B1"/>
    <w:rsid w:val="00C94434"/>
    <w:rsid w:val="00CA1C95"/>
    <w:rsid w:val="00CA5A9C"/>
    <w:rsid w:val="00CB6C9A"/>
    <w:rsid w:val="00CD5FE2"/>
    <w:rsid w:val="00CF7CAD"/>
    <w:rsid w:val="00D02B4C"/>
    <w:rsid w:val="00D14BF0"/>
    <w:rsid w:val="00D772EC"/>
    <w:rsid w:val="00D84576"/>
    <w:rsid w:val="00D97695"/>
    <w:rsid w:val="00DA26BF"/>
    <w:rsid w:val="00DE0019"/>
    <w:rsid w:val="00DE264A"/>
    <w:rsid w:val="00E041E7"/>
    <w:rsid w:val="00E23CA1"/>
    <w:rsid w:val="00E409A8"/>
    <w:rsid w:val="00E7209D"/>
    <w:rsid w:val="00EA50E1"/>
    <w:rsid w:val="00EE0131"/>
    <w:rsid w:val="00F30C64"/>
    <w:rsid w:val="00F644A8"/>
    <w:rsid w:val="00F952F3"/>
    <w:rsid w:val="00FB730C"/>
    <w:rsid w:val="00FC2695"/>
    <w:rsid w:val="00FC3E03"/>
    <w:rsid w:val="00FD339D"/>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3390F-6B4C-4724-9D44-1A60AC64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5338</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sm1sp</cp:lastModifiedBy>
  <cp:revision>3</cp:revision>
  <cp:lastPrinted>2019-01-11T11:22:00Z</cp:lastPrinted>
  <dcterms:created xsi:type="dcterms:W3CDTF">2019-06-03T13:37:00Z</dcterms:created>
  <dcterms:modified xsi:type="dcterms:W3CDTF">2019-06-03T14:04:00Z</dcterms:modified>
</cp:coreProperties>
</file>