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3F08BE" w:rsidRPr="00DE0019" w:rsidRDefault="003F08BE" w:rsidP="003F08BE">
      <w:pPr>
        <w:snapToGrid w:val="0"/>
        <w:spacing w:after="360"/>
        <w:jc w:val="center"/>
        <w:rPr>
          <w:rFonts w:asciiTheme="minorHAnsi" w:eastAsia="MS PGothic" w:hAnsiTheme="minorHAnsi"/>
          <w:b/>
          <w:bCs/>
          <w:sz w:val="28"/>
          <w:szCs w:val="28"/>
          <w:lang w:val="en-US" w:eastAsia="ko-KR"/>
        </w:rPr>
      </w:pPr>
      <w:r w:rsidRPr="00A05A22">
        <w:rPr>
          <w:rFonts w:asciiTheme="minorHAnsi" w:eastAsia="MS PGothic" w:hAnsiTheme="minorHAnsi"/>
          <w:b/>
          <w:bCs/>
          <w:sz w:val="28"/>
          <w:szCs w:val="28"/>
          <w:lang w:val="en-US"/>
        </w:rPr>
        <w:lastRenderedPageBreak/>
        <w:t>A</w:t>
      </w:r>
      <w:r>
        <w:rPr>
          <w:rFonts w:asciiTheme="minorHAnsi" w:eastAsia="MS PGothic" w:hAnsiTheme="minorHAnsi"/>
          <w:b/>
          <w:bCs/>
          <w:sz w:val="28"/>
          <w:szCs w:val="28"/>
          <w:lang w:val="en-US"/>
        </w:rPr>
        <w:t xml:space="preserve">pplication of the sale-down methodology to study the effect of </w:t>
      </w:r>
      <w:bookmarkStart w:id="0" w:name="_GoBack"/>
      <w:bookmarkEnd w:id="0"/>
      <w:r>
        <w:rPr>
          <w:rFonts w:asciiTheme="minorHAnsi" w:eastAsia="MS PGothic" w:hAnsiTheme="minorHAnsi"/>
          <w:b/>
          <w:bCs/>
          <w:sz w:val="28"/>
          <w:szCs w:val="28"/>
          <w:lang w:val="en-US"/>
        </w:rPr>
        <w:t xml:space="preserve">mixing on </w:t>
      </w:r>
      <w:proofErr w:type="spellStart"/>
      <w:r w:rsidRPr="00A05A22">
        <w:rPr>
          <w:rFonts w:asciiTheme="minorHAnsi" w:eastAsia="MS PGothic" w:hAnsiTheme="minorHAnsi"/>
          <w:b/>
          <w:bCs/>
          <w:i/>
          <w:sz w:val="28"/>
          <w:szCs w:val="28"/>
          <w:lang w:val="en-US"/>
        </w:rPr>
        <w:t>Trichoderma</w:t>
      </w:r>
      <w:proofErr w:type="spellEnd"/>
      <w:r w:rsidRPr="00A05A22">
        <w:rPr>
          <w:rFonts w:asciiTheme="minorHAnsi" w:eastAsia="MS PGothic" w:hAnsiTheme="minorHAnsi"/>
          <w:b/>
          <w:bCs/>
          <w:i/>
          <w:sz w:val="28"/>
          <w:szCs w:val="28"/>
          <w:lang w:val="en-US"/>
        </w:rPr>
        <w:t xml:space="preserve"> </w:t>
      </w:r>
      <w:proofErr w:type="spellStart"/>
      <w:r w:rsidRPr="00A05A22">
        <w:rPr>
          <w:rFonts w:asciiTheme="minorHAnsi" w:eastAsia="MS PGothic" w:hAnsiTheme="minorHAnsi"/>
          <w:b/>
          <w:bCs/>
          <w:i/>
          <w:sz w:val="28"/>
          <w:szCs w:val="28"/>
          <w:lang w:val="en-US"/>
        </w:rPr>
        <w:t>reesei</w:t>
      </w:r>
      <w:proofErr w:type="spellEnd"/>
      <w:r>
        <w:rPr>
          <w:rFonts w:asciiTheme="minorHAnsi" w:eastAsia="MS PGothic" w:hAnsiTheme="minorHAnsi"/>
          <w:b/>
          <w:bCs/>
          <w:sz w:val="28"/>
          <w:szCs w:val="28"/>
          <w:lang w:val="en-US"/>
        </w:rPr>
        <w:t xml:space="preserve"> physiology and enzyme production</w:t>
      </w:r>
    </w:p>
    <w:p w:rsidR="003F08BE" w:rsidRPr="00126DB0" w:rsidRDefault="003F08BE" w:rsidP="003F08BE">
      <w:pPr>
        <w:snapToGrid w:val="0"/>
        <w:spacing w:after="120"/>
        <w:jc w:val="center"/>
        <w:rPr>
          <w:rFonts w:asciiTheme="minorHAnsi" w:eastAsia="SimSun" w:hAnsiTheme="minorHAnsi" w:cstheme="minorHAnsi"/>
          <w:color w:val="000000"/>
          <w:sz w:val="24"/>
          <w:lang w:val="en-US" w:eastAsia="zh-CN"/>
        </w:rPr>
      </w:pPr>
      <w:r w:rsidRPr="00126DB0">
        <w:rPr>
          <w:rFonts w:asciiTheme="minorHAnsi" w:eastAsia="SimSun" w:hAnsiTheme="minorHAnsi" w:cstheme="minorHAnsi"/>
          <w:color w:val="000000"/>
          <w:sz w:val="24"/>
          <w:u w:val="single"/>
          <w:lang w:val="en-US" w:eastAsia="zh-CN"/>
        </w:rPr>
        <w:t>Tamiris Roque</w:t>
      </w:r>
      <w:r w:rsidRPr="00126DB0">
        <w:rPr>
          <w:rFonts w:asciiTheme="minorHAnsi" w:eastAsia="SimSun" w:hAnsiTheme="minorHAnsi" w:cstheme="minorHAnsi"/>
          <w:color w:val="000000"/>
          <w:sz w:val="24"/>
          <w:u w:val="single"/>
          <w:vertAlign w:val="superscript"/>
          <w:lang w:val="en-US" w:eastAsia="zh-CN"/>
        </w:rPr>
        <w:t>1</w:t>
      </w:r>
      <w:r w:rsidRPr="00126DB0">
        <w:rPr>
          <w:rFonts w:asciiTheme="minorHAnsi" w:eastAsia="SimSun" w:hAnsiTheme="minorHAnsi" w:cstheme="minorHAnsi"/>
          <w:color w:val="000000"/>
          <w:sz w:val="24"/>
          <w:lang w:val="en-US" w:eastAsia="zh-CN"/>
        </w:rPr>
        <w:t>, Fadhel Ben Chaabane</w:t>
      </w:r>
      <w:r w:rsidRPr="00126DB0">
        <w:rPr>
          <w:rFonts w:asciiTheme="minorHAnsi" w:eastAsia="SimSun" w:hAnsiTheme="minorHAnsi" w:cstheme="minorHAnsi"/>
          <w:color w:val="000000"/>
          <w:sz w:val="24"/>
          <w:vertAlign w:val="superscript"/>
          <w:lang w:val="en-US" w:eastAsia="zh-CN"/>
        </w:rPr>
        <w:t>1</w:t>
      </w:r>
      <w:r w:rsidRPr="00126DB0">
        <w:rPr>
          <w:rFonts w:asciiTheme="minorHAnsi" w:eastAsia="SimSun" w:hAnsiTheme="minorHAnsi" w:cstheme="minorHAnsi"/>
          <w:color w:val="000000"/>
          <w:sz w:val="24"/>
          <w:lang w:val="en-US" w:eastAsia="zh-CN"/>
        </w:rPr>
        <w:t xml:space="preserve">, </w:t>
      </w:r>
      <w:proofErr w:type="spellStart"/>
      <w:r w:rsidRPr="00126DB0">
        <w:rPr>
          <w:rFonts w:asciiTheme="minorHAnsi" w:eastAsia="SimSun" w:hAnsiTheme="minorHAnsi" w:cstheme="minorHAnsi"/>
          <w:color w:val="000000"/>
          <w:sz w:val="24"/>
          <w:lang w:val="en-US" w:eastAsia="zh-CN"/>
        </w:rPr>
        <w:t>Frédéric</w:t>
      </w:r>
      <w:proofErr w:type="spellEnd"/>
      <w:r w:rsidRPr="00126DB0">
        <w:rPr>
          <w:rFonts w:asciiTheme="minorHAnsi" w:eastAsia="SimSun" w:hAnsiTheme="minorHAnsi" w:cstheme="minorHAnsi"/>
          <w:color w:val="000000"/>
          <w:sz w:val="24"/>
          <w:lang w:val="en-US" w:eastAsia="zh-CN"/>
        </w:rPr>
        <w:t xml:space="preserve"> Augier</w:t>
      </w:r>
      <w:r w:rsidR="003173FF" w:rsidRPr="00126DB0">
        <w:rPr>
          <w:rFonts w:asciiTheme="minorHAnsi" w:eastAsia="SimSun" w:hAnsiTheme="minorHAnsi" w:cstheme="minorHAnsi"/>
          <w:color w:val="000000"/>
          <w:sz w:val="24"/>
          <w:vertAlign w:val="superscript"/>
          <w:lang w:val="en-US" w:eastAsia="zh-CN"/>
        </w:rPr>
        <w:t>2</w:t>
      </w:r>
      <w:r w:rsidRPr="00126DB0">
        <w:rPr>
          <w:rFonts w:asciiTheme="minorHAnsi" w:eastAsia="SimSun" w:hAnsiTheme="minorHAnsi" w:cstheme="minorHAnsi"/>
          <w:color w:val="000000"/>
          <w:sz w:val="24"/>
          <w:lang w:val="en-US" w:eastAsia="zh-CN"/>
        </w:rPr>
        <w:t>, Catherine Béal</w:t>
      </w:r>
      <w:r w:rsidR="003173FF" w:rsidRPr="00126DB0">
        <w:rPr>
          <w:rFonts w:asciiTheme="minorHAnsi" w:eastAsia="SimSun" w:hAnsiTheme="minorHAnsi" w:cstheme="minorHAnsi"/>
          <w:color w:val="000000"/>
          <w:sz w:val="24"/>
          <w:vertAlign w:val="superscript"/>
          <w:lang w:val="en-US" w:eastAsia="zh-CN"/>
        </w:rPr>
        <w:t>3</w:t>
      </w:r>
      <w:r w:rsidRPr="00126DB0">
        <w:rPr>
          <w:rFonts w:asciiTheme="minorHAnsi" w:eastAsia="SimSun" w:hAnsiTheme="minorHAnsi" w:cstheme="minorHAnsi"/>
          <w:color w:val="000000"/>
          <w:sz w:val="24"/>
          <w:lang w:val="en-US" w:eastAsia="zh-CN"/>
        </w:rPr>
        <w:t>, A. W Nienow</w:t>
      </w:r>
      <w:r w:rsidR="003173FF" w:rsidRPr="00126DB0">
        <w:rPr>
          <w:rFonts w:asciiTheme="minorHAnsi" w:eastAsia="SimSun" w:hAnsiTheme="minorHAnsi" w:cstheme="minorHAnsi"/>
          <w:color w:val="000000"/>
          <w:sz w:val="24"/>
          <w:vertAlign w:val="superscript"/>
          <w:lang w:val="en-US" w:eastAsia="zh-CN"/>
        </w:rPr>
        <w:t>4</w:t>
      </w:r>
    </w:p>
    <w:p w:rsidR="003F08BE" w:rsidRPr="00126DB0" w:rsidRDefault="003F08BE" w:rsidP="003F08BE">
      <w:pPr>
        <w:snapToGrid w:val="0"/>
        <w:spacing w:after="120"/>
        <w:jc w:val="center"/>
        <w:rPr>
          <w:rFonts w:asciiTheme="minorHAnsi" w:eastAsia="MS PGothic" w:hAnsiTheme="minorHAnsi"/>
          <w:i/>
          <w:iCs/>
          <w:color w:val="000000"/>
          <w:sz w:val="20"/>
          <w:lang w:val="en-US"/>
        </w:rPr>
      </w:pPr>
      <w:r w:rsidRPr="00126DB0">
        <w:rPr>
          <w:rFonts w:asciiTheme="minorHAnsi" w:eastAsia="MS PGothic" w:hAnsiTheme="minorHAnsi" w:cstheme="minorHAnsi"/>
          <w:i/>
          <w:iCs/>
          <w:color w:val="000000"/>
          <w:sz w:val="20"/>
          <w:lang w:val="en-US"/>
        </w:rPr>
        <w:t xml:space="preserve">1 </w:t>
      </w:r>
      <w:r w:rsidR="003173FF" w:rsidRPr="00126DB0">
        <w:rPr>
          <w:rFonts w:asciiTheme="minorHAnsi" w:eastAsia="MS PGothic" w:hAnsiTheme="minorHAnsi" w:cstheme="minorHAnsi"/>
          <w:i/>
          <w:iCs/>
          <w:color w:val="000000"/>
          <w:sz w:val="20"/>
          <w:lang w:val="en-US"/>
        </w:rPr>
        <w:t xml:space="preserve">IFP Energies </w:t>
      </w:r>
      <w:proofErr w:type="spellStart"/>
      <w:r w:rsidR="003173FF" w:rsidRPr="00126DB0">
        <w:rPr>
          <w:rFonts w:asciiTheme="minorHAnsi" w:eastAsia="MS PGothic" w:hAnsiTheme="minorHAnsi" w:cstheme="minorHAnsi"/>
          <w:i/>
          <w:iCs/>
          <w:color w:val="000000"/>
          <w:sz w:val="20"/>
          <w:lang w:val="en-US"/>
        </w:rPr>
        <w:t>nouvelles</w:t>
      </w:r>
      <w:proofErr w:type="spellEnd"/>
      <w:r w:rsidR="003173FF" w:rsidRPr="00126DB0">
        <w:rPr>
          <w:rFonts w:asciiTheme="minorHAnsi" w:eastAsia="MS PGothic" w:hAnsiTheme="minorHAnsi" w:cstheme="minorHAnsi"/>
          <w:i/>
          <w:iCs/>
          <w:color w:val="000000"/>
          <w:sz w:val="20"/>
          <w:lang w:val="en-US"/>
        </w:rPr>
        <w:t>, 1 et 4 avenue de Bois-</w:t>
      </w:r>
      <w:proofErr w:type="spellStart"/>
      <w:r w:rsidR="003173FF" w:rsidRPr="00126DB0">
        <w:rPr>
          <w:rFonts w:asciiTheme="minorHAnsi" w:eastAsia="MS PGothic" w:hAnsiTheme="minorHAnsi" w:cstheme="minorHAnsi"/>
          <w:i/>
          <w:iCs/>
          <w:color w:val="000000"/>
          <w:sz w:val="20"/>
          <w:lang w:val="en-US"/>
        </w:rPr>
        <w:t>Préau</w:t>
      </w:r>
      <w:proofErr w:type="spellEnd"/>
      <w:r w:rsidR="003173FF" w:rsidRPr="00126DB0">
        <w:rPr>
          <w:rFonts w:asciiTheme="minorHAnsi" w:eastAsia="MS PGothic" w:hAnsiTheme="minorHAnsi" w:cstheme="minorHAnsi"/>
          <w:i/>
          <w:iCs/>
          <w:color w:val="000000"/>
          <w:sz w:val="20"/>
          <w:lang w:val="en-US"/>
        </w:rPr>
        <w:t xml:space="preserve">, 92852 Rueil-Malmaison, France ; 2 </w:t>
      </w:r>
      <w:r w:rsidRPr="00126DB0">
        <w:rPr>
          <w:rFonts w:asciiTheme="minorHAnsi" w:eastAsia="MS PGothic" w:hAnsiTheme="minorHAnsi"/>
          <w:i/>
          <w:iCs/>
          <w:color w:val="000000"/>
          <w:sz w:val="20"/>
          <w:lang w:val="en-US"/>
        </w:rPr>
        <w:t xml:space="preserve">IFP Energies </w:t>
      </w:r>
      <w:proofErr w:type="spellStart"/>
      <w:r w:rsidRPr="00126DB0">
        <w:rPr>
          <w:rFonts w:asciiTheme="minorHAnsi" w:eastAsia="MS PGothic" w:hAnsiTheme="minorHAnsi"/>
          <w:i/>
          <w:iCs/>
          <w:color w:val="000000"/>
          <w:sz w:val="20"/>
          <w:lang w:val="en-US"/>
        </w:rPr>
        <w:t>nouvelles</w:t>
      </w:r>
      <w:proofErr w:type="spellEnd"/>
      <w:r w:rsidRPr="00126DB0">
        <w:rPr>
          <w:rFonts w:asciiTheme="minorHAnsi" w:eastAsia="MS PGothic" w:hAnsiTheme="minorHAnsi"/>
          <w:i/>
          <w:iCs/>
          <w:color w:val="000000"/>
          <w:sz w:val="20"/>
          <w:lang w:val="en-US"/>
        </w:rPr>
        <w:t xml:space="preserve">, </w:t>
      </w:r>
      <w:proofErr w:type="spellStart"/>
      <w:r w:rsidRPr="00126DB0">
        <w:rPr>
          <w:rFonts w:asciiTheme="minorHAnsi" w:eastAsia="MS PGothic" w:hAnsiTheme="minorHAnsi"/>
          <w:i/>
          <w:iCs/>
          <w:color w:val="000000"/>
          <w:sz w:val="20"/>
          <w:lang w:val="en-US"/>
        </w:rPr>
        <w:t>Rond</w:t>
      </w:r>
      <w:proofErr w:type="spellEnd"/>
      <w:r w:rsidRPr="00126DB0">
        <w:rPr>
          <w:rFonts w:asciiTheme="minorHAnsi" w:eastAsia="MS PGothic" w:hAnsiTheme="minorHAnsi"/>
          <w:i/>
          <w:iCs/>
          <w:color w:val="000000"/>
          <w:sz w:val="20"/>
          <w:lang w:val="en-US"/>
        </w:rPr>
        <w:t xml:space="preserve">-point de </w:t>
      </w:r>
      <w:proofErr w:type="spellStart"/>
      <w:r w:rsidRPr="00126DB0">
        <w:rPr>
          <w:rFonts w:asciiTheme="minorHAnsi" w:eastAsia="MS PGothic" w:hAnsiTheme="minorHAnsi"/>
          <w:i/>
          <w:iCs/>
          <w:color w:val="000000"/>
          <w:sz w:val="20"/>
          <w:lang w:val="en-US"/>
        </w:rPr>
        <w:t>l’échangeur</w:t>
      </w:r>
      <w:proofErr w:type="spellEnd"/>
      <w:r w:rsidRPr="00126DB0">
        <w:rPr>
          <w:rFonts w:asciiTheme="minorHAnsi" w:eastAsia="MS PGothic" w:hAnsiTheme="minorHAnsi"/>
          <w:i/>
          <w:iCs/>
          <w:color w:val="000000"/>
          <w:sz w:val="20"/>
          <w:lang w:val="en-US"/>
        </w:rPr>
        <w:t xml:space="preserve"> de </w:t>
      </w:r>
      <w:proofErr w:type="spellStart"/>
      <w:r w:rsidRPr="00126DB0">
        <w:rPr>
          <w:rFonts w:asciiTheme="minorHAnsi" w:eastAsia="MS PGothic" w:hAnsiTheme="minorHAnsi"/>
          <w:i/>
          <w:iCs/>
          <w:color w:val="000000"/>
          <w:sz w:val="20"/>
          <w:lang w:val="en-US"/>
        </w:rPr>
        <w:t>Solaize</w:t>
      </w:r>
      <w:proofErr w:type="spellEnd"/>
      <w:r w:rsidRPr="00126DB0">
        <w:rPr>
          <w:rFonts w:asciiTheme="minorHAnsi" w:eastAsia="MS PGothic" w:hAnsiTheme="minorHAnsi"/>
          <w:i/>
          <w:iCs/>
          <w:color w:val="000000"/>
          <w:sz w:val="20"/>
          <w:lang w:val="en-US"/>
        </w:rPr>
        <w:t xml:space="preserve">, BP3, 69360 </w:t>
      </w:r>
      <w:proofErr w:type="spellStart"/>
      <w:r w:rsidRPr="00126DB0">
        <w:rPr>
          <w:rFonts w:asciiTheme="minorHAnsi" w:eastAsia="MS PGothic" w:hAnsiTheme="minorHAnsi"/>
          <w:i/>
          <w:iCs/>
          <w:color w:val="000000"/>
          <w:sz w:val="20"/>
          <w:lang w:val="en-US"/>
        </w:rPr>
        <w:t>Solaize</w:t>
      </w:r>
      <w:proofErr w:type="spellEnd"/>
      <w:r w:rsidRPr="00126DB0">
        <w:rPr>
          <w:rFonts w:asciiTheme="minorHAnsi" w:eastAsia="MS PGothic" w:hAnsiTheme="minorHAnsi"/>
          <w:i/>
          <w:iCs/>
          <w:color w:val="000000"/>
          <w:sz w:val="20"/>
          <w:lang w:val="en-US"/>
        </w:rPr>
        <w:t xml:space="preserve">, France ; 2 UMR 782 </w:t>
      </w:r>
      <w:proofErr w:type="spellStart"/>
      <w:r w:rsidRPr="00126DB0">
        <w:rPr>
          <w:rFonts w:asciiTheme="minorHAnsi" w:eastAsia="MS PGothic" w:hAnsiTheme="minorHAnsi"/>
          <w:i/>
          <w:iCs/>
          <w:color w:val="000000"/>
          <w:sz w:val="20"/>
          <w:lang w:val="en-US"/>
        </w:rPr>
        <w:t>AgroParisTech</w:t>
      </w:r>
      <w:proofErr w:type="spellEnd"/>
      <w:r w:rsidRPr="00126DB0">
        <w:rPr>
          <w:rFonts w:asciiTheme="minorHAnsi" w:eastAsia="MS PGothic" w:hAnsiTheme="minorHAnsi"/>
          <w:i/>
          <w:iCs/>
          <w:color w:val="000000"/>
          <w:sz w:val="20"/>
          <w:lang w:val="en-US"/>
        </w:rPr>
        <w:t xml:space="preserve"> INRA, 1 avenue Lucien </w:t>
      </w:r>
      <w:proofErr w:type="spellStart"/>
      <w:r w:rsidRPr="00126DB0">
        <w:rPr>
          <w:rFonts w:asciiTheme="minorHAnsi" w:eastAsia="MS PGothic" w:hAnsiTheme="minorHAnsi"/>
          <w:i/>
          <w:iCs/>
          <w:color w:val="000000"/>
          <w:sz w:val="20"/>
          <w:lang w:val="en-US"/>
        </w:rPr>
        <w:t>Brétignières</w:t>
      </w:r>
      <w:proofErr w:type="spellEnd"/>
      <w:r w:rsidRPr="00126DB0">
        <w:rPr>
          <w:rFonts w:asciiTheme="minorHAnsi" w:eastAsia="MS PGothic" w:hAnsiTheme="minorHAnsi"/>
          <w:i/>
          <w:iCs/>
          <w:color w:val="000000"/>
          <w:sz w:val="20"/>
          <w:lang w:val="en-US"/>
        </w:rPr>
        <w:t xml:space="preserve">, 78850 </w:t>
      </w:r>
      <w:proofErr w:type="spellStart"/>
      <w:r w:rsidRPr="00126DB0">
        <w:rPr>
          <w:rFonts w:asciiTheme="minorHAnsi" w:eastAsia="MS PGothic" w:hAnsiTheme="minorHAnsi"/>
          <w:i/>
          <w:iCs/>
          <w:color w:val="000000"/>
          <w:sz w:val="20"/>
          <w:lang w:val="en-US"/>
        </w:rPr>
        <w:t>Thiverval-Grignon</w:t>
      </w:r>
      <w:proofErr w:type="spellEnd"/>
      <w:r w:rsidRPr="00126DB0">
        <w:rPr>
          <w:rFonts w:asciiTheme="minorHAnsi" w:eastAsia="MS PGothic" w:hAnsiTheme="minorHAnsi"/>
          <w:i/>
          <w:iCs/>
          <w:color w:val="000000"/>
          <w:sz w:val="20"/>
          <w:lang w:val="en-US"/>
        </w:rPr>
        <w:t xml:space="preserve">, France ; 3 School of Chemical Engineering, University of Birmingham, </w:t>
      </w:r>
      <w:proofErr w:type="spellStart"/>
      <w:r w:rsidRPr="00126DB0">
        <w:rPr>
          <w:rFonts w:asciiTheme="minorHAnsi" w:eastAsia="MS PGothic" w:hAnsiTheme="minorHAnsi"/>
          <w:i/>
          <w:iCs/>
          <w:color w:val="000000"/>
          <w:sz w:val="20"/>
          <w:lang w:val="en-US"/>
        </w:rPr>
        <w:t>Edgbaston</w:t>
      </w:r>
      <w:proofErr w:type="spellEnd"/>
      <w:r w:rsidRPr="00126DB0">
        <w:rPr>
          <w:rFonts w:asciiTheme="minorHAnsi" w:eastAsia="MS PGothic" w:hAnsiTheme="minorHAnsi"/>
          <w:i/>
          <w:iCs/>
          <w:color w:val="000000"/>
          <w:sz w:val="20"/>
          <w:lang w:val="en-US"/>
        </w:rPr>
        <w:t>, Birmingham B15 2TT, United Kingdom</w:t>
      </w:r>
    </w:p>
    <w:p w:rsidR="003F08BE" w:rsidRPr="00DE0019" w:rsidRDefault="003F08BE" w:rsidP="003F08BE">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tamiris.goncalves-roque</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ifpen.fr</w:t>
      </w:r>
    </w:p>
    <w:p w:rsidR="003F08BE" w:rsidRPr="007E6821" w:rsidRDefault="003F08BE" w:rsidP="003F08BE">
      <w:pPr>
        <w:pStyle w:val="AbstractHeading"/>
        <w:tabs>
          <w:tab w:val="left" w:pos="3547"/>
          <w:tab w:val="center" w:pos="4694"/>
        </w:tabs>
        <w:spacing w:before="240" w:after="0"/>
        <w:ind w:firstLine="357"/>
        <w:rPr>
          <w:rFonts w:asciiTheme="minorHAnsi" w:hAnsiTheme="minorHAnsi"/>
          <w:b/>
        </w:rPr>
      </w:pPr>
      <w:r w:rsidRPr="007E6821">
        <w:rPr>
          <w:rFonts w:asciiTheme="minorHAnsi" w:hAnsiTheme="minorHAnsi"/>
          <w:b/>
        </w:rPr>
        <w:t>Highlights</w:t>
      </w:r>
    </w:p>
    <w:p w:rsidR="00657CC0" w:rsidRPr="00657CC0" w:rsidRDefault="00657CC0" w:rsidP="00657CC0">
      <w:pPr>
        <w:pStyle w:val="AbstractBody"/>
        <w:numPr>
          <w:ilvl w:val="0"/>
          <w:numId w:val="16"/>
        </w:numPr>
        <w:rPr>
          <w:rFonts w:asciiTheme="minorHAnsi" w:hAnsiTheme="minorHAnsi"/>
        </w:rPr>
      </w:pPr>
      <w:proofErr w:type="spellStart"/>
      <w:r>
        <w:rPr>
          <w:rFonts w:asciiTheme="minorHAnsi" w:hAnsiTheme="minorHAnsi"/>
          <w:i/>
        </w:rPr>
        <w:t>Trichoderma</w:t>
      </w:r>
      <w:proofErr w:type="spellEnd"/>
      <w:r w:rsidRPr="00A12E7C">
        <w:rPr>
          <w:rFonts w:asciiTheme="minorHAnsi" w:hAnsiTheme="minorHAnsi"/>
          <w:i/>
        </w:rPr>
        <w:t xml:space="preserve"> </w:t>
      </w:r>
      <w:proofErr w:type="spellStart"/>
      <w:r w:rsidRPr="00A12E7C">
        <w:rPr>
          <w:rFonts w:asciiTheme="minorHAnsi" w:hAnsiTheme="minorHAnsi"/>
          <w:i/>
        </w:rPr>
        <w:t>reesei</w:t>
      </w:r>
      <w:proofErr w:type="spellEnd"/>
      <w:r>
        <w:rPr>
          <w:rFonts w:asciiTheme="minorHAnsi" w:hAnsiTheme="minorHAnsi"/>
          <w:i/>
        </w:rPr>
        <w:t xml:space="preserve"> </w:t>
      </w:r>
      <w:r w:rsidRPr="009672CE">
        <w:rPr>
          <w:rFonts w:asciiTheme="minorHAnsi" w:hAnsiTheme="minorHAnsi"/>
        </w:rPr>
        <w:t xml:space="preserve">is sensitive to </w:t>
      </w:r>
      <w:proofErr w:type="spellStart"/>
      <w:r w:rsidRPr="009672CE">
        <w:rPr>
          <w:rFonts w:asciiTheme="minorHAnsi" w:hAnsiTheme="minorHAnsi"/>
        </w:rPr>
        <w:t>anaerobiosis</w:t>
      </w:r>
      <w:proofErr w:type="spellEnd"/>
    </w:p>
    <w:p w:rsidR="003F08BE" w:rsidRDefault="00BB49FD" w:rsidP="00BB49FD">
      <w:pPr>
        <w:pStyle w:val="AbstractBody"/>
        <w:numPr>
          <w:ilvl w:val="0"/>
          <w:numId w:val="16"/>
        </w:numPr>
        <w:rPr>
          <w:rFonts w:asciiTheme="minorHAnsi" w:hAnsiTheme="minorHAnsi"/>
        </w:rPr>
      </w:pPr>
      <w:r>
        <w:rPr>
          <w:rFonts w:asciiTheme="minorHAnsi" w:hAnsiTheme="minorHAnsi"/>
        </w:rPr>
        <w:t>O</w:t>
      </w:r>
      <w:r w:rsidRPr="00BB49FD">
        <w:rPr>
          <w:rFonts w:asciiTheme="minorHAnsi" w:hAnsiTheme="minorHAnsi"/>
        </w:rPr>
        <w:t>xygen</w:t>
      </w:r>
      <w:r>
        <w:rPr>
          <w:rFonts w:asciiTheme="minorHAnsi" w:hAnsiTheme="minorHAnsi"/>
        </w:rPr>
        <w:t xml:space="preserve"> </w:t>
      </w:r>
      <w:r w:rsidR="00657CC0">
        <w:rPr>
          <w:rFonts w:asciiTheme="minorHAnsi" w:hAnsiTheme="minorHAnsi"/>
        </w:rPr>
        <w:t>gradients</w:t>
      </w:r>
      <w:r>
        <w:rPr>
          <w:rFonts w:asciiTheme="minorHAnsi" w:hAnsiTheme="minorHAnsi"/>
        </w:rPr>
        <w:t xml:space="preserve"> </w:t>
      </w:r>
      <w:r w:rsidRPr="00BB49FD">
        <w:rPr>
          <w:rFonts w:asciiTheme="minorHAnsi" w:hAnsiTheme="minorHAnsi"/>
        </w:rPr>
        <w:t xml:space="preserve">in </w:t>
      </w:r>
      <w:r w:rsidRPr="00BB49FD">
        <w:rPr>
          <w:rFonts w:asciiTheme="minorHAnsi" w:hAnsiTheme="minorHAnsi"/>
          <w:i/>
        </w:rPr>
        <w:t xml:space="preserve">T. </w:t>
      </w:r>
      <w:proofErr w:type="spellStart"/>
      <w:r w:rsidRPr="00BB49FD">
        <w:rPr>
          <w:rFonts w:asciiTheme="minorHAnsi" w:hAnsiTheme="minorHAnsi"/>
          <w:i/>
        </w:rPr>
        <w:t>reesei</w:t>
      </w:r>
      <w:proofErr w:type="spellEnd"/>
      <w:r w:rsidRPr="00BB49FD">
        <w:rPr>
          <w:rFonts w:asciiTheme="minorHAnsi" w:hAnsiTheme="minorHAnsi"/>
        </w:rPr>
        <w:t xml:space="preserve"> cultures </w:t>
      </w:r>
      <w:r>
        <w:rPr>
          <w:rFonts w:asciiTheme="minorHAnsi" w:hAnsiTheme="minorHAnsi"/>
        </w:rPr>
        <w:t>lead to</w:t>
      </w:r>
      <w:r w:rsidRPr="00BB49FD">
        <w:rPr>
          <w:rFonts w:asciiTheme="minorHAnsi" w:hAnsiTheme="minorHAnsi"/>
        </w:rPr>
        <w:t xml:space="preserve"> </w:t>
      </w:r>
      <w:r w:rsidR="009672CE">
        <w:rPr>
          <w:rFonts w:asciiTheme="minorHAnsi" w:hAnsiTheme="minorHAnsi"/>
        </w:rPr>
        <w:t xml:space="preserve">a </w:t>
      </w:r>
      <w:r w:rsidR="00B37BDC">
        <w:rPr>
          <w:rFonts w:asciiTheme="minorHAnsi" w:hAnsiTheme="minorHAnsi"/>
        </w:rPr>
        <w:t xml:space="preserve">complex </w:t>
      </w:r>
      <w:r w:rsidR="00A079DB">
        <w:rPr>
          <w:rFonts w:asciiTheme="minorHAnsi" w:hAnsiTheme="minorHAnsi"/>
        </w:rPr>
        <w:t>metabolic</w:t>
      </w:r>
      <w:r w:rsidR="00B37BDC">
        <w:rPr>
          <w:rFonts w:asciiTheme="minorHAnsi" w:hAnsiTheme="minorHAnsi"/>
        </w:rPr>
        <w:t xml:space="preserve"> response</w:t>
      </w:r>
    </w:p>
    <w:p w:rsidR="00E04E21" w:rsidRDefault="00D716E5" w:rsidP="000A360C">
      <w:pPr>
        <w:pStyle w:val="AbstractBody"/>
        <w:numPr>
          <w:ilvl w:val="0"/>
          <w:numId w:val="16"/>
        </w:numPr>
        <w:rPr>
          <w:rFonts w:asciiTheme="minorHAnsi" w:hAnsiTheme="minorHAnsi"/>
        </w:rPr>
      </w:pPr>
      <w:r>
        <w:rPr>
          <w:rFonts w:asciiTheme="minorHAnsi" w:hAnsiTheme="minorHAnsi"/>
        </w:rPr>
        <w:t xml:space="preserve">Long exposure of </w:t>
      </w:r>
      <w:proofErr w:type="spellStart"/>
      <w:r w:rsidRPr="00D716E5">
        <w:rPr>
          <w:rFonts w:asciiTheme="minorHAnsi" w:hAnsiTheme="minorHAnsi"/>
          <w:i/>
        </w:rPr>
        <w:t>T.reesei</w:t>
      </w:r>
      <w:proofErr w:type="spellEnd"/>
      <w:r>
        <w:rPr>
          <w:rFonts w:asciiTheme="minorHAnsi" w:hAnsiTheme="minorHAnsi"/>
        </w:rPr>
        <w:t xml:space="preserve"> to </w:t>
      </w:r>
      <w:proofErr w:type="spellStart"/>
      <w:r>
        <w:rPr>
          <w:rFonts w:asciiTheme="minorHAnsi" w:hAnsiTheme="minorHAnsi"/>
        </w:rPr>
        <w:t>anaerobiosis</w:t>
      </w:r>
      <w:proofErr w:type="spellEnd"/>
      <w:r w:rsidR="000A360C" w:rsidRPr="000A360C">
        <w:rPr>
          <w:rFonts w:asciiTheme="minorHAnsi" w:hAnsiTheme="minorHAnsi"/>
        </w:rPr>
        <w:t xml:space="preserve"> </w:t>
      </w:r>
      <w:r w:rsidR="000A360C">
        <w:rPr>
          <w:rFonts w:asciiTheme="minorHAnsi" w:hAnsiTheme="minorHAnsi"/>
        </w:rPr>
        <w:t xml:space="preserve">decrease </w:t>
      </w:r>
      <w:r>
        <w:rPr>
          <w:rFonts w:asciiTheme="minorHAnsi" w:hAnsiTheme="minorHAnsi"/>
        </w:rPr>
        <w:t>the</w:t>
      </w:r>
      <w:r w:rsidR="000A360C">
        <w:rPr>
          <w:rFonts w:asciiTheme="minorHAnsi" w:hAnsiTheme="minorHAnsi"/>
        </w:rPr>
        <w:t xml:space="preserve"> </w:t>
      </w:r>
      <w:proofErr w:type="spellStart"/>
      <w:r w:rsidR="000A360C" w:rsidRPr="000A360C">
        <w:rPr>
          <w:rFonts w:asciiTheme="minorHAnsi" w:hAnsiTheme="minorHAnsi"/>
        </w:rPr>
        <w:t>cellulase</w:t>
      </w:r>
      <w:r w:rsidR="000A360C">
        <w:rPr>
          <w:rFonts w:asciiTheme="minorHAnsi" w:hAnsiTheme="minorHAnsi"/>
        </w:rPr>
        <w:t>s</w:t>
      </w:r>
      <w:proofErr w:type="spellEnd"/>
      <w:r w:rsidR="000A360C" w:rsidRPr="000A360C">
        <w:rPr>
          <w:rFonts w:asciiTheme="minorHAnsi" w:hAnsiTheme="minorHAnsi"/>
        </w:rPr>
        <w:t xml:space="preserve"> production</w:t>
      </w:r>
    </w:p>
    <w:p w:rsidR="00CF7DCD" w:rsidRPr="00BB49FD" w:rsidRDefault="00CF7DCD" w:rsidP="00CF7DCD">
      <w:pPr>
        <w:pStyle w:val="AbstractBody"/>
        <w:spacing w:after="120"/>
        <w:ind w:left="1440"/>
        <w:rPr>
          <w:rFonts w:asciiTheme="minorHAnsi" w:hAnsiTheme="minorHAnsi"/>
        </w:rPr>
      </w:pPr>
    </w:p>
    <w:p w:rsidR="003F08BE" w:rsidRPr="008D0BEB" w:rsidRDefault="003F08BE" w:rsidP="003F08BE">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F08BE" w:rsidRPr="002E4E4D" w:rsidRDefault="003F08BE" w:rsidP="00140374">
      <w:pPr>
        <w:snapToGrid w:val="0"/>
        <w:spacing w:after="120"/>
        <w:rPr>
          <w:rFonts w:asciiTheme="minorHAnsi" w:eastAsia="MS PGothic" w:hAnsiTheme="minorHAnsi"/>
          <w:color w:val="000000"/>
          <w:sz w:val="22"/>
          <w:szCs w:val="22"/>
          <w:lang w:val="en-US"/>
        </w:rPr>
      </w:pPr>
      <w:r w:rsidRPr="002E4E4D">
        <w:rPr>
          <w:rFonts w:asciiTheme="minorHAnsi" w:eastAsia="MS PGothic" w:hAnsiTheme="minorHAnsi"/>
          <w:color w:val="000000"/>
          <w:sz w:val="22"/>
          <w:szCs w:val="22"/>
          <w:lang w:val="en-US"/>
        </w:rPr>
        <w:t xml:space="preserve">Techno-economic evaluations of processes for ethanol production from </w:t>
      </w:r>
      <w:proofErr w:type="spellStart"/>
      <w:r w:rsidRPr="002E4E4D">
        <w:rPr>
          <w:rFonts w:asciiTheme="minorHAnsi" w:eastAsia="MS PGothic" w:hAnsiTheme="minorHAnsi"/>
          <w:color w:val="000000"/>
          <w:sz w:val="22"/>
          <w:szCs w:val="22"/>
          <w:lang w:val="en-US"/>
        </w:rPr>
        <w:t>lignocellulosic</w:t>
      </w:r>
      <w:proofErr w:type="spellEnd"/>
      <w:r w:rsidRPr="002E4E4D">
        <w:rPr>
          <w:rFonts w:asciiTheme="minorHAnsi" w:eastAsia="MS PGothic" w:hAnsiTheme="minorHAnsi"/>
          <w:color w:val="000000"/>
          <w:sz w:val="22"/>
          <w:szCs w:val="22"/>
          <w:lang w:val="en-US"/>
        </w:rPr>
        <w:t xml:space="preserve"> biomass show that reducing the cost of the </w:t>
      </w:r>
      <w:proofErr w:type="spellStart"/>
      <w:r w:rsidRPr="002E4E4D">
        <w:rPr>
          <w:rFonts w:asciiTheme="minorHAnsi" w:eastAsia="MS PGothic" w:hAnsiTheme="minorHAnsi"/>
          <w:color w:val="000000"/>
          <w:sz w:val="22"/>
          <w:szCs w:val="22"/>
          <w:lang w:val="en-US"/>
        </w:rPr>
        <w:t>cellulases</w:t>
      </w:r>
      <w:proofErr w:type="spellEnd"/>
      <w:r w:rsidRPr="002E4E4D">
        <w:rPr>
          <w:rFonts w:asciiTheme="minorHAnsi" w:eastAsia="MS PGothic" w:hAnsiTheme="minorHAnsi"/>
          <w:color w:val="000000"/>
          <w:sz w:val="22"/>
          <w:szCs w:val="22"/>
          <w:lang w:val="en-US"/>
        </w:rPr>
        <w:t xml:space="preserve"> used to hydrolyze the cellulose into glucose is a prerequisite to bring the ethanol cost to values close to the ethanol produced from starch. A very attractive option is to perform the production of enzymes on site in order to substitute expensive and pure carbon sources by </w:t>
      </w:r>
      <w:proofErr w:type="spellStart"/>
      <w:r w:rsidRPr="002E4E4D">
        <w:rPr>
          <w:rFonts w:asciiTheme="minorHAnsi" w:eastAsia="MS PGothic" w:hAnsiTheme="minorHAnsi"/>
          <w:color w:val="000000"/>
          <w:sz w:val="22"/>
          <w:szCs w:val="22"/>
          <w:lang w:val="en-US"/>
        </w:rPr>
        <w:t>lignocellulosic</w:t>
      </w:r>
      <w:proofErr w:type="spellEnd"/>
      <w:r w:rsidRPr="002E4E4D">
        <w:rPr>
          <w:rFonts w:asciiTheme="minorHAnsi" w:eastAsia="MS PGothic" w:hAnsiTheme="minorHAnsi"/>
          <w:color w:val="000000"/>
          <w:sz w:val="22"/>
          <w:szCs w:val="22"/>
          <w:lang w:val="en-US"/>
        </w:rPr>
        <w:t xml:space="preserve"> waste generated by the </w:t>
      </w:r>
      <w:proofErr w:type="spellStart"/>
      <w:r w:rsidRPr="002E4E4D">
        <w:rPr>
          <w:rFonts w:asciiTheme="minorHAnsi" w:eastAsia="MS PGothic" w:hAnsiTheme="minorHAnsi"/>
          <w:color w:val="000000"/>
          <w:sz w:val="22"/>
          <w:szCs w:val="22"/>
          <w:lang w:val="en-US"/>
        </w:rPr>
        <w:t>agri</w:t>
      </w:r>
      <w:proofErr w:type="spellEnd"/>
      <w:r w:rsidRPr="002E4E4D">
        <w:rPr>
          <w:rFonts w:asciiTheme="minorHAnsi" w:eastAsia="MS PGothic" w:hAnsiTheme="minorHAnsi"/>
          <w:color w:val="000000"/>
          <w:sz w:val="22"/>
          <w:szCs w:val="22"/>
          <w:lang w:val="en-US"/>
        </w:rPr>
        <w:t xml:space="preserve">-food or forestry activity. </w:t>
      </w:r>
    </w:p>
    <w:p w:rsidR="003F08BE" w:rsidRDefault="003F08BE" w:rsidP="003F08BE">
      <w:pPr>
        <w:snapToGrid w:val="0"/>
        <w:spacing w:after="120"/>
        <w:rPr>
          <w:rFonts w:asciiTheme="minorHAnsi" w:eastAsia="MS PGothic" w:hAnsiTheme="minorHAnsi"/>
          <w:color w:val="000000"/>
          <w:sz w:val="22"/>
          <w:szCs w:val="22"/>
          <w:lang w:val="en-US"/>
        </w:rPr>
      </w:pPr>
      <w:r w:rsidRPr="002E4E4D">
        <w:rPr>
          <w:rFonts w:asciiTheme="minorHAnsi" w:eastAsia="MS PGothic" w:hAnsiTheme="minorHAnsi"/>
          <w:color w:val="000000"/>
          <w:sz w:val="22"/>
          <w:szCs w:val="22"/>
          <w:lang w:val="en-US"/>
        </w:rPr>
        <w:t xml:space="preserve">Industrial </w:t>
      </w:r>
      <w:proofErr w:type="spellStart"/>
      <w:r w:rsidRPr="002E4E4D">
        <w:rPr>
          <w:rFonts w:asciiTheme="minorHAnsi" w:eastAsia="MS PGothic" w:hAnsiTheme="minorHAnsi"/>
          <w:color w:val="000000"/>
          <w:sz w:val="22"/>
          <w:szCs w:val="22"/>
          <w:lang w:val="en-US"/>
        </w:rPr>
        <w:t>cellulases</w:t>
      </w:r>
      <w:proofErr w:type="spellEnd"/>
      <w:r w:rsidRPr="002E4E4D">
        <w:rPr>
          <w:rFonts w:asciiTheme="minorHAnsi" w:eastAsia="MS PGothic" w:hAnsiTheme="minorHAnsi"/>
          <w:color w:val="000000"/>
          <w:sz w:val="22"/>
          <w:szCs w:val="22"/>
          <w:lang w:val="en-US"/>
        </w:rPr>
        <w:t xml:space="preserve"> are mainly produced by a</w:t>
      </w:r>
      <w:r>
        <w:rPr>
          <w:rFonts w:asciiTheme="minorHAnsi" w:eastAsia="MS PGothic" w:hAnsiTheme="minorHAnsi"/>
          <w:color w:val="000000"/>
          <w:sz w:val="22"/>
          <w:szCs w:val="22"/>
          <w:lang w:val="en-US"/>
        </w:rPr>
        <w:t>n aerobic</w:t>
      </w:r>
      <w:r w:rsidRPr="002E4E4D">
        <w:rPr>
          <w:rFonts w:asciiTheme="minorHAnsi" w:eastAsia="MS PGothic" w:hAnsiTheme="minorHAnsi"/>
          <w:color w:val="000000"/>
          <w:sz w:val="22"/>
          <w:szCs w:val="22"/>
          <w:lang w:val="en-US"/>
        </w:rPr>
        <w:t xml:space="preserve"> filamentous fungus, </w:t>
      </w:r>
      <w:proofErr w:type="spellStart"/>
      <w:r w:rsidRPr="00EE3520">
        <w:rPr>
          <w:rFonts w:asciiTheme="minorHAnsi" w:eastAsia="MS PGothic" w:hAnsiTheme="minorHAnsi"/>
          <w:i/>
          <w:color w:val="000000"/>
          <w:sz w:val="22"/>
          <w:szCs w:val="22"/>
          <w:lang w:val="en-US"/>
        </w:rPr>
        <w:t>Trichoderma</w:t>
      </w:r>
      <w:proofErr w:type="spellEnd"/>
      <w:r w:rsidRPr="00EE3520">
        <w:rPr>
          <w:rFonts w:asciiTheme="minorHAnsi" w:eastAsia="MS PGothic" w:hAnsiTheme="minorHAnsi"/>
          <w:i/>
          <w:color w:val="000000"/>
          <w:sz w:val="22"/>
          <w:szCs w:val="22"/>
          <w:lang w:val="en-US"/>
        </w:rPr>
        <w:t xml:space="preserve"> </w:t>
      </w:r>
      <w:proofErr w:type="spellStart"/>
      <w:r w:rsidRPr="00EE3520">
        <w:rPr>
          <w:rFonts w:asciiTheme="minorHAnsi" w:eastAsia="MS PGothic" w:hAnsiTheme="minorHAnsi"/>
          <w:i/>
          <w:color w:val="000000"/>
          <w:sz w:val="22"/>
          <w:szCs w:val="22"/>
          <w:lang w:val="en-US"/>
        </w:rPr>
        <w:t>reesei</w:t>
      </w:r>
      <w:proofErr w:type="spellEnd"/>
      <w:r w:rsidRPr="002E4E4D">
        <w:rPr>
          <w:rFonts w:asciiTheme="minorHAnsi" w:eastAsia="MS PGothic" w:hAnsiTheme="minorHAnsi"/>
          <w:color w:val="000000"/>
          <w:sz w:val="22"/>
          <w:szCs w:val="22"/>
          <w:lang w:val="en-US"/>
        </w:rPr>
        <w:t xml:space="preserve">, because of its high secretion capacity. Scaling-up this process is very challenging because of the complex links that exist between the process conditions, the morphology of this fungus and its productivity. </w:t>
      </w:r>
      <w:r w:rsidRPr="004A388C">
        <w:rPr>
          <w:rFonts w:asciiTheme="minorHAnsi" w:eastAsia="MS PGothic" w:hAnsiTheme="minorHAnsi"/>
          <w:color w:val="000000"/>
          <w:sz w:val="22"/>
          <w:szCs w:val="22"/>
          <w:lang w:val="en-US"/>
        </w:rPr>
        <w:t>Actually</w:t>
      </w:r>
      <w:r w:rsidRPr="002E4E4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2E4E4D">
        <w:rPr>
          <w:rFonts w:asciiTheme="minorHAnsi" w:eastAsia="MS PGothic" w:hAnsiTheme="minorHAnsi"/>
          <w:color w:val="000000"/>
          <w:sz w:val="22"/>
          <w:szCs w:val="22"/>
          <w:lang w:val="en-US"/>
        </w:rPr>
        <w:t xml:space="preserve">the filamentous morphology induces an increase of the </w:t>
      </w:r>
      <w:r w:rsidR="001374E9">
        <w:rPr>
          <w:rFonts w:asciiTheme="minorHAnsi" w:eastAsia="MS PGothic" w:hAnsiTheme="minorHAnsi"/>
          <w:color w:val="000000"/>
          <w:sz w:val="22"/>
          <w:szCs w:val="22"/>
          <w:lang w:val="en-US"/>
        </w:rPr>
        <w:t xml:space="preserve">medium </w:t>
      </w:r>
      <w:r w:rsidRPr="002E4E4D">
        <w:rPr>
          <w:rFonts w:asciiTheme="minorHAnsi" w:eastAsia="MS PGothic" w:hAnsiTheme="minorHAnsi"/>
          <w:color w:val="000000"/>
          <w:sz w:val="22"/>
          <w:szCs w:val="22"/>
          <w:lang w:val="en-US"/>
        </w:rPr>
        <w:t>viscosity that strongly reduces the oxygen mass transfer</w:t>
      </w:r>
      <w:r>
        <w:rPr>
          <w:rFonts w:asciiTheme="minorHAnsi" w:eastAsia="MS PGothic" w:hAnsiTheme="minorHAnsi"/>
          <w:color w:val="000000"/>
          <w:sz w:val="22"/>
          <w:szCs w:val="22"/>
          <w:lang w:val="en-US"/>
        </w:rPr>
        <w:t xml:space="preserve"> rate</w:t>
      </w:r>
      <w:r w:rsidRPr="002E4E4D">
        <w:rPr>
          <w:rFonts w:asciiTheme="minorHAnsi" w:eastAsia="MS PGothic" w:hAnsiTheme="minorHAnsi"/>
          <w:color w:val="000000"/>
          <w:sz w:val="22"/>
          <w:szCs w:val="22"/>
          <w:lang w:val="en-US"/>
        </w:rPr>
        <w:t>. To ensure a sufficient rate, the power input has to be increased, which increase the fluid dynamic stresses on the mycelial structures. Carrying out fermentations with these microorganisms is complicated as the fungal morphology impacts process parameters, whereas process conditions affect in return the morphology and possibly the process productivity. Moreover, with increasing scale, the media experiences ever increasing spatial and temporal variations, especially in dissolved oxygen and sugar concentration compared to the bench scale. Scale-down techniques are a way of establishing at the bench scale the large scale behavior and their implications for the economics of the process.</w:t>
      </w:r>
      <w:r w:rsidR="001374E9">
        <w:rPr>
          <w:rFonts w:asciiTheme="minorHAnsi" w:eastAsia="MS PGothic" w:hAnsiTheme="minorHAnsi"/>
          <w:color w:val="000000"/>
          <w:sz w:val="22"/>
          <w:szCs w:val="22"/>
          <w:lang w:val="en-US"/>
        </w:rPr>
        <w:t xml:space="preserve"> </w:t>
      </w:r>
      <w:r w:rsidRPr="002E4E4D">
        <w:rPr>
          <w:rFonts w:asciiTheme="minorHAnsi" w:eastAsia="MS PGothic" w:hAnsiTheme="minorHAnsi"/>
          <w:color w:val="000000"/>
          <w:sz w:val="22"/>
          <w:szCs w:val="22"/>
          <w:lang w:val="en-US"/>
        </w:rPr>
        <w:t xml:space="preserve">The goal of this work is to better understand and evaluate the impact of the upscaling on the physiology of </w:t>
      </w:r>
      <w:r w:rsidRPr="00EE3520">
        <w:rPr>
          <w:rFonts w:asciiTheme="minorHAnsi" w:eastAsia="MS PGothic" w:hAnsiTheme="minorHAnsi"/>
          <w:i/>
          <w:color w:val="000000"/>
          <w:sz w:val="22"/>
          <w:szCs w:val="22"/>
          <w:lang w:val="en-US"/>
        </w:rPr>
        <w:t>T</w:t>
      </w:r>
      <w:r w:rsidR="007B2B53">
        <w:rPr>
          <w:rFonts w:asciiTheme="minorHAnsi" w:eastAsia="MS PGothic" w:hAnsiTheme="minorHAnsi"/>
          <w:i/>
          <w:color w:val="000000"/>
          <w:sz w:val="22"/>
          <w:szCs w:val="22"/>
          <w:lang w:val="en-US"/>
        </w:rPr>
        <w:t>.</w:t>
      </w:r>
      <w:r w:rsidRPr="00EE3520">
        <w:rPr>
          <w:rFonts w:asciiTheme="minorHAnsi" w:eastAsia="MS PGothic" w:hAnsiTheme="minorHAnsi"/>
          <w:i/>
          <w:color w:val="000000"/>
          <w:sz w:val="22"/>
          <w:szCs w:val="22"/>
          <w:lang w:val="en-US"/>
        </w:rPr>
        <w:t xml:space="preserve"> </w:t>
      </w:r>
      <w:proofErr w:type="spellStart"/>
      <w:r w:rsidRPr="00EE3520">
        <w:rPr>
          <w:rFonts w:asciiTheme="minorHAnsi" w:eastAsia="MS PGothic" w:hAnsiTheme="minorHAnsi"/>
          <w:i/>
          <w:color w:val="000000"/>
          <w:sz w:val="22"/>
          <w:szCs w:val="22"/>
          <w:lang w:val="en-US"/>
        </w:rPr>
        <w:t>reesei</w:t>
      </w:r>
      <w:proofErr w:type="spellEnd"/>
      <w:r w:rsidRPr="002E4E4D">
        <w:rPr>
          <w:rFonts w:asciiTheme="minorHAnsi" w:eastAsia="MS PGothic" w:hAnsiTheme="minorHAnsi"/>
          <w:color w:val="000000"/>
          <w:sz w:val="22"/>
          <w:szCs w:val="22"/>
          <w:lang w:val="en-US"/>
        </w:rPr>
        <w:t xml:space="preserve">. </w:t>
      </w:r>
    </w:p>
    <w:p w:rsidR="003F08BE" w:rsidRPr="008D0BEB" w:rsidRDefault="003F08BE" w:rsidP="003940FB">
      <w:pPr>
        <w:tabs>
          <w:tab w:val="clear" w:pos="7100"/>
        </w:tabs>
        <w:spacing w:before="240" w:line="276" w:lineRule="auto"/>
        <w:jc w:val="lef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F08BE" w:rsidRPr="002A48EB" w:rsidRDefault="003F08BE" w:rsidP="003F08BE">
      <w:pPr>
        <w:snapToGrid w:val="0"/>
        <w:spacing w:after="120"/>
        <w:rPr>
          <w:rFonts w:asciiTheme="minorHAnsi" w:eastAsia="MS PGothic" w:hAnsiTheme="minorHAnsi"/>
          <w:color w:val="000000"/>
          <w:sz w:val="22"/>
          <w:szCs w:val="22"/>
          <w:lang w:val="en-US"/>
        </w:rPr>
      </w:pPr>
      <w:r w:rsidRPr="00200605">
        <w:rPr>
          <w:rFonts w:asciiTheme="minorHAnsi" w:eastAsia="MS PGothic" w:hAnsiTheme="minorHAnsi"/>
          <w:color w:val="000000"/>
          <w:sz w:val="22"/>
          <w:szCs w:val="22"/>
          <w:lang w:val="en-US"/>
        </w:rPr>
        <w:t xml:space="preserve">The effect of physical-chemical heterogeneities induced by the scale-up on the behavior of the microorganism are investigated using </w:t>
      </w:r>
      <w:r w:rsidR="001E03FA">
        <w:rPr>
          <w:rFonts w:asciiTheme="minorHAnsi" w:eastAsia="MS PGothic" w:hAnsiTheme="minorHAnsi"/>
          <w:color w:val="000000"/>
          <w:sz w:val="22"/>
          <w:szCs w:val="22"/>
          <w:lang w:val="en-US"/>
        </w:rPr>
        <w:t>2</w:t>
      </w:r>
      <w:r w:rsidRPr="00200605">
        <w:rPr>
          <w:rFonts w:asciiTheme="minorHAnsi" w:eastAsia="MS PGothic" w:hAnsiTheme="minorHAnsi"/>
          <w:color w:val="000000"/>
          <w:sz w:val="22"/>
          <w:szCs w:val="22"/>
          <w:lang w:val="en-US"/>
        </w:rPr>
        <w:t xml:space="preserve"> scale-down approach</w:t>
      </w:r>
      <w:r w:rsidR="001E03FA">
        <w:rPr>
          <w:rFonts w:asciiTheme="minorHAnsi" w:eastAsia="MS PGothic" w:hAnsiTheme="minorHAnsi"/>
          <w:color w:val="000000"/>
          <w:sz w:val="22"/>
          <w:szCs w:val="22"/>
          <w:lang w:val="en-US"/>
        </w:rPr>
        <w:t xml:space="preserve">es : </w:t>
      </w:r>
      <w:r w:rsidR="001374E9">
        <w:rPr>
          <w:rFonts w:asciiTheme="minorHAnsi" w:eastAsia="MS PGothic" w:hAnsiTheme="minorHAnsi"/>
          <w:color w:val="000000"/>
          <w:sz w:val="22"/>
          <w:szCs w:val="22"/>
          <w:lang w:val="en-US"/>
        </w:rPr>
        <w:t>a two-compartment system (2STR) and a single compartment system (1STR)</w:t>
      </w:r>
      <w:r w:rsidRPr="00200605">
        <w:rPr>
          <w:rFonts w:asciiTheme="minorHAnsi" w:eastAsia="MS PGothic" w:hAnsiTheme="minorHAnsi"/>
          <w:color w:val="000000"/>
          <w:sz w:val="22"/>
          <w:szCs w:val="22"/>
          <w:lang w:val="en-US"/>
        </w:rPr>
        <w:t xml:space="preserve">. </w:t>
      </w:r>
      <w:r w:rsidRPr="003E23E4">
        <w:rPr>
          <w:rFonts w:asciiTheme="minorHAnsi" w:eastAsia="MS PGothic" w:hAnsiTheme="minorHAnsi"/>
          <w:color w:val="000000"/>
          <w:sz w:val="22"/>
          <w:szCs w:val="22"/>
          <w:lang w:val="en-US"/>
        </w:rPr>
        <w:t>The enzyme production follows a two-steps process</w:t>
      </w:r>
      <w:r>
        <w:rPr>
          <w:rFonts w:asciiTheme="minorHAnsi" w:eastAsia="MS PGothic" w:hAnsiTheme="minorHAnsi"/>
          <w:color w:val="000000"/>
          <w:sz w:val="22"/>
          <w:szCs w:val="22"/>
          <w:lang w:val="en-US"/>
        </w:rPr>
        <w:t>: growth and production</w:t>
      </w:r>
      <w:r w:rsidRPr="003E23E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w:t>
      </w:r>
      <w:r w:rsidRPr="003E23E4">
        <w:rPr>
          <w:rFonts w:asciiTheme="minorHAnsi" w:eastAsia="MS PGothic" w:hAnsiTheme="minorHAnsi"/>
          <w:color w:val="000000"/>
          <w:sz w:val="22"/>
          <w:szCs w:val="22"/>
          <w:lang w:val="en-US"/>
        </w:rPr>
        <w:t xml:space="preserve">growth </w:t>
      </w:r>
      <w:r>
        <w:rPr>
          <w:rFonts w:asciiTheme="minorHAnsi" w:eastAsia="MS PGothic" w:hAnsiTheme="minorHAnsi"/>
          <w:color w:val="000000"/>
          <w:sz w:val="22"/>
          <w:szCs w:val="22"/>
          <w:lang w:val="en-US"/>
        </w:rPr>
        <w:t>step</w:t>
      </w:r>
      <w:r w:rsidRPr="003E23E4">
        <w:rPr>
          <w:rFonts w:asciiTheme="minorHAnsi" w:eastAsia="MS PGothic" w:hAnsiTheme="minorHAnsi"/>
          <w:color w:val="000000"/>
          <w:sz w:val="22"/>
          <w:szCs w:val="22"/>
          <w:lang w:val="en-US"/>
        </w:rPr>
        <w:t xml:space="preserve"> is operated in</w:t>
      </w:r>
      <w:r>
        <w:rPr>
          <w:rFonts w:asciiTheme="minorHAnsi" w:eastAsia="MS PGothic" w:hAnsiTheme="minorHAnsi"/>
          <w:color w:val="000000"/>
          <w:sz w:val="22"/>
          <w:szCs w:val="22"/>
          <w:lang w:val="en-US"/>
        </w:rPr>
        <w:t xml:space="preserve"> batch mode in</w:t>
      </w:r>
      <w:r w:rsidRPr="003E23E4">
        <w:rPr>
          <w:rFonts w:asciiTheme="minorHAnsi" w:eastAsia="MS PGothic" w:hAnsiTheme="minorHAnsi"/>
          <w:color w:val="000000"/>
          <w:sz w:val="22"/>
          <w:szCs w:val="22"/>
          <w:lang w:val="en-US"/>
        </w:rPr>
        <w:t xml:space="preserve"> excess of sugar to </w:t>
      </w:r>
      <w:r w:rsidRPr="003E23E4">
        <w:rPr>
          <w:rFonts w:asciiTheme="minorHAnsi" w:eastAsia="MS PGothic" w:hAnsiTheme="minorHAnsi"/>
          <w:color w:val="000000"/>
          <w:sz w:val="22"/>
          <w:szCs w:val="22"/>
          <w:lang w:val="en-US"/>
        </w:rPr>
        <w:lastRenderedPageBreak/>
        <w:t>reach biomass concentration</w:t>
      </w:r>
      <w:r w:rsidR="00C3697D">
        <w:rPr>
          <w:rFonts w:asciiTheme="minorHAnsi" w:eastAsia="MS PGothic" w:hAnsiTheme="minorHAnsi"/>
          <w:color w:val="000000"/>
          <w:sz w:val="22"/>
          <w:szCs w:val="22"/>
          <w:lang w:val="en-US"/>
        </w:rPr>
        <w:t>s of 15</w:t>
      </w:r>
      <w:r>
        <w:rPr>
          <w:rFonts w:asciiTheme="minorHAnsi" w:eastAsia="MS PGothic" w:hAnsiTheme="minorHAnsi"/>
          <w:color w:val="000000"/>
          <w:sz w:val="22"/>
          <w:szCs w:val="22"/>
          <w:lang w:val="en-US"/>
        </w:rPr>
        <w:t>g/L</w:t>
      </w:r>
      <w:r w:rsidRPr="003E23E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w:t>
      </w:r>
      <w:r w:rsidRPr="00146EBE">
        <w:rPr>
          <w:rFonts w:asciiTheme="minorHAnsi" w:eastAsia="MS PGothic" w:hAnsiTheme="minorHAnsi"/>
          <w:color w:val="000000"/>
          <w:sz w:val="22"/>
          <w:szCs w:val="22"/>
          <w:lang w:val="en-US"/>
        </w:rPr>
        <w:t xml:space="preserve">ultures </w:t>
      </w:r>
      <w:r>
        <w:rPr>
          <w:rFonts w:asciiTheme="minorHAnsi" w:eastAsia="MS PGothic" w:hAnsiTheme="minorHAnsi"/>
          <w:color w:val="000000"/>
          <w:sz w:val="22"/>
          <w:szCs w:val="22"/>
          <w:lang w:val="en-US"/>
        </w:rPr>
        <w:t>medium</w:t>
      </w:r>
      <w:r w:rsidR="003C33DB">
        <w:rPr>
          <w:rFonts w:asciiTheme="minorHAnsi" w:eastAsia="MS PGothic" w:hAnsiTheme="minorHAnsi"/>
          <w:color w:val="000000"/>
          <w:sz w:val="22"/>
          <w:szCs w:val="22"/>
          <w:lang w:val="en-US"/>
        </w:rPr>
        <w:t xml:space="preserve">, </w:t>
      </w:r>
      <w:proofErr w:type="spellStart"/>
      <w:r w:rsidR="003C33DB">
        <w:rPr>
          <w:rFonts w:asciiTheme="minorHAnsi" w:eastAsia="MS PGothic" w:hAnsiTheme="minorHAnsi"/>
          <w:color w:val="000000"/>
          <w:sz w:val="22"/>
          <w:szCs w:val="22"/>
          <w:lang w:val="en-US"/>
        </w:rPr>
        <w:t>preculture</w:t>
      </w:r>
      <w:proofErr w:type="spellEnd"/>
      <w:r>
        <w:rPr>
          <w:rFonts w:asciiTheme="minorHAnsi" w:eastAsia="MS PGothic" w:hAnsiTheme="minorHAnsi"/>
          <w:color w:val="000000"/>
          <w:sz w:val="22"/>
          <w:szCs w:val="22"/>
          <w:lang w:val="en-US"/>
        </w:rPr>
        <w:t xml:space="preserve"> and operating conditions in growth step </w:t>
      </w:r>
      <w:r w:rsidRPr="00146EBE">
        <w:rPr>
          <w:rFonts w:asciiTheme="minorHAnsi" w:eastAsia="MS PGothic" w:hAnsiTheme="minorHAnsi"/>
          <w:color w:val="000000"/>
          <w:sz w:val="22"/>
          <w:szCs w:val="22"/>
          <w:lang w:val="en-US"/>
        </w:rPr>
        <w:t xml:space="preserve">are similar to those reported </w:t>
      </w:r>
      <w:r w:rsidRPr="00AA5B92">
        <w:rPr>
          <w:rFonts w:asciiTheme="minorHAnsi" w:eastAsia="MS PGothic" w:hAnsiTheme="minorHAnsi"/>
          <w:color w:val="000000"/>
          <w:sz w:val="22"/>
          <w:szCs w:val="22"/>
          <w:lang w:val="en-US"/>
        </w:rPr>
        <w:t>in [1]. The production</w:t>
      </w:r>
      <w:r>
        <w:rPr>
          <w:rFonts w:asciiTheme="minorHAnsi" w:eastAsia="MS PGothic" w:hAnsiTheme="minorHAnsi"/>
          <w:color w:val="000000"/>
          <w:sz w:val="22"/>
          <w:szCs w:val="22"/>
          <w:lang w:val="en-US"/>
        </w:rPr>
        <w:t xml:space="preserve"> step is</w:t>
      </w:r>
      <w:r w:rsidRPr="00200605">
        <w:rPr>
          <w:rFonts w:asciiTheme="minorHAnsi" w:eastAsia="MS PGothic" w:hAnsiTheme="minorHAnsi"/>
          <w:color w:val="000000"/>
          <w:sz w:val="22"/>
          <w:szCs w:val="22"/>
          <w:lang w:val="en-US"/>
        </w:rPr>
        <w:t xml:space="preserve"> carried out </w:t>
      </w:r>
      <w:r>
        <w:rPr>
          <w:rFonts w:asciiTheme="minorHAnsi" w:eastAsia="MS PGothic" w:hAnsiTheme="minorHAnsi"/>
          <w:color w:val="000000"/>
          <w:sz w:val="22"/>
          <w:szCs w:val="22"/>
          <w:lang w:val="en-US"/>
        </w:rPr>
        <w:t>in</w:t>
      </w:r>
      <w:r w:rsidRPr="00200605">
        <w:rPr>
          <w:rFonts w:asciiTheme="minorHAnsi" w:eastAsia="MS PGothic" w:hAnsiTheme="minorHAnsi"/>
          <w:color w:val="000000"/>
          <w:sz w:val="22"/>
          <w:szCs w:val="22"/>
          <w:lang w:val="en-US"/>
        </w:rPr>
        <w:t xml:space="preserve"> fed-batch mode</w:t>
      </w:r>
      <w:r w:rsidR="001374E9">
        <w:rPr>
          <w:rFonts w:asciiTheme="minorHAnsi" w:eastAsia="MS PGothic" w:hAnsiTheme="minorHAnsi"/>
          <w:color w:val="000000"/>
          <w:sz w:val="22"/>
          <w:szCs w:val="22"/>
          <w:lang w:val="en-US"/>
        </w:rPr>
        <w:t xml:space="preserve">. For the </w:t>
      </w:r>
      <w:r w:rsidR="001374E9" w:rsidRPr="0093694F">
        <w:rPr>
          <w:rFonts w:asciiTheme="minorHAnsi" w:eastAsia="MS PGothic" w:hAnsiTheme="minorHAnsi"/>
          <w:color w:val="000000"/>
          <w:sz w:val="22"/>
          <w:szCs w:val="22"/>
          <w:u w:val="single"/>
          <w:lang w:val="en-US"/>
        </w:rPr>
        <w:t>2STR experiment</w:t>
      </w:r>
      <w:r w:rsidR="001374E9">
        <w:rPr>
          <w:rFonts w:asciiTheme="minorHAnsi" w:eastAsia="MS PGothic" w:hAnsiTheme="minorHAnsi"/>
          <w:color w:val="000000"/>
          <w:sz w:val="22"/>
          <w:szCs w:val="22"/>
          <w:lang w:val="en-US"/>
        </w:rPr>
        <w:t xml:space="preserve">, </w:t>
      </w:r>
      <w:r w:rsidR="0093694F">
        <w:rPr>
          <w:rFonts w:asciiTheme="minorHAnsi" w:eastAsia="MS PGothic" w:hAnsiTheme="minorHAnsi"/>
          <w:color w:val="000000"/>
          <w:sz w:val="22"/>
          <w:szCs w:val="22"/>
          <w:lang w:val="en-US"/>
        </w:rPr>
        <w:t>a</w:t>
      </w:r>
      <w:r w:rsidRPr="00146EBE">
        <w:rPr>
          <w:rFonts w:asciiTheme="minorHAnsi" w:eastAsia="MS PGothic" w:hAnsiTheme="minorHAnsi"/>
          <w:color w:val="000000"/>
          <w:sz w:val="22"/>
          <w:szCs w:val="22"/>
          <w:lang w:val="en-US"/>
        </w:rPr>
        <w:t xml:space="preserve"> 3.5L</w:t>
      </w:r>
      <w:r>
        <w:rPr>
          <w:rFonts w:asciiTheme="minorHAnsi" w:eastAsia="MS PGothic" w:hAnsiTheme="minorHAnsi"/>
          <w:color w:val="000000"/>
          <w:sz w:val="22"/>
          <w:szCs w:val="22"/>
          <w:lang w:val="en-US"/>
        </w:rPr>
        <w:t xml:space="preserve"> aerobic </w:t>
      </w:r>
      <w:r w:rsidRPr="00146EBE">
        <w:rPr>
          <w:rFonts w:asciiTheme="minorHAnsi" w:eastAsia="MS PGothic" w:hAnsiTheme="minorHAnsi"/>
          <w:color w:val="000000"/>
          <w:sz w:val="22"/>
          <w:szCs w:val="22"/>
          <w:lang w:val="en-US"/>
        </w:rPr>
        <w:t>bioreactor (2.5L of culture medium)</w:t>
      </w:r>
      <w:r>
        <w:rPr>
          <w:rFonts w:asciiTheme="minorHAnsi" w:eastAsia="MS PGothic" w:hAnsiTheme="minorHAnsi"/>
          <w:color w:val="000000"/>
          <w:sz w:val="22"/>
          <w:szCs w:val="22"/>
          <w:lang w:val="en-US"/>
        </w:rPr>
        <w:t xml:space="preserve"> kept at 40% of dissolved oxygen saturation (pO</w:t>
      </w:r>
      <w:r w:rsidRPr="003E23E4">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is connected to a 2.0L anaerobic bioreactor (0.5L of culture media) where the pO</w:t>
      </w:r>
      <w:r w:rsidRPr="00651443">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is kept at 0% by injecting nitrogen</w:t>
      </w:r>
      <w:r w:rsidRPr="00146EB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Two peristaltic pumps keep the broth circulating between the two bioreactors throughout the experiment. Two different cycling residence times in </w:t>
      </w:r>
      <w:r w:rsidR="00C3697D">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anaerobic </w:t>
      </w:r>
      <w:r w:rsidR="00C3697D">
        <w:rPr>
          <w:rFonts w:asciiTheme="minorHAnsi" w:eastAsia="MS PGothic" w:hAnsiTheme="minorHAnsi"/>
          <w:color w:val="000000"/>
          <w:sz w:val="22"/>
          <w:szCs w:val="22"/>
          <w:lang w:val="en-US"/>
        </w:rPr>
        <w:t>zone</w:t>
      </w:r>
      <w:r>
        <w:rPr>
          <w:rFonts w:asciiTheme="minorHAnsi" w:eastAsia="MS PGothic" w:hAnsiTheme="minorHAnsi"/>
          <w:color w:val="000000"/>
          <w:sz w:val="22"/>
          <w:szCs w:val="22"/>
          <w:lang w:val="en-US"/>
        </w:rPr>
        <w:t xml:space="preserve"> are tested by changing the volume of the bioreactors. </w:t>
      </w:r>
      <w:r w:rsidR="0093694F">
        <w:rPr>
          <w:rFonts w:asciiTheme="minorHAnsi" w:eastAsia="MS PGothic" w:hAnsiTheme="minorHAnsi"/>
          <w:color w:val="000000"/>
          <w:sz w:val="22"/>
          <w:szCs w:val="22"/>
          <w:lang w:val="en-US"/>
        </w:rPr>
        <w:t xml:space="preserve">For the </w:t>
      </w:r>
      <w:r w:rsidR="0093694F" w:rsidRPr="0093694F">
        <w:rPr>
          <w:rFonts w:asciiTheme="minorHAnsi" w:eastAsia="MS PGothic" w:hAnsiTheme="minorHAnsi"/>
          <w:color w:val="000000"/>
          <w:sz w:val="22"/>
          <w:szCs w:val="22"/>
          <w:u w:val="single"/>
          <w:lang w:val="en-US"/>
        </w:rPr>
        <w:t>1STR experiment</w:t>
      </w:r>
      <w:r w:rsidR="0093694F">
        <w:rPr>
          <w:rFonts w:asciiTheme="minorHAnsi" w:eastAsia="MS PGothic" w:hAnsiTheme="minorHAnsi"/>
          <w:color w:val="000000"/>
          <w:sz w:val="22"/>
          <w:szCs w:val="22"/>
          <w:lang w:val="en-US"/>
        </w:rPr>
        <w:t xml:space="preserve">, </w:t>
      </w:r>
      <w:r w:rsidR="00FF2E1B">
        <w:rPr>
          <w:rFonts w:asciiTheme="minorHAnsi" w:eastAsia="MS PGothic" w:hAnsiTheme="minorHAnsi"/>
          <w:color w:val="000000"/>
          <w:sz w:val="22"/>
          <w:szCs w:val="22"/>
          <w:lang w:val="en-US"/>
        </w:rPr>
        <w:t xml:space="preserve">cycling </w:t>
      </w:r>
      <w:r w:rsidR="0093694F">
        <w:rPr>
          <w:rFonts w:asciiTheme="minorHAnsi" w:eastAsia="MS PGothic" w:hAnsiTheme="minorHAnsi"/>
          <w:color w:val="000000"/>
          <w:sz w:val="22"/>
          <w:szCs w:val="22"/>
          <w:lang w:val="en-US"/>
        </w:rPr>
        <w:t xml:space="preserve">oscillations in the </w:t>
      </w:r>
      <w:r w:rsidR="00FF2E1B">
        <w:rPr>
          <w:rFonts w:asciiTheme="minorHAnsi" w:eastAsia="MS PGothic" w:hAnsiTheme="minorHAnsi"/>
          <w:color w:val="000000"/>
          <w:sz w:val="22"/>
          <w:szCs w:val="22"/>
          <w:lang w:val="en-US"/>
        </w:rPr>
        <w:t>pO</w:t>
      </w:r>
      <w:r w:rsidR="00FF2E1B">
        <w:rPr>
          <w:rFonts w:asciiTheme="minorHAnsi" w:eastAsia="MS PGothic" w:hAnsiTheme="minorHAnsi"/>
          <w:color w:val="000000"/>
          <w:sz w:val="22"/>
          <w:szCs w:val="22"/>
          <w:vertAlign w:val="subscript"/>
          <w:lang w:val="en-US"/>
        </w:rPr>
        <w:t>2</w:t>
      </w:r>
      <w:r w:rsidR="0093694F">
        <w:rPr>
          <w:rFonts w:asciiTheme="minorHAnsi" w:eastAsia="MS PGothic" w:hAnsiTheme="minorHAnsi"/>
          <w:color w:val="000000"/>
          <w:sz w:val="22"/>
          <w:szCs w:val="22"/>
          <w:lang w:val="en-US"/>
        </w:rPr>
        <w:t xml:space="preserve"> </w:t>
      </w:r>
      <w:r w:rsidR="00FF2E1B">
        <w:rPr>
          <w:rFonts w:asciiTheme="minorHAnsi" w:eastAsia="MS PGothic" w:hAnsiTheme="minorHAnsi"/>
          <w:color w:val="000000"/>
          <w:sz w:val="22"/>
          <w:szCs w:val="22"/>
          <w:lang w:val="en-US"/>
        </w:rPr>
        <w:t xml:space="preserve">(0-40%) </w:t>
      </w:r>
      <w:r w:rsidR="0093694F">
        <w:rPr>
          <w:rFonts w:asciiTheme="minorHAnsi" w:eastAsia="MS PGothic" w:hAnsiTheme="minorHAnsi"/>
          <w:color w:val="000000"/>
          <w:sz w:val="22"/>
          <w:szCs w:val="22"/>
          <w:lang w:val="en-US"/>
        </w:rPr>
        <w:t>are produced in a</w:t>
      </w:r>
      <w:r w:rsidR="00BC2C15">
        <w:rPr>
          <w:rFonts w:asciiTheme="minorHAnsi" w:eastAsia="MS PGothic" w:hAnsiTheme="minorHAnsi"/>
          <w:color w:val="000000"/>
          <w:sz w:val="22"/>
          <w:szCs w:val="22"/>
          <w:lang w:val="en-US"/>
        </w:rPr>
        <w:t xml:space="preserve"> single</w:t>
      </w:r>
      <w:r w:rsidR="0093694F">
        <w:rPr>
          <w:rFonts w:asciiTheme="minorHAnsi" w:eastAsia="MS PGothic" w:hAnsiTheme="minorHAnsi"/>
          <w:color w:val="000000"/>
          <w:sz w:val="22"/>
          <w:szCs w:val="22"/>
          <w:lang w:val="en-US"/>
        </w:rPr>
        <w:t xml:space="preserve"> 3.5L bioreactor</w:t>
      </w:r>
      <w:r w:rsidR="00FF2E1B">
        <w:rPr>
          <w:rFonts w:asciiTheme="minorHAnsi" w:eastAsia="MS PGothic" w:hAnsiTheme="minorHAnsi"/>
          <w:color w:val="000000"/>
          <w:sz w:val="22"/>
          <w:szCs w:val="22"/>
          <w:lang w:val="en-US"/>
        </w:rPr>
        <w:t xml:space="preserve"> by </w:t>
      </w:r>
      <w:r w:rsidR="00B15B47">
        <w:rPr>
          <w:rFonts w:asciiTheme="minorHAnsi" w:eastAsia="MS PGothic" w:hAnsiTheme="minorHAnsi"/>
          <w:color w:val="000000"/>
          <w:sz w:val="22"/>
          <w:szCs w:val="22"/>
          <w:lang w:val="en-US"/>
        </w:rPr>
        <w:t xml:space="preserve">injecting </w:t>
      </w:r>
      <w:r w:rsidR="00FF2E1B">
        <w:rPr>
          <w:rFonts w:asciiTheme="minorHAnsi" w:eastAsia="MS PGothic" w:hAnsiTheme="minorHAnsi"/>
          <w:color w:val="000000"/>
          <w:sz w:val="22"/>
          <w:szCs w:val="22"/>
          <w:lang w:val="en-US"/>
        </w:rPr>
        <w:t>a mix of air and nitrogen</w:t>
      </w:r>
      <w:r w:rsidR="0093694F">
        <w:rPr>
          <w:rFonts w:asciiTheme="minorHAnsi" w:eastAsia="MS PGothic" w:hAnsiTheme="minorHAnsi"/>
          <w:color w:val="000000"/>
          <w:sz w:val="22"/>
          <w:szCs w:val="22"/>
          <w:lang w:val="en-US"/>
        </w:rPr>
        <w:t xml:space="preserve">. </w:t>
      </w:r>
      <w:r w:rsidR="001374E9">
        <w:rPr>
          <w:rFonts w:asciiTheme="minorHAnsi" w:eastAsia="MS PGothic" w:hAnsiTheme="minorHAnsi"/>
          <w:color w:val="000000"/>
          <w:sz w:val="22"/>
          <w:szCs w:val="22"/>
          <w:lang w:val="en-US"/>
        </w:rPr>
        <w:t>For both scale d</w:t>
      </w:r>
      <w:r w:rsidR="0093694F">
        <w:rPr>
          <w:rFonts w:asciiTheme="minorHAnsi" w:eastAsia="MS PGothic" w:hAnsiTheme="minorHAnsi"/>
          <w:color w:val="000000"/>
          <w:sz w:val="22"/>
          <w:szCs w:val="22"/>
          <w:lang w:val="en-US"/>
        </w:rPr>
        <w:t>o</w:t>
      </w:r>
      <w:r w:rsidR="001374E9">
        <w:rPr>
          <w:rFonts w:asciiTheme="minorHAnsi" w:eastAsia="MS PGothic" w:hAnsiTheme="minorHAnsi"/>
          <w:color w:val="000000"/>
          <w:sz w:val="22"/>
          <w:szCs w:val="22"/>
          <w:lang w:val="en-US"/>
        </w:rPr>
        <w:t>wn approaches, t</w:t>
      </w:r>
      <w:r w:rsidRPr="00146EBE">
        <w:rPr>
          <w:rFonts w:asciiTheme="minorHAnsi" w:eastAsia="MS PGothic" w:hAnsiTheme="minorHAnsi"/>
          <w:color w:val="000000"/>
          <w:sz w:val="22"/>
          <w:szCs w:val="22"/>
          <w:lang w:val="en-US"/>
        </w:rPr>
        <w:t>he temperature is 27°C and pH is 4.</w:t>
      </w:r>
      <w:r>
        <w:rPr>
          <w:rFonts w:asciiTheme="minorHAnsi" w:eastAsia="MS PGothic" w:hAnsiTheme="minorHAnsi"/>
          <w:color w:val="000000"/>
          <w:sz w:val="22"/>
          <w:szCs w:val="22"/>
          <w:lang w:val="en-US"/>
        </w:rPr>
        <w:t>0</w:t>
      </w:r>
      <w:r w:rsidRPr="00146EBE">
        <w:rPr>
          <w:rFonts w:asciiTheme="minorHAnsi" w:eastAsia="MS PGothic" w:hAnsiTheme="minorHAnsi"/>
          <w:color w:val="000000"/>
          <w:sz w:val="22"/>
          <w:szCs w:val="22"/>
          <w:lang w:val="en-US"/>
        </w:rPr>
        <w:t xml:space="preserve"> for all the experiments. The </w:t>
      </w:r>
      <w:r w:rsidR="002E72D5">
        <w:rPr>
          <w:rFonts w:asciiTheme="minorHAnsi" w:eastAsia="MS PGothic" w:hAnsiTheme="minorHAnsi"/>
          <w:color w:val="000000"/>
          <w:sz w:val="22"/>
          <w:szCs w:val="22"/>
          <w:lang w:val="en-US"/>
        </w:rPr>
        <w:t>gas</w:t>
      </w:r>
      <w:r w:rsidRPr="00146EBE">
        <w:rPr>
          <w:rFonts w:asciiTheme="minorHAnsi" w:eastAsia="MS PGothic" w:hAnsiTheme="minorHAnsi"/>
          <w:color w:val="000000"/>
          <w:sz w:val="22"/>
          <w:szCs w:val="22"/>
          <w:lang w:val="en-US"/>
        </w:rPr>
        <w:t xml:space="preserve"> flow rate</w:t>
      </w:r>
      <w:r>
        <w:rPr>
          <w:rFonts w:asciiTheme="minorHAnsi" w:eastAsia="MS PGothic" w:hAnsiTheme="minorHAnsi"/>
          <w:color w:val="000000"/>
          <w:sz w:val="22"/>
          <w:szCs w:val="22"/>
          <w:lang w:val="en-US"/>
        </w:rPr>
        <w:t xml:space="preserve"> in the </w:t>
      </w:r>
      <w:r w:rsidR="00A164A6">
        <w:rPr>
          <w:rFonts w:asciiTheme="minorHAnsi" w:eastAsia="MS PGothic" w:hAnsiTheme="minorHAnsi"/>
          <w:color w:val="000000"/>
          <w:sz w:val="22"/>
          <w:szCs w:val="22"/>
          <w:lang w:val="en-US"/>
        </w:rPr>
        <w:t xml:space="preserve">3.5L </w:t>
      </w:r>
      <w:r>
        <w:rPr>
          <w:rFonts w:asciiTheme="minorHAnsi" w:eastAsia="MS PGothic" w:hAnsiTheme="minorHAnsi"/>
          <w:color w:val="000000"/>
          <w:sz w:val="22"/>
          <w:szCs w:val="22"/>
          <w:lang w:val="en-US"/>
        </w:rPr>
        <w:t>bioreactor</w:t>
      </w:r>
      <w:r w:rsidR="001374E9">
        <w:rPr>
          <w:rFonts w:asciiTheme="minorHAnsi" w:eastAsia="MS PGothic" w:hAnsiTheme="minorHAnsi"/>
          <w:color w:val="000000"/>
          <w:sz w:val="22"/>
          <w:szCs w:val="22"/>
          <w:lang w:val="en-US"/>
        </w:rPr>
        <w:t>s</w:t>
      </w:r>
      <w:r w:rsidRPr="00146EBE">
        <w:rPr>
          <w:rFonts w:asciiTheme="minorHAnsi" w:eastAsia="MS PGothic" w:hAnsiTheme="minorHAnsi"/>
          <w:color w:val="000000"/>
          <w:sz w:val="22"/>
          <w:szCs w:val="22"/>
          <w:lang w:val="en-US"/>
        </w:rPr>
        <w:t xml:space="preserve"> is constant and equal to </w:t>
      </w:r>
      <w:r>
        <w:rPr>
          <w:rFonts w:asciiTheme="minorHAnsi" w:eastAsia="MS PGothic" w:hAnsiTheme="minorHAnsi"/>
          <w:color w:val="000000"/>
          <w:sz w:val="22"/>
          <w:szCs w:val="22"/>
          <w:lang w:val="en-US"/>
        </w:rPr>
        <w:t>0</w:t>
      </w:r>
      <w:r w:rsidRPr="00146EBE">
        <w:rPr>
          <w:rFonts w:asciiTheme="minorHAnsi" w:eastAsia="MS PGothic" w:hAnsiTheme="minorHAnsi"/>
          <w:color w:val="000000"/>
          <w:sz w:val="22"/>
          <w:szCs w:val="22"/>
          <w:lang w:val="en-US"/>
        </w:rPr>
        <w:t>.25 l/</w:t>
      </w:r>
      <w:proofErr w:type="spellStart"/>
      <w:r w:rsidRPr="00146EBE">
        <w:rPr>
          <w:rFonts w:asciiTheme="minorHAnsi" w:eastAsia="MS PGothic" w:hAnsiTheme="minorHAnsi"/>
          <w:color w:val="000000"/>
          <w:sz w:val="22"/>
          <w:szCs w:val="22"/>
          <w:lang w:val="en-US"/>
        </w:rPr>
        <w:t>mn</w:t>
      </w:r>
      <w:proofErr w:type="spellEnd"/>
      <w:r w:rsidRPr="00146EBE">
        <w:rPr>
          <w:rFonts w:asciiTheme="minorHAnsi" w:eastAsia="MS PGothic" w:hAnsiTheme="minorHAnsi"/>
          <w:color w:val="000000"/>
          <w:sz w:val="22"/>
          <w:szCs w:val="22"/>
          <w:lang w:val="en-US"/>
        </w:rPr>
        <w:t xml:space="preserve">. </w:t>
      </w:r>
      <w:r w:rsidRPr="006D21F8">
        <w:rPr>
          <w:rFonts w:asciiTheme="minorHAnsi" w:eastAsia="MS PGothic" w:hAnsiTheme="minorHAnsi"/>
          <w:color w:val="000000"/>
          <w:sz w:val="22"/>
          <w:szCs w:val="22"/>
          <w:lang w:val="en-US"/>
        </w:rPr>
        <w:t xml:space="preserve">A determination of the secreted proteins concentration </w:t>
      </w:r>
      <w:r>
        <w:rPr>
          <w:rFonts w:asciiTheme="minorHAnsi" w:eastAsia="MS PGothic" w:hAnsiTheme="minorHAnsi"/>
          <w:color w:val="000000"/>
          <w:sz w:val="22"/>
          <w:szCs w:val="22"/>
          <w:lang w:val="en-US"/>
        </w:rPr>
        <w:t>i</w:t>
      </w:r>
      <w:r w:rsidRPr="006D21F8">
        <w:rPr>
          <w:rFonts w:asciiTheme="minorHAnsi" w:eastAsia="MS PGothic" w:hAnsiTheme="minorHAnsi"/>
          <w:color w:val="000000"/>
          <w:sz w:val="22"/>
          <w:szCs w:val="22"/>
          <w:lang w:val="en-US"/>
        </w:rPr>
        <w:t>s achieved on the medium filtrate</w:t>
      </w:r>
      <w:r>
        <w:rPr>
          <w:rFonts w:asciiTheme="minorHAnsi" w:eastAsia="MS PGothic" w:hAnsiTheme="minorHAnsi"/>
          <w:color w:val="000000"/>
          <w:sz w:val="22"/>
          <w:szCs w:val="22"/>
          <w:lang w:val="en-US"/>
        </w:rPr>
        <w:t xml:space="preserve"> by using the </w:t>
      </w:r>
      <w:r w:rsidRPr="006D21F8">
        <w:rPr>
          <w:rFonts w:asciiTheme="minorHAnsi" w:eastAsia="MS PGothic" w:hAnsiTheme="minorHAnsi"/>
          <w:color w:val="000000"/>
          <w:sz w:val="22"/>
          <w:szCs w:val="22"/>
          <w:lang w:val="en-US"/>
        </w:rPr>
        <w:t>DCTM Protein Assay kit (</w:t>
      </w:r>
      <w:proofErr w:type="spellStart"/>
      <w:r w:rsidRPr="006D21F8">
        <w:rPr>
          <w:rFonts w:asciiTheme="minorHAnsi" w:eastAsia="MS PGothic" w:hAnsiTheme="minorHAnsi"/>
          <w:color w:val="000000"/>
          <w:sz w:val="22"/>
          <w:szCs w:val="22"/>
          <w:lang w:val="en-US"/>
        </w:rPr>
        <w:t>Biorad</w:t>
      </w:r>
      <w:proofErr w:type="spellEnd"/>
      <w:r w:rsidRPr="006D21F8">
        <w:rPr>
          <w:rFonts w:asciiTheme="minorHAnsi" w:eastAsia="MS PGothic" w:hAnsiTheme="minorHAnsi"/>
          <w:color w:val="000000"/>
          <w:sz w:val="22"/>
          <w:szCs w:val="22"/>
          <w:lang w:val="en-US"/>
        </w:rPr>
        <w:t>, Hercules, United States of America) and is based on a range of bovine serum albumin (BSA, 0-1.5 gL-1)</w:t>
      </w:r>
      <w:r>
        <w:rPr>
          <w:rFonts w:asciiTheme="minorHAnsi" w:eastAsia="MS PGothic" w:hAnsiTheme="minorHAnsi"/>
          <w:color w:val="000000"/>
          <w:sz w:val="22"/>
          <w:szCs w:val="22"/>
          <w:lang w:val="en-US"/>
        </w:rPr>
        <w:t xml:space="preserve"> </w:t>
      </w:r>
      <w:r w:rsidRPr="006D21F8">
        <w:rPr>
          <w:rFonts w:asciiTheme="minorHAnsi" w:eastAsia="MS PGothic" w:hAnsiTheme="minorHAnsi"/>
          <w:color w:val="000000"/>
          <w:sz w:val="22"/>
          <w:szCs w:val="22"/>
          <w:lang w:val="en-US"/>
        </w:rPr>
        <w:t>[</w:t>
      </w:r>
      <w:r w:rsidR="00142545">
        <w:rPr>
          <w:rFonts w:asciiTheme="minorHAnsi" w:eastAsia="MS PGothic" w:hAnsiTheme="minorHAnsi"/>
          <w:color w:val="000000"/>
          <w:sz w:val="22"/>
          <w:szCs w:val="22"/>
          <w:lang w:val="en-US"/>
        </w:rPr>
        <w:t>2</w:t>
      </w:r>
      <w:r w:rsidRPr="006D21F8">
        <w:rPr>
          <w:rFonts w:asciiTheme="minorHAnsi" w:eastAsia="MS PGothic" w:hAnsiTheme="minorHAnsi"/>
          <w:color w:val="000000"/>
          <w:sz w:val="22"/>
          <w:szCs w:val="22"/>
          <w:lang w:val="en-US"/>
        </w:rPr>
        <w:t xml:space="preserve">]. </w:t>
      </w:r>
    </w:p>
    <w:p w:rsidR="003F08BE" w:rsidRDefault="003F08BE" w:rsidP="003F08BE">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F08BE" w:rsidRPr="008D0BEB" w:rsidRDefault="003F08BE" w:rsidP="00140374">
      <w:pPr>
        <w:snapToGrid w:val="0"/>
        <w:spacing w:after="120" w:line="300" w:lineRule="auto"/>
        <w:rPr>
          <w:rFonts w:asciiTheme="minorHAnsi" w:eastAsia="MS PGothic" w:hAnsiTheme="minorHAnsi"/>
          <w:color w:val="000000"/>
          <w:sz w:val="22"/>
          <w:szCs w:val="22"/>
          <w:lang w:val="en-US"/>
        </w:rPr>
      </w:pPr>
      <w:r w:rsidRPr="0094029A">
        <w:rPr>
          <w:rFonts w:asciiTheme="minorHAnsi" w:eastAsia="MS PGothic" w:hAnsiTheme="minorHAnsi"/>
          <w:color w:val="000000"/>
          <w:sz w:val="22"/>
          <w:szCs w:val="22"/>
          <w:lang w:val="en-US"/>
        </w:rPr>
        <w:t xml:space="preserve">As reported in figure </w:t>
      </w:r>
      <w:r w:rsidR="00A53A2D">
        <w:rPr>
          <w:rFonts w:asciiTheme="minorHAnsi" w:eastAsia="MS PGothic" w:hAnsiTheme="minorHAnsi"/>
          <w:color w:val="000000"/>
          <w:sz w:val="22"/>
          <w:szCs w:val="22"/>
          <w:lang w:val="en-US"/>
        </w:rPr>
        <w:t xml:space="preserve">1.I </w:t>
      </w:r>
      <w:r w:rsidR="00770547">
        <w:rPr>
          <w:rFonts w:asciiTheme="minorHAnsi" w:eastAsia="MS PGothic" w:hAnsiTheme="minorHAnsi"/>
          <w:color w:val="000000"/>
          <w:sz w:val="22"/>
          <w:szCs w:val="22"/>
          <w:lang w:val="en-US"/>
        </w:rPr>
        <w:t>&amp;</w:t>
      </w:r>
      <w:r w:rsidR="00A53A2D">
        <w:rPr>
          <w:rFonts w:asciiTheme="minorHAnsi" w:eastAsia="MS PGothic" w:hAnsiTheme="minorHAnsi"/>
          <w:color w:val="000000"/>
          <w:sz w:val="22"/>
          <w:szCs w:val="22"/>
          <w:lang w:val="en-US"/>
        </w:rPr>
        <w:t xml:space="preserve"> II</w:t>
      </w:r>
      <w:r>
        <w:rPr>
          <w:rFonts w:asciiTheme="minorHAnsi" w:eastAsia="MS PGothic" w:hAnsiTheme="minorHAnsi"/>
          <w:color w:val="000000"/>
          <w:sz w:val="22"/>
          <w:szCs w:val="22"/>
          <w:lang w:val="en-US"/>
        </w:rPr>
        <w:t>, r</w:t>
      </w:r>
      <w:r w:rsidR="00EA0D47">
        <w:rPr>
          <w:rFonts w:asciiTheme="minorHAnsi" w:eastAsia="MS PGothic" w:hAnsiTheme="minorHAnsi"/>
          <w:color w:val="000000"/>
          <w:sz w:val="22"/>
          <w:szCs w:val="22"/>
          <w:lang w:val="en-US"/>
        </w:rPr>
        <w:t xml:space="preserve">esults </w:t>
      </w:r>
      <w:r w:rsidRPr="0094029A">
        <w:rPr>
          <w:rFonts w:asciiTheme="minorHAnsi" w:eastAsia="MS PGothic" w:hAnsiTheme="minorHAnsi"/>
          <w:color w:val="000000"/>
          <w:sz w:val="22"/>
          <w:szCs w:val="22"/>
          <w:lang w:val="en-US"/>
        </w:rPr>
        <w:t xml:space="preserve">indicated a decrease of </w:t>
      </w:r>
      <w:r>
        <w:rPr>
          <w:rFonts w:asciiTheme="minorHAnsi" w:eastAsia="MS PGothic" w:hAnsiTheme="minorHAnsi"/>
          <w:color w:val="000000"/>
          <w:sz w:val="22"/>
          <w:szCs w:val="22"/>
          <w:lang w:val="en-US"/>
        </w:rPr>
        <w:t>2</w:t>
      </w:r>
      <w:r w:rsidRPr="0094029A">
        <w:rPr>
          <w:rFonts w:asciiTheme="minorHAnsi" w:eastAsia="MS PGothic" w:hAnsiTheme="minorHAnsi"/>
          <w:color w:val="000000"/>
          <w:sz w:val="22"/>
          <w:szCs w:val="22"/>
          <w:lang w:val="en-US"/>
        </w:rPr>
        <w:t xml:space="preserve">0% in the specific production rate </w:t>
      </w:r>
      <w:r w:rsidR="00EA0D47">
        <w:rPr>
          <w:rFonts w:asciiTheme="minorHAnsi" w:eastAsia="MS PGothic" w:hAnsiTheme="minorHAnsi"/>
          <w:color w:val="000000"/>
          <w:sz w:val="22"/>
          <w:szCs w:val="22"/>
          <w:lang w:val="en-US"/>
        </w:rPr>
        <w:t>and yield for</w:t>
      </w:r>
      <w:r w:rsidR="00EA0D47" w:rsidRPr="00EA0D47">
        <w:rPr>
          <w:rFonts w:asciiTheme="minorHAnsi" w:eastAsia="MS PGothic" w:hAnsiTheme="minorHAnsi"/>
          <w:color w:val="000000"/>
          <w:sz w:val="22"/>
          <w:szCs w:val="22"/>
          <w:lang w:val="en-US"/>
        </w:rPr>
        <w:t xml:space="preserve"> </w:t>
      </w:r>
      <w:r w:rsidR="00EA0D47">
        <w:rPr>
          <w:rFonts w:asciiTheme="minorHAnsi" w:eastAsia="MS PGothic" w:hAnsiTheme="minorHAnsi"/>
          <w:color w:val="000000"/>
          <w:sz w:val="22"/>
          <w:szCs w:val="22"/>
          <w:lang w:val="en-US"/>
        </w:rPr>
        <w:t>long</w:t>
      </w:r>
      <w:r w:rsidR="00D401E5">
        <w:rPr>
          <w:rFonts w:asciiTheme="minorHAnsi" w:eastAsia="MS PGothic" w:hAnsiTheme="minorHAnsi"/>
          <w:color w:val="000000"/>
          <w:sz w:val="22"/>
          <w:szCs w:val="22"/>
          <w:lang w:val="en-US"/>
        </w:rPr>
        <w:t>time cycling exposures (15</w:t>
      </w:r>
      <w:r w:rsidR="00EA0D47">
        <w:rPr>
          <w:rFonts w:asciiTheme="minorHAnsi" w:eastAsia="MS PGothic" w:hAnsiTheme="minorHAnsi"/>
          <w:color w:val="000000"/>
          <w:sz w:val="22"/>
          <w:szCs w:val="22"/>
          <w:lang w:val="en-US"/>
        </w:rPr>
        <w:t>min) to anaerobic conditions</w:t>
      </w:r>
      <w:r w:rsidR="00A56500">
        <w:rPr>
          <w:rFonts w:asciiTheme="minorHAnsi" w:eastAsia="MS PGothic" w:hAnsiTheme="minorHAnsi"/>
          <w:color w:val="000000"/>
          <w:sz w:val="22"/>
          <w:szCs w:val="22"/>
          <w:lang w:val="en-US"/>
        </w:rPr>
        <w:t xml:space="preserve"> in the 2STR experiments</w:t>
      </w:r>
      <w:r w:rsidR="00275958">
        <w:rPr>
          <w:rFonts w:asciiTheme="minorHAnsi" w:eastAsia="MS PGothic" w:hAnsiTheme="minorHAnsi"/>
          <w:color w:val="000000"/>
          <w:sz w:val="22"/>
          <w:szCs w:val="22"/>
          <w:lang w:val="en-US"/>
        </w:rPr>
        <w:t xml:space="preserve">. This </w:t>
      </w:r>
      <w:r w:rsidR="00275958" w:rsidRPr="00275958">
        <w:rPr>
          <w:rFonts w:asciiTheme="minorHAnsi" w:eastAsia="MS PGothic" w:hAnsiTheme="minorHAnsi"/>
          <w:color w:val="000000"/>
          <w:sz w:val="22"/>
          <w:szCs w:val="22"/>
          <w:lang w:val="en-US"/>
        </w:rPr>
        <w:t xml:space="preserve">effect is quite </w:t>
      </w:r>
      <w:r w:rsidR="00275958">
        <w:rPr>
          <w:rFonts w:asciiTheme="minorHAnsi" w:eastAsia="MS PGothic" w:hAnsiTheme="minorHAnsi"/>
          <w:color w:val="000000"/>
          <w:sz w:val="22"/>
          <w:szCs w:val="22"/>
          <w:lang w:val="en-US"/>
        </w:rPr>
        <w:t>low</w:t>
      </w:r>
      <w:r w:rsidR="00275958" w:rsidRPr="00275958">
        <w:rPr>
          <w:rFonts w:asciiTheme="minorHAnsi" w:eastAsia="MS PGothic" w:hAnsiTheme="minorHAnsi"/>
          <w:color w:val="000000"/>
          <w:sz w:val="22"/>
          <w:szCs w:val="22"/>
          <w:lang w:val="en-US"/>
        </w:rPr>
        <w:t xml:space="preserve"> because heterogeneities of 15min are unlikely</w:t>
      </w:r>
      <w:r>
        <w:rPr>
          <w:rFonts w:asciiTheme="minorHAnsi" w:eastAsia="MS PGothic" w:hAnsiTheme="minorHAnsi"/>
          <w:color w:val="000000"/>
          <w:sz w:val="22"/>
          <w:szCs w:val="22"/>
          <w:lang w:val="en-US"/>
        </w:rPr>
        <w:t xml:space="preserve"> </w:t>
      </w:r>
      <w:r w:rsidR="00A56500">
        <w:rPr>
          <w:rFonts w:asciiTheme="minorHAnsi" w:eastAsia="MS PGothic" w:hAnsiTheme="minorHAnsi"/>
          <w:color w:val="000000"/>
          <w:sz w:val="22"/>
          <w:szCs w:val="22"/>
          <w:lang w:val="en-US"/>
        </w:rPr>
        <w:t xml:space="preserve">to occur </w:t>
      </w:r>
      <w:r w:rsidR="00275958">
        <w:rPr>
          <w:rFonts w:asciiTheme="minorHAnsi" w:eastAsia="MS PGothic" w:hAnsiTheme="minorHAnsi"/>
          <w:color w:val="000000"/>
          <w:sz w:val="22"/>
          <w:szCs w:val="22"/>
          <w:lang w:val="en-US"/>
        </w:rPr>
        <w:t xml:space="preserve">in full-scale bioreactors. </w:t>
      </w:r>
      <w:r w:rsidR="00EA0D47">
        <w:rPr>
          <w:rFonts w:asciiTheme="minorHAnsi" w:eastAsia="MS PGothic" w:hAnsiTheme="minorHAnsi"/>
          <w:color w:val="000000"/>
          <w:sz w:val="22"/>
          <w:szCs w:val="22"/>
          <w:lang w:val="en-US"/>
        </w:rPr>
        <w:t xml:space="preserve">The </w:t>
      </w:r>
      <w:r w:rsidR="003571E1">
        <w:rPr>
          <w:rFonts w:asciiTheme="minorHAnsi" w:eastAsia="MS PGothic" w:hAnsiTheme="minorHAnsi"/>
          <w:color w:val="000000"/>
          <w:sz w:val="22"/>
          <w:szCs w:val="22"/>
          <w:lang w:val="en-US"/>
        </w:rPr>
        <w:t>comparison</w:t>
      </w:r>
      <w:r w:rsidR="00EA0D47">
        <w:rPr>
          <w:rFonts w:asciiTheme="minorHAnsi" w:eastAsia="MS PGothic" w:hAnsiTheme="minorHAnsi"/>
          <w:color w:val="000000"/>
          <w:sz w:val="22"/>
          <w:szCs w:val="22"/>
          <w:lang w:val="en-US"/>
        </w:rPr>
        <w:t xml:space="preserve"> of </w:t>
      </w:r>
      <w:r w:rsidR="003571E1">
        <w:rPr>
          <w:rFonts w:asciiTheme="minorHAnsi" w:eastAsia="MS PGothic" w:hAnsiTheme="minorHAnsi"/>
          <w:color w:val="000000"/>
          <w:sz w:val="22"/>
          <w:szCs w:val="22"/>
          <w:lang w:val="en-US"/>
        </w:rPr>
        <w:t xml:space="preserve">the two </w:t>
      </w:r>
      <w:r w:rsidR="00A56500">
        <w:rPr>
          <w:rFonts w:asciiTheme="minorHAnsi" w:eastAsia="MS PGothic" w:hAnsiTheme="minorHAnsi"/>
          <w:color w:val="000000"/>
          <w:sz w:val="22"/>
          <w:szCs w:val="22"/>
          <w:lang w:val="en-US"/>
        </w:rPr>
        <w:t xml:space="preserve">different </w:t>
      </w:r>
      <w:r w:rsidR="003571E1">
        <w:rPr>
          <w:rFonts w:asciiTheme="minorHAnsi" w:eastAsia="MS PGothic" w:hAnsiTheme="minorHAnsi"/>
          <w:color w:val="000000"/>
          <w:sz w:val="22"/>
          <w:szCs w:val="22"/>
          <w:lang w:val="en-US"/>
        </w:rPr>
        <w:t xml:space="preserve">scale down approaches </w:t>
      </w:r>
      <w:r w:rsidR="007F3DB0">
        <w:rPr>
          <w:rFonts w:asciiTheme="minorHAnsi" w:eastAsia="MS PGothic" w:hAnsiTheme="minorHAnsi"/>
          <w:color w:val="000000"/>
          <w:sz w:val="22"/>
          <w:szCs w:val="22"/>
          <w:lang w:val="en-US"/>
        </w:rPr>
        <w:t>(2STR and 1</w:t>
      </w:r>
      <w:r w:rsidR="003571E1">
        <w:rPr>
          <w:rFonts w:asciiTheme="minorHAnsi" w:eastAsia="MS PGothic" w:hAnsiTheme="minorHAnsi"/>
          <w:color w:val="000000"/>
          <w:sz w:val="22"/>
          <w:szCs w:val="22"/>
          <w:lang w:val="en-US"/>
        </w:rPr>
        <w:t xml:space="preserve">STR) in figure 1.III showed </w:t>
      </w:r>
      <w:r w:rsidR="007C4479" w:rsidRPr="003571E1">
        <w:rPr>
          <w:rFonts w:asciiTheme="minorHAnsi" w:eastAsia="MS PGothic" w:hAnsiTheme="minorHAnsi"/>
          <w:color w:val="000000"/>
          <w:sz w:val="22"/>
          <w:szCs w:val="22"/>
          <w:lang w:val="en-US"/>
        </w:rPr>
        <w:t xml:space="preserve">very different </w:t>
      </w:r>
      <w:r w:rsidR="007C4479">
        <w:rPr>
          <w:rFonts w:asciiTheme="minorHAnsi" w:eastAsia="MS PGothic" w:hAnsiTheme="minorHAnsi"/>
          <w:color w:val="000000"/>
          <w:sz w:val="22"/>
          <w:szCs w:val="22"/>
          <w:lang w:val="en-US"/>
        </w:rPr>
        <w:t xml:space="preserve">results </w:t>
      </w:r>
      <w:r w:rsidR="003571E1" w:rsidRPr="003571E1">
        <w:rPr>
          <w:rFonts w:asciiTheme="minorHAnsi" w:eastAsia="MS PGothic" w:hAnsiTheme="minorHAnsi"/>
          <w:color w:val="000000"/>
          <w:sz w:val="22"/>
          <w:szCs w:val="22"/>
          <w:lang w:val="en-US"/>
        </w:rPr>
        <w:t>fo</w:t>
      </w:r>
      <w:r w:rsidR="003571E1">
        <w:rPr>
          <w:rFonts w:asciiTheme="minorHAnsi" w:eastAsia="MS PGothic" w:hAnsiTheme="minorHAnsi"/>
          <w:color w:val="000000"/>
          <w:sz w:val="22"/>
          <w:szCs w:val="22"/>
          <w:lang w:val="en-US"/>
        </w:rPr>
        <w:t xml:space="preserve">r the same characteristic times </w:t>
      </w:r>
      <w:r w:rsidR="003571E1" w:rsidRPr="003571E1">
        <w:rPr>
          <w:rFonts w:asciiTheme="minorHAnsi" w:eastAsia="MS PGothic" w:hAnsiTheme="minorHAnsi"/>
          <w:color w:val="000000"/>
          <w:sz w:val="22"/>
          <w:szCs w:val="22"/>
          <w:lang w:val="en-US"/>
        </w:rPr>
        <w:t>(3</w:t>
      </w:r>
      <w:r w:rsidR="003571E1">
        <w:rPr>
          <w:rFonts w:asciiTheme="minorHAnsi" w:eastAsia="MS PGothic" w:hAnsiTheme="minorHAnsi"/>
          <w:color w:val="000000"/>
          <w:sz w:val="22"/>
          <w:szCs w:val="22"/>
          <w:lang w:val="en-US"/>
        </w:rPr>
        <w:t>,4</w:t>
      </w:r>
      <w:r w:rsidR="003571E1" w:rsidRPr="003571E1">
        <w:rPr>
          <w:rFonts w:asciiTheme="minorHAnsi" w:eastAsia="MS PGothic" w:hAnsiTheme="minorHAnsi"/>
          <w:color w:val="000000"/>
          <w:sz w:val="22"/>
          <w:szCs w:val="22"/>
          <w:lang w:val="en-US"/>
        </w:rPr>
        <w:t>min</w:t>
      </w:r>
      <w:r w:rsidR="007C4479">
        <w:rPr>
          <w:rFonts w:asciiTheme="minorHAnsi" w:eastAsia="MS PGothic" w:hAnsiTheme="minorHAnsi"/>
          <w:color w:val="000000"/>
          <w:sz w:val="22"/>
          <w:szCs w:val="22"/>
          <w:lang w:val="en-US"/>
        </w:rPr>
        <w:t>)</w:t>
      </w:r>
      <w:r w:rsidR="003571E1">
        <w:rPr>
          <w:rFonts w:asciiTheme="minorHAnsi" w:eastAsia="MS PGothic" w:hAnsiTheme="minorHAnsi"/>
          <w:color w:val="000000"/>
          <w:sz w:val="22"/>
          <w:szCs w:val="22"/>
          <w:lang w:val="en-US"/>
        </w:rPr>
        <w:t xml:space="preserve"> </w:t>
      </w:r>
      <w:r w:rsidR="00C175CD">
        <w:rPr>
          <w:rFonts w:asciiTheme="minorHAnsi" w:eastAsia="MS PGothic" w:hAnsiTheme="minorHAnsi"/>
          <w:color w:val="000000"/>
          <w:sz w:val="22"/>
          <w:szCs w:val="22"/>
          <w:lang w:val="en-US"/>
        </w:rPr>
        <w:t>in the</w:t>
      </w:r>
      <w:r w:rsidR="003571E1">
        <w:rPr>
          <w:rFonts w:asciiTheme="minorHAnsi" w:eastAsia="MS PGothic" w:hAnsiTheme="minorHAnsi"/>
          <w:color w:val="000000"/>
          <w:sz w:val="22"/>
          <w:szCs w:val="22"/>
          <w:lang w:val="en-US"/>
        </w:rPr>
        <w:t xml:space="preserve"> anaerob</w:t>
      </w:r>
      <w:r w:rsidR="00A56500">
        <w:rPr>
          <w:rFonts w:asciiTheme="minorHAnsi" w:eastAsia="MS PGothic" w:hAnsiTheme="minorHAnsi"/>
          <w:color w:val="000000"/>
          <w:sz w:val="22"/>
          <w:szCs w:val="22"/>
          <w:lang w:val="en-US"/>
        </w:rPr>
        <w:t xml:space="preserve">ic </w:t>
      </w:r>
      <w:r w:rsidR="00C175CD">
        <w:rPr>
          <w:rFonts w:asciiTheme="minorHAnsi" w:eastAsia="MS PGothic" w:hAnsiTheme="minorHAnsi"/>
          <w:color w:val="000000"/>
          <w:sz w:val="22"/>
          <w:szCs w:val="22"/>
          <w:lang w:val="en-US"/>
        </w:rPr>
        <w:t>zone.</w:t>
      </w:r>
      <w:r w:rsidR="003571E1" w:rsidRPr="003571E1">
        <w:rPr>
          <w:rFonts w:asciiTheme="minorHAnsi" w:eastAsia="MS PGothic" w:hAnsiTheme="minorHAnsi"/>
          <w:color w:val="000000"/>
          <w:sz w:val="22"/>
          <w:szCs w:val="22"/>
          <w:lang w:val="en-US"/>
        </w:rPr>
        <w:t xml:space="preserve"> This indicates</w:t>
      </w:r>
      <w:r w:rsidR="003571E1">
        <w:rPr>
          <w:rFonts w:asciiTheme="minorHAnsi" w:eastAsia="MS PGothic" w:hAnsiTheme="minorHAnsi"/>
          <w:color w:val="000000"/>
          <w:sz w:val="22"/>
          <w:szCs w:val="22"/>
          <w:lang w:val="en-US"/>
        </w:rPr>
        <w:t xml:space="preserve"> a</w:t>
      </w:r>
      <w:r w:rsidR="003571E1" w:rsidRPr="003571E1">
        <w:rPr>
          <w:rFonts w:asciiTheme="minorHAnsi" w:eastAsia="MS PGothic" w:hAnsiTheme="minorHAnsi"/>
          <w:color w:val="000000"/>
          <w:sz w:val="22"/>
          <w:szCs w:val="22"/>
          <w:lang w:val="en-US"/>
        </w:rPr>
        <w:t xml:space="preserve">) the sensitivity of </w:t>
      </w:r>
      <w:r w:rsidR="003571E1" w:rsidRPr="003571E1">
        <w:rPr>
          <w:rFonts w:asciiTheme="minorHAnsi" w:eastAsia="MS PGothic" w:hAnsiTheme="minorHAnsi"/>
          <w:i/>
          <w:color w:val="000000"/>
          <w:sz w:val="22"/>
          <w:szCs w:val="22"/>
          <w:lang w:val="en-US"/>
        </w:rPr>
        <w:t xml:space="preserve">T. </w:t>
      </w:r>
      <w:proofErr w:type="spellStart"/>
      <w:r w:rsidR="003571E1" w:rsidRPr="003571E1">
        <w:rPr>
          <w:rFonts w:asciiTheme="minorHAnsi" w:eastAsia="MS PGothic" w:hAnsiTheme="minorHAnsi"/>
          <w:i/>
          <w:color w:val="000000"/>
          <w:sz w:val="22"/>
          <w:szCs w:val="22"/>
          <w:lang w:val="en-US"/>
        </w:rPr>
        <w:t>reesei</w:t>
      </w:r>
      <w:proofErr w:type="spellEnd"/>
      <w:r w:rsidR="003571E1">
        <w:rPr>
          <w:rFonts w:asciiTheme="minorHAnsi" w:eastAsia="MS PGothic" w:hAnsiTheme="minorHAnsi"/>
          <w:color w:val="000000"/>
          <w:sz w:val="22"/>
          <w:szCs w:val="22"/>
          <w:lang w:val="en-US"/>
        </w:rPr>
        <w:t xml:space="preserve"> to </w:t>
      </w:r>
      <w:proofErr w:type="spellStart"/>
      <w:r w:rsidR="003571E1">
        <w:rPr>
          <w:rFonts w:asciiTheme="minorHAnsi" w:eastAsia="MS PGothic" w:hAnsiTheme="minorHAnsi"/>
          <w:color w:val="000000"/>
          <w:sz w:val="22"/>
          <w:szCs w:val="22"/>
          <w:lang w:val="en-US"/>
        </w:rPr>
        <w:t>anaerobiosis</w:t>
      </w:r>
      <w:proofErr w:type="spellEnd"/>
      <w:r w:rsidR="003571E1">
        <w:rPr>
          <w:rFonts w:asciiTheme="minorHAnsi" w:eastAsia="MS PGothic" w:hAnsiTheme="minorHAnsi"/>
          <w:color w:val="000000"/>
          <w:sz w:val="22"/>
          <w:szCs w:val="22"/>
          <w:lang w:val="en-US"/>
        </w:rPr>
        <w:t xml:space="preserve"> and b</w:t>
      </w:r>
      <w:r w:rsidR="003571E1" w:rsidRPr="003571E1">
        <w:rPr>
          <w:rFonts w:asciiTheme="minorHAnsi" w:eastAsia="MS PGothic" w:hAnsiTheme="minorHAnsi"/>
          <w:color w:val="000000"/>
          <w:sz w:val="22"/>
          <w:szCs w:val="22"/>
          <w:lang w:val="en-US"/>
        </w:rPr>
        <w:t>) the fact that the metabolic response is complex and not immediate because it depends on the distribution of the residence times of the microorganisms in the aerated or non-aerated zones.</w:t>
      </w:r>
    </w:p>
    <w:tbl>
      <w:tblPr>
        <w:tblStyle w:val="Grilledutableau"/>
        <w:tblW w:w="8613" w:type="dxa"/>
        <w:jc w:val="center"/>
        <w:tblInd w:w="212" w:type="dxa"/>
        <w:tblBorders>
          <w:insideH w:val="none" w:sz="0" w:space="0" w:color="auto"/>
          <w:insideV w:val="none" w:sz="0" w:space="0" w:color="auto"/>
        </w:tblBorders>
        <w:tblLayout w:type="fixed"/>
        <w:tblLook w:val="04A0" w:firstRow="1" w:lastRow="0" w:firstColumn="1" w:lastColumn="0" w:noHBand="0" w:noVBand="1"/>
      </w:tblPr>
      <w:tblGrid>
        <w:gridCol w:w="3291"/>
        <w:gridCol w:w="1985"/>
        <w:gridCol w:w="3337"/>
      </w:tblGrid>
      <w:tr w:rsidR="00D401E5" w:rsidTr="007F3DB0">
        <w:trPr>
          <w:trHeight w:val="1701"/>
          <w:jc w:val="center"/>
        </w:trPr>
        <w:tc>
          <w:tcPr>
            <w:tcW w:w="3291" w:type="dxa"/>
            <w:vAlign w:val="center"/>
          </w:tcPr>
          <w:p w:rsidR="00D401E5" w:rsidRDefault="00D401E5" w:rsidP="008447EB">
            <w:pPr>
              <w:snapToGrid w:val="0"/>
              <w:spacing w:after="120" w:line="156" w:lineRule="auto"/>
              <w:jc w:val="center"/>
              <w:rPr>
                <w:rFonts w:asciiTheme="minorHAnsi" w:eastAsia="MS PGothic" w:hAnsiTheme="minorHAnsi"/>
                <w:color w:val="000000"/>
              </w:rPr>
            </w:pPr>
            <w:r w:rsidRPr="00F65798">
              <w:rPr>
                <w:rFonts w:asciiTheme="minorHAnsi" w:eastAsia="MS PGothic" w:hAnsiTheme="minorHAnsi"/>
                <w:noProof/>
                <w:color w:val="000000"/>
                <w:lang w:eastAsia="en-GB"/>
              </w:rPr>
              <w:drawing>
                <wp:inline distT="0" distB="0" distL="0" distR="0" wp14:anchorId="6C8D7FFC" wp14:editId="0B73E781">
                  <wp:extent cx="1915064" cy="956117"/>
                  <wp:effectExtent l="0" t="0" r="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36"/>
                          <a:stretch/>
                        </pic:blipFill>
                        <pic:spPr bwMode="auto">
                          <a:xfrm>
                            <a:off x="0" y="0"/>
                            <a:ext cx="1915064" cy="956117"/>
                          </a:xfrm>
                          <a:prstGeom prst="rect">
                            <a:avLst/>
                          </a:prstGeom>
                          <a:noFill/>
                          <a:ln>
                            <a:noFill/>
                          </a:ln>
                          <a:effectLst/>
                          <a:extLst/>
                        </pic:spPr>
                      </pic:pic>
                    </a:graphicData>
                  </a:graphic>
                </wp:inline>
              </w:drawing>
            </w:r>
          </w:p>
        </w:tc>
        <w:tc>
          <w:tcPr>
            <w:tcW w:w="1985" w:type="dxa"/>
            <w:vAlign w:val="bottom"/>
          </w:tcPr>
          <w:p w:rsidR="00D401E5" w:rsidRDefault="00D401E5" w:rsidP="007F3DB0">
            <w:pPr>
              <w:snapToGrid w:val="0"/>
              <w:spacing w:after="120" w:line="156" w:lineRule="auto"/>
              <w:jc w:val="center"/>
              <w:rPr>
                <w:rFonts w:asciiTheme="minorHAnsi" w:eastAsia="MS PGothic" w:hAnsiTheme="minorHAnsi"/>
                <w:color w:val="000000"/>
              </w:rPr>
            </w:pPr>
            <w:r w:rsidRPr="00F65798">
              <w:rPr>
                <w:rFonts w:asciiTheme="minorHAnsi" w:eastAsia="MS PGothic" w:hAnsiTheme="minorHAnsi"/>
                <w:noProof/>
                <w:color w:val="000000"/>
                <w:lang w:eastAsia="en-GB"/>
              </w:rPr>
              <w:drawing>
                <wp:inline distT="0" distB="0" distL="0" distR="0" wp14:anchorId="7884E433" wp14:editId="1D337C67">
                  <wp:extent cx="1204523" cy="983412"/>
                  <wp:effectExtent l="0" t="0" r="0" b="762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310" cy="995485"/>
                          </a:xfrm>
                          <a:prstGeom prst="rect">
                            <a:avLst/>
                          </a:prstGeom>
                          <a:noFill/>
                          <a:ln>
                            <a:noFill/>
                          </a:ln>
                          <a:effectLst/>
                          <a:extLst/>
                        </pic:spPr>
                      </pic:pic>
                    </a:graphicData>
                  </a:graphic>
                </wp:inline>
              </w:drawing>
            </w:r>
          </w:p>
        </w:tc>
        <w:tc>
          <w:tcPr>
            <w:tcW w:w="3337" w:type="dxa"/>
            <w:vAlign w:val="center"/>
          </w:tcPr>
          <w:p w:rsidR="00D401E5" w:rsidRPr="00F65798" w:rsidRDefault="004140A1" w:rsidP="008447EB">
            <w:pPr>
              <w:snapToGrid w:val="0"/>
              <w:spacing w:after="120" w:line="156" w:lineRule="auto"/>
              <w:jc w:val="center"/>
              <w:rPr>
                <w:rFonts w:asciiTheme="minorHAnsi" w:eastAsia="MS PGothic" w:hAnsiTheme="minorHAnsi"/>
                <w:noProof/>
                <w:color w:val="000000"/>
                <w:lang w:eastAsia="en-GB"/>
              </w:rPr>
            </w:pPr>
            <w:r w:rsidRPr="004140A1">
              <w:rPr>
                <w:rFonts w:asciiTheme="minorHAnsi" w:eastAsia="MS PGothic" w:hAnsiTheme="minorHAnsi"/>
                <w:noProof/>
                <w:color w:val="000000"/>
                <w:lang w:eastAsia="en-GB"/>
              </w:rPr>
              <w:drawing>
                <wp:inline distT="0" distB="0" distL="0" distR="0" wp14:anchorId="063D0931" wp14:editId="6E965572">
                  <wp:extent cx="1975449" cy="948906"/>
                  <wp:effectExtent l="0" t="0" r="6350" b="38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6954" cy="959236"/>
                          </a:xfrm>
                          <a:prstGeom prst="rect">
                            <a:avLst/>
                          </a:prstGeom>
                          <a:noFill/>
                          <a:ln>
                            <a:noFill/>
                          </a:ln>
                          <a:effectLst/>
                          <a:extLst/>
                        </pic:spPr>
                      </pic:pic>
                    </a:graphicData>
                  </a:graphic>
                </wp:inline>
              </w:drawing>
            </w:r>
          </w:p>
        </w:tc>
      </w:tr>
      <w:tr w:rsidR="00D401E5" w:rsidTr="007F3DB0">
        <w:trPr>
          <w:trHeight w:val="98"/>
          <w:jc w:val="center"/>
        </w:trPr>
        <w:tc>
          <w:tcPr>
            <w:tcW w:w="3291" w:type="dxa"/>
            <w:vAlign w:val="center"/>
          </w:tcPr>
          <w:p w:rsidR="00D401E5" w:rsidRDefault="00D401E5" w:rsidP="008447EB">
            <w:pPr>
              <w:snapToGrid w:val="0"/>
              <w:spacing w:line="144" w:lineRule="auto"/>
              <w:jc w:val="center"/>
              <w:rPr>
                <w:rFonts w:asciiTheme="minorHAnsi" w:eastAsia="MS PGothic" w:hAnsiTheme="minorHAnsi"/>
                <w:color w:val="000000"/>
              </w:rPr>
            </w:pPr>
            <w:r>
              <w:rPr>
                <w:rFonts w:asciiTheme="minorHAnsi" w:eastAsia="MS PGothic" w:hAnsiTheme="minorHAnsi"/>
                <w:color w:val="000000"/>
              </w:rPr>
              <w:t>I</w:t>
            </w:r>
          </w:p>
        </w:tc>
        <w:tc>
          <w:tcPr>
            <w:tcW w:w="1985" w:type="dxa"/>
            <w:vAlign w:val="center"/>
          </w:tcPr>
          <w:p w:rsidR="00D401E5" w:rsidRDefault="00D401E5" w:rsidP="008447EB">
            <w:pPr>
              <w:snapToGrid w:val="0"/>
              <w:spacing w:after="120" w:line="144" w:lineRule="auto"/>
              <w:jc w:val="center"/>
              <w:rPr>
                <w:rFonts w:asciiTheme="minorHAnsi" w:eastAsia="MS PGothic" w:hAnsiTheme="minorHAnsi"/>
                <w:color w:val="000000"/>
              </w:rPr>
            </w:pPr>
            <w:r>
              <w:rPr>
                <w:rFonts w:asciiTheme="minorHAnsi" w:eastAsia="MS PGothic" w:hAnsiTheme="minorHAnsi"/>
                <w:color w:val="000000"/>
              </w:rPr>
              <w:t>II</w:t>
            </w:r>
          </w:p>
        </w:tc>
        <w:tc>
          <w:tcPr>
            <w:tcW w:w="3337" w:type="dxa"/>
          </w:tcPr>
          <w:p w:rsidR="00D401E5" w:rsidRDefault="008447EB" w:rsidP="008447EB">
            <w:pPr>
              <w:snapToGrid w:val="0"/>
              <w:spacing w:after="120" w:line="144" w:lineRule="auto"/>
              <w:jc w:val="center"/>
              <w:rPr>
                <w:rFonts w:asciiTheme="minorHAnsi" w:eastAsia="MS PGothic" w:hAnsiTheme="minorHAnsi"/>
                <w:color w:val="000000"/>
              </w:rPr>
            </w:pPr>
            <w:r>
              <w:rPr>
                <w:rFonts w:asciiTheme="minorHAnsi" w:eastAsia="MS PGothic" w:hAnsiTheme="minorHAnsi"/>
                <w:color w:val="000000"/>
              </w:rPr>
              <w:t>III</w:t>
            </w:r>
          </w:p>
        </w:tc>
      </w:tr>
    </w:tbl>
    <w:p w:rsidR="003F08BE" w:rsidRPr="00DE0019" w:rsidRDefault="003F08BE" w:rsidP="00F65798">
      <w:pPr>
        <w:snapToGrid w:val="0"/>
        <w:spacing w:line="120" w:lineRule="auto"/>
        <w:rPr>
          <w:rFonts w:asciiTheme="minorHAnsi" w:eastAsia="MS PGothic" w:hAnsiTheme="minorHAnsi"/>
          <w:color w:val="000000"/>
        </w:rPr>
      </w:pPr>
    </w:p>
    <w:p w:rsidR="003F08BE" w:rsidRPr="00DE0019" w:rsidRDefault="003F08BE" w:rsidP="007F3DB0">
      <w:pPr>
        <w:snapToGrid w:val="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Pr>
          <w:rFonts w:asciiTheme="minorHAnsi" w:eastAsia="MS PGothic" w:hAnsiTheme="minorHAnsi"/>
          <w:b/>
          <w:color w:val="000000"/>
          <w:szCs w:val="18"/>
          <w:lang w:val="en-US" w:eastAsia="ko-KR"/>
        </w:rPr>
        <w:t xml:space="preserve"> I &amp; II)</w:t>
      </w:r>
      <w:r w:rsidRPr="00DE0019">
        <w:rPr>
          <w:rFonts w:asciiTheme="minorHAnsi" w:eastAsia="MS PGothic" w:hAnsiTheme="minorHAnsi"/>
          <w:color w:val="000000"/>
          <w:szCs w:val="18"/>
          <w:lang w:val="en-US"/>
        </w:rPr>
        <w:t xml:space="preserve"> </w:t>
      </w:r>
      <w:r w:rsidRPr="00CD0F79">
        <w:rPr>
          <w:rFonts w:asciiTheme="minorHAnsi" w:hAnsiTheme="minorHAnsi"/>
          <w:lang w:val="en-US"/>
        </w:rPr>
        <w:t xml:space="preserve">Comparison of </w:t>
      </w:r>
      <w:proofErr w:type="spellStart"/>
      <w:r w:rsidR="00832419">
        <w:rPr>
          <w:rFonts w:asciiTheme="minorHAnsi" w:hAnsiTheme="minorHAnsi"/>
          <w:lang w:val="en-US"/>
        </w:rPr>
        <w:t>cellulases</w:t>
      </w:r>
      <w:proofErr w:type="spellEnd"/>
      <w:r w:rsidRPr="00CD0F79">
        <w:rPr>
          <w:rFonts w:asciiTheme="minorHAnsi" w:hAnsiTheme="minorHAnsi"/>
          <w:lang w:val="en-US"/>
        </w:rPr>
        <w:t xml:space="preserve"> production and</w:t>
      </w:r>
      <w:r>
        <w:rPr>
          <w:rFonts w:asciiTheme="minorHAnsi" w:hAnsiTheme="minorHAnsi"/>
          <w:lang w:val="en-US"/>
        </w:rPr>
        <w:t xml:space="preserve"> </w:t>
      </w:r>
      <w:r w:rsidRPr="00CD0F79">
        <w:rPr>
          <w:rFonts w:asciiTheme="minorHAnsi" w:hAnsiTheme="minorHAnsi"/>
          <w:lang w:val="en-US"/>
        </w:rPr>
        <w:t xml:space="preserve">yield </w:t>
      </w:r>
      <w:r>
        <w:rPr>
          <w:rFonts w:asciiTheme="minorHAnsi" w:hAnsiTheme="minorHAnsi"/>
          <w:lang w:val="en-US"/>
        </w:rPr>
        <w:t xml:space="preserve">(respectively) </w:t>
      </w:r>
      <w:r w:rsidRPr="00CD0F79">
        <w:rPr>
          <w:rFonts w:asciiTheme="minorHAnsi" w:hAnsiTheme="minorHAnsi"/>
          <w:lang w:val="en-US"/>
        </w:rPr>
        <w:t>for t</w:t>
      </w:r>
      <w:r>
        <w:rPr>
          <w:rFonts w:asciiTheme="minorHAnsi" w:hAnsiTheme="minorHAnsi"/>
          <w:lang w:val="en-US"/>
        </w:rPr>
        <w:t xml:space="preserve">hree </w:t>
      </w:r>
      <w:r w:rsidRPr="00CD0F79">
        <w:rPr>
          <w:rFonts w:asciiTheme="minorHAnsi" w:hAnsiTheme="minorHAnsi"/>
          <w:lang w:val="en-US"/>
        </w:rPr>
        <w:t>culture</w:t>
      </w:r>
      <w:r>
        <w:rPr>
          <w:rFonts w:asciiTheme="minorHAnsi" w:hAnsiTheme="minorHAnsi"/>
          <w:lang w:val="en-US"/>
        </w:rPr>
        <w:t>s</w:t>
      </w:r>
      <w:r w:rsidRPr="00CD0F79">
        <w:rPr>
          <w:rFonts w:asciiTheme="minorHAnsi" w:hAnsiTheme="minorHAnsi"/>
          <w:lang w:val="en-US"/>
        </w:rPr>
        <w:t xml:space="preserve"> </w:t>
      </w:r>
      <w:r w:rsidR="008447EB">
        <w:rPr>
          <w:rFonts w:asciiTheme="minorHAnsi" w:hAnsiTheme="minorHAnsi"/>
          <w:lang w:val="en-US"/>
        </w:rPr>
        <w:t>in 2STR</w:t>
      </w:r>
      <w:r w:rsidR="00A56500">
        <w:rPr>
          <w:rFonts w:asciiTheme="minorHAnsi" w:hAnsiTheme="minorHAnsi"/>
          <w:i/>
          <w:lang w:val="en-US"/>
        </w:rPr>
        <w:t xml:space="preserve"> </w:t>
      </w:r>
      <w:r>
        <w:rPr>
          <w:rFonts w:asciiTheme="minorHAnsi" w:hAnsiTheme="minorHAnsi"/>
          <w:i/>
          <w:lang w:val="en-US"/>
        </w:rPr>
        <w:t xml:space="preserve">: </w:t>
      </w:r>
      <w:r w:rsidRPr="00F06E18">
        <w:rPr>
          <w:rFonts w:asciiTheme="minorHAnsi" w:hAnsiTheme="minorHAnsi"/>
          <w:lang w:val="en-US"/>
        </w:rPr>
        <w:t xml:space="preserve">A - control (no oxygen oscillations), B - 3,4 min </w:t>
      </w:r>
      <w:r w:rsidR="008447EB">
        <w:rPr>
          <w:rFonts w:asciiTheme="minorHAnsi" w:hAnsiTheme="minorHAnsi"/>
          <w:lang w:val="en-US"/>
        </w:rPr>
        <w:t>and</w:t>
      </w:r>
      <w:r w:rsidRPr="00F06E18">
        <w:rPr>
          <w:rFonts w:asciiTheme="minorHAnsi" w:hAnsiTheme="minorHAnsi"/>
          <w:lang w:val="en-US"/>
        </w:rPr>
        <w:t xml:space="preserve"> C - 15 min of cycling exposure to pO</w:t>
      </w:r>
      <w:r w:rsidRPr="00126DB0">
        <w:rPr>
          <w:rFonts w:asciiTheme="minorHAnsi" w:hAnsiTheme="minorHAnsi"/>
          <w:vertAlign w:val="subscript"/>
          <w:lang w:val="en-US"/>
        </w:rPr>
        <w:t>2</w:t>
      </w:r>
      <w:r w:rsidRPr="00F06E18">
        <w:rPr>
          <w:rFonts w:asciiTheme="minorHAnsi" w:hAnsiTheme="minorHAnsi"/>
          <w:lang w:val="en-US"/>
        </w:rPr>
        <w:t>=0%</w:t>
      </w:r>
      <w:r w:rsidR="00F06E18">
        <w:rPr>
          <w:rFonts w:asciiTheme="minorHAnsi" w:hAnsiTheme="minorHAnsi"/>
          <w:lang w:val="en-US"/>
        </w:rPr>
        <w:t xml:space="preserve"> </w:t>
      </w:r>
      <w:r w:rsidR="001E7CF4">
        <w:rPr>
          <w:rFonts w:asciiTheme="minorHAnsi" w:hAnsiTheme="minorHAnsi"/>
          <w:lang w:val="en-US"/>
        </w:rPr>
        <w:t xml:space="preserve">; </w:t>
      </w:r>
      <w:r w:rsidR="001E7CF4" w:rsidRPr="001E7CF4">
        <w:rPr>
          <w:rFonts w:asciiTheme="minorHAnsi" w:hAnsiTheme="minorHAnsi"/>
          <w:b/>
          <w:lang w:val="en-US"/>
        </w:rPr>
        <w:t>III)</w:t>
      </w:r>
      <w:r w:rsidR="001E7CF4">
        <w:rPr>
          <w:rFonts w:asciiTheme="minorHAnsi" w:hAnsiTheme="minorHAnsi"/>
          <w:lang w:val="en-US"/>
        </w:rPr>
        <w:t xml:space="preserve"> </w:t>
      </w:r>
      <w:r w:rsidR="008447EB">
        <w:rPr>
          <w:rFonts w:asciiTheme="minorHAnsi" w:hAnsiTheme="minorHAnsi"/>
          <w:lang w:val="en-US"/>
        </w:rPr>
        <w:t>Comparison of two</w:t>
      </w:r>
      <w:r w:rsidR="008B63EC">
        <w:rPr>
          <w:rFonts w:asciiTheme="minorHAnsi" w:hAnsiTheme="minorHAnsi"/>
          <w:lang w:val="en-US"/>
        </w:rPr>
        <w:t xml:space="preserve"> different</w:t>
      </w:r>
      <w:r w:rsidR="008447EB">
        <w:rPr>
          <w:rFonts w:asciiTheme="minorHAnsi" w:hAnsiTheme="minorHAnsi"/>
          <w:lang w:val="en-US"/>
        </w:rPr>
        <w:t xml:space="preserve"> scale</w:t>
      </w:r>
      <w:r w:rsidR="008B63EC">
        <w:rPr>
          <w:rFonts w:asciiTheme="minorHAnsi" w:hAnsiTheme="minorHAnsi"/>
          <w:lang w:val="en-US"/>
        </w:rPr>
        <w:t>-</w:t>
      </w:r>
      <w:r w:rsidR="008447EB">
        <w:rPr>
          <w:rFonts w:asciiTheme="minorHAnsi" w:hAnsiTheme="minorHAnsi"/>
          <w:lang w:val="en-US"/>
        </w:rPr>
        <w:t>down approaches for 3,4</w:t>
      </w:r>
      <w:r w:rsidR="008447EB" w:rsidRPr="008447EB">
        <w:rPr>
          <w:rFonts w:asciiTheme="minorHAnsi" w:hAnsiTheme="minorHAnsi"/>
          <w:lang w:val="en-US"/>
        </w:rPr>
        <w:t xml:space="preserve"> </w:t>
      </w:r>
      <w:r w:rsidR="008447EB" w:rsidRPr="00F06E18">
        <w:rPr>
          <w:rFonts w:asciiTheme="minorHAnsi" w:hAnsiTheme="minorHAnsi"/>
          <w:lang w:val="en-US"/>
        </w:rPr>
        <w:t>min</w:t>
      </w:r>
      <w:r w:rsidR="008447EB">
        <w:rPr>
          <w:rFonts w:asciiTheme="minorHAnsi" w:hAnsiTheme="minorHAnsi"/>
          <w:lang w:val="en-US"/>
        </w:rPr>
        <w:t xml:space="preserve"> </w:t>
      </w:r>
      <w:r w:rsidR="008447EB" w:rsidRPr="00F06E18">
        <w:rPr>
          <w:rFonts w:asciiTheme="minorHAnsi" w:hAnsiTheme="minorHAnsi"/>
          <w:lang w:val="en-US"/>
        </w:rPr>
        <w:t>of cycling exposure to pO</w:t>
      </w:r>
      <w:r w:rsidR="008447EB" w:rsidRPr="00126DB0">
        <w:rPr>
          <w:rFonts w:asciiTheme="minorHAnsi" w:hAnsiTheme="minorHAnsi"/>
          <w:vertAlign w:val="subscript"/>
          <w:lang w:val="en-US"/>
        </w:rPr>
        <w:t>2</w:t>
      </w:r>
      <w:r w:rsidR="008447EB" w:rsidRPr="00F06E18">
        <w:rPr>
          <w:rFonts w:asciiTheme="minorHAnsi" w:hAnsiTheme="minorHAnsi"/>
          <w:lang w:val="en-US"/>
        </w:rPr>
        <w:t>=0%</w:t>
      </w:r>
      <w:r w:rsidR="008447EB">
        <w:rPr>
          <w:rFonts w:asciiTheme="minorHAnsi" w:hAnsiTheme="minorHAnsi"/>
          <w:lang w:val="en-US"/>
        </w:rPr>
        <w:t xml:space="preserve">  : B - 2STR and D </w:t>
      </w:r>
      <w:r w:rsidR="002C5431">
        <w:rPr>
          <w:rFonts w:asciiTheme="minorHAnsi" w:hAnsiTheme="minorHAnsi"/>
          <w:lang w:val="en-US"/>
        </w:rPr>
        <w:t xml:space="preserve">- </w:t>
      </w:r>
      <w:r w:rsidR="008447EB">
        <w:rPr>
          <w:rFonts w:asciiTheme="minorHAnsi" w:hAnsiTheme="minorHAnsi"/>
          <w:lang w:val="en-US"/>
        </w:rPr>
        <w:t>1STR</w:t>
      </w:r>
    </w:p>
    <w:p w:rsidR="003F08BE" w:rsidRPr="008D0BEB" w:rsidRDefault="003F08BE" w:rsidP="003F08BE">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620A1" w:rsidRPr="00CD0F79" w:rsidRDefault="00D044D5" w:rsidP="003F08BE">
      <w:pPr>
        <w:snapToGrid w:val="0"/>
        <w:spacing w:after="120"/>
        <w:rPr>
          <w:rFonts w:asciiTheme="minorHAnsi" w:eastAsia="MS PGothic" w:hAnsiTheme="minorHAnsi"/>
          <w:color w:val="000000"/>
          <w:sz w:val="22"/>
          <w:szCs w:val="22"/>
          <w:lang w:val="en-US"/>
        </w:rPr>
      </w:pPr>
      <w:r w:rsidRPr="00D044D5">
        <w:rPr>
          <w:rFonts w:asciiTheme="minorHAnsi" w:eastAsia="MS PGothic" w:hAnsiTheme="minorHAnsi"/>
          <w:color w:val="000000"/>
          <w:sz w:val="22"/>
          <w:szCs w:val="22"/>
          <w:lang w:val="en-US"/>
        </w:rPr>
        <w:t xml:space="preserve">In this study, the effect of </w:t>
      </w:r>
      <w:r>
        <w:rPr>
          <w:rFonts w:asciiTheme="minorHAnsi" w:eastAsia="MS PGothic" w:hAnsiTheme="minorHAnsi"/>
          <w:color w:val="000000"/>
          <w:sz w:val="22"/>
          <w:szCs w:val="22"/>
          <w:lang w:val="en-US"/>
        </w:rPr>
        <w:t>oxygen oscillations</w:t>
      </w:r>
      <w:r w:rsidRPr="00D044D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on </w:t>
      </w:r>
      <w:r w:rsidRPr="00D044D5">
        <w:rPr>
          <w:rFonts w:asciiTheme="minorHAnsi" w:eastAsia="MS PGothic" w:hAnsiTheme="minorHAnsi"/>
          <w:color w:val="000000"/>
          <w:sz w:val="22"/>
          <w:szCs w:val="22"/>
          <w:lang w:val="en-US"/>
        </w:rPr>
        <w:t xml:space="preserve"> enzyme production has been investigated during cultures of </w:t>
      </w:r>
      <w:r w:rsidRPr="00D044D5">
        <w:rPr>
          <w:rFonts w:asciiTheme="minorHAnsi" w:eastAsia="MS PGothic" w:hAnsiTheme="minorHAnsi"/>
          <w:i/>
          <w:color w:val="000000"/>
          <w:sz w:val="22"/>
          <w:szCs w:val="22"/>
          <w:lang w:val="en-US"/>
        </w:rPr>
        <w:t>T.</w:t>
      </w:r>
      <w:r w:rsidR="0039545E">
        <w:rPr>
          <w:rFonts w:asciiTheme="minorHAnsi" w:eastAsia="MS PGothic" w:hAnsiTheme="minorHAnsi"/>
          <w:i/>
          <w:color w:val="000000"/>
          <w:sz w:val="22"/>
          <w:szCs w:val="22"/>
          <w:lang w:val="en-US"/>
        </w:rPr>
        <w:t xml:space="preserve"> </w:t>
      </w:r>
      <w:proofErr w:type="spellStart"/>
      <w:r w:rsidRPr="00D044D5">
        <w:rPr>
          <w:rFonts w:asciiTheme="minorHAnsi" w:eastAsia="MS PGothic" w:hAnsiTheme="minorHAnsi"/>
          <w:i/>
          <w:color w:val="000000"/>
          <w:sz w:val="22"/>
          <w:szCs w:val="22"/>
          <w:lang w:val="en-US"/>
        </w:rPr>
        <w:t>reesei</w:t>
      </w:r>
      <w:proofErr w:type="spellEnd"/>
      <w:r w:rsidRPr="00D044D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w:t>
      </w:r>
      <w:r w:rsidRPr="00D044D5">
        <w:rPr>
          <w:rFonts w:asciiTheme="minorHAnsi" w:eastAsia="MS PGothic" w:hAnsiTheme="minorHAnsi"/>
          <w:color w:val="000000"/>
          <w:sz w:val="22"/>
          <w:szCs w:val="22"/>
          <w:lang w:val="en-US"/>
        </w:rPr>
        <w:t xml:space="preserve">he possible low sensitivity of the </w:t>
      </w:r>
      <w:r>
        <w:rPr>
          <w:rFonts w:asciiTheme="minorHAnsi" w:eastAsia="MS PGothic" w:hAnsiTheme="minorHAnsi"/>
          <w:color w:val="000000"/>
          <w:sz w:val="22"/>
          <w:szCs w:val="22"/>
          <w:lang w:val="en-US"/>
        </w:rPr>
        <w:t>fungus</w:t>
      </w:r>
      <w:r w:rsidRPr="00D044D5">
        <w:rPr>
          <w:rFonts w:asciiTheme="minorHAnsi" w:eastAsia="MS PGothic" w:hAnsiTheme="minorHAnsi"/>
          <w:color w:val="000000"/>
          <w:sz w:val="22"/>
          <w:szCs w:val="22"/>
          <w:lang w:val="en-US"/>
        </w:rPr>
        <w:t xml:space="preserve"> with respect to </w:t>
      </w:r>
      <w:r>
        <w:rPr>
          <w:rFonts w:asciiTheme="minorHAnsi" w:eastAsia="MS PGothic" w:hAnsiTheme="minorHAnsi"/>
          <w:color w:val="000000"/>
          <w:sz w:val="22"/>
          <w:szCs w:val="22"/>
          <w:lang w:val="en-US"/>
        </w:rPr>
        <w:t>oxygen</w:t>
      </w:r>
      <w:r w:rsidRPr="00D044D5">
        <w:rPr>
          <w:rFonts w:asciiTheme="minorHAnsi" w:eastAsia="MS PGothic" w:hAnsiTheme="minorHAnsi"/>
          <w:color w:val="000000"/>
          <w:sz w:val="22"/>
          <w:szCs w:val="22"/>
          <w:lang w:val="en-US"/>
        </w:rPr>
        <w:t xml:space="preserve"> heterogeneities in production phase, opens perspectives in terms of technological choice on an industrial scale</w:t>
      </w:r>
      <w:r w:rsidR="0051084A">
        <w:rPr>
          <w:rFonts w:asciiTheme="minorHAnsi" w:eastAsia="MS PGothic" w:hAnsiTheme="minorHAnsi"/>
          <w:color w:val="000000"/>
          <w:sz w:val="22"/>
          <w:szCs w:val="22"/>
          <w:lang w:val="en-US"/>
        </w:rPr>
        <w:t xml:space="preserve">. </w:t>
      </w:r>
      <w:r w:rsidR="00362B2C" w:rsidRPr="00362B2C">
        <w:rPr>
          <w:rFonts w:asciiTheme="minorHAnsi" w:eastAsia="MS PGothic" w:hAnsiTheme="minorHAnsi"/>
          <w:color w:val="000000"/>
          <w:sz w:val="22"/>
          <w:szCs w:val="22"/>
          <w:lang w:val="en-US"/>
        </w:rPr>
        <w:t xml:space="preserve">However, its complex biological response to </w:t>
      </w:r>
      <w:r w:rsidR="00362B2C">
        <w:rPr>
          <w:rFonts w:asciiTheme="minorHAnsi" w:eastAsia="MS PGothic" w:hAnsiTheme="minorHAnsi"/>
          <w:color w:val="000000"/>
          <w:sz w:val="22"/>
          <w:szCs w:val="22"/>
          <w:lang w:val="en-US"/>
        </w:rPr>
        <w:t xml:space="preserve">oxygen </w:t>
      </w:r>
      <w:r w:rsidR="00362B2C" w:rsidRPr="00362B2C">
        <w:rPr>
          <w:rFonts w:asciiTheme="minorHAnsi" w:eastAsia="MS PGothic" w:hAnsiTheme="minorHAnsi"/>
          <w:color w:val="000000"/>
          <w:sz w:val="22"/>
          <w:szCs w:val="22"/>
          <w:lang w:val="en-US"/>
        </w:rPr>
        <w:t>oscillations seems to be correlated with the distribution of the residence time in anaerobic zones in</w:t>
      </w:r>
      <w:r w:rsidR="00AD0353">
        <w:rPr>
          <w:rFonts w:asciiTheme="minorHAnsi" w:eastAsia="MS PGothic" w:hAnsiTheme="minorHAnsi"/>
          <w:color w:val="000000"/>
          <w:sz w:val="22"/>
          <w:szCs w:val="22"/>
          <w:lang w:val="en-US"/>
        </w:rPr>
        <w:t>side</w:t>
      </w:r>
      <w:r w:rsidR="00362B2C" w:rsidRPr="00362B2C">
        <w:rPr>
          <w:rFonts w:asciiTheme="minorHAnsi" w:eastAsia="MS PGothic" w:hAnsiTheme="minorHAnsi"/>
          <w:color w:val="000000"/>
          <w:sz w:val="22"/>
          <w:szCs w:val="22"/>
          <w:lang w:val="en-US"/>
        </w:rPr>
        <w:t xml:space="preserve"> </w:t>
      </w:r>
      <w:r w:rsidR="00AD0353">
        <w:rPr>
          <w:rFonts w:asciiTheme="minorHAnsi" w:eastAsia="MS PGothic" w:hAnsiTheme="minorHAnsi"/>
          <w:color w:val="000000"/>
          <w:sz w:val="22"/>
          <w:szCs w:val="22"/>
          <w:lang w:val="en-US"/>
        </w:rPr>
        <w:t>large</w:t>
      </w:r>
      <w:r w:rsidR="00362B2C" w:rsidRPr="00362B2C">
        <w:rPr>
          <w:rFonts w:asciiTheme="minorHAnsi" w:eastAsia="MS PGothic" w:hAnsiTheme="minorHAnsi"/>
          <w:color w:val="000000"/>
          <w:sz w:val="22"/>
          <w:szCs w:val="22"/>
          <w:lang w:val="en-US"/>
        </w:rPr>
        <w:t xml:space="preserve"> bioreactors.</w:t>
      </w:r>
    </w:p>
    <w:p w:rsidR="003F08BE" w:rsidRPr="008D0BEB" w:rsidRDefault="003F08BE" w:rsidP="003F08BE">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CF4508" w:rsidRDefault="00DF7CD1" w:rsidP="00CF4508">
      <w:pPr>
        <w:pStyle w:val="FirstParagraph"/>
        <w:numPr>
          <w:ilvl w:val="0"/>
          <w:numId w:val="17"/>
        </w:numPr>
        <w:tabs>
          <w:tab w:val="left" w:pos="426"/>
        </w:tabs>
        <w:spacing w:line="240" w:lineRule="auto"/>
        <w:rPr>
          <w:rFonts w:asciiTheme="minorHAnsi" w:hAnsiTheme="minorHAnsi"/>
          <w:color w:val="000000"/>
        </w:rPr>
      </w:pPr>
      <w:r w:rsidRPr="00CF4508">
        <w:rPr>
          <w:rFonts w:asciiTheme="minorHAnsi" w:hAnsiTheme="minorHAnsi"/>
          <w:color w:val="000000"/>
        </w:rPr>
        <w:t xml:space="preserve">Hardy, N., Augier, F., Nienow, A., </w:t>
      </w:r>
      <w:proofErr w:type="spellStart"/>
      <w:r w:rsidRPr="00CF4508">
        <w:rPr>
          <w:rFonts w:asciiTheme="minorHAnsi" w:hAnsiTheme="minorHAnsi"/>
          <w:color w:val="000000"/>
        </w:rPr>
        <w:t>Béal</w:t>
      </w:r>
      <w:proofErr w:type="spellEnd"/>
      <w:r w:rsidRPr="00CF4508">
        <w:rPr>
          <w:rFonts w:asciiTheme="minorHAnsi" w:hAnsiTheme="minorHAnsi"/>
          <w:color w:val="000000"/>
        </w:rPr>
        <w:t xml:space="preserve">, C., Ben </w:t>
      </w:r>
      <w:proofErr w:type="spellStart"/>
      <w:r w:rsidRPr="00CF4508">
        <w:rPr>
          <w:rFonts w:asciiTheme="minorHAnsi" w:hAnsiTheme="minorHAnsi"/>
          <w:color w:val="000000"/>
        </w:rPr>
        <w:t>Chaabane</w:t>
      </w:r>
      <w:proofErr w:type="spellEnd"/>
      <w:r w:rsidRPr="00CF4508">
        <w:rPr>
          <w:rFonts w:asciiTheme="minorHAnsi" w:hAnsiTheme="minorHAnsi"/>
          <w:color w:val="000000"/>
        </w:rPr>
        <w:t xml:space="preserve"> F. (2017), Chem. </w:t>
      </w:r>
      <w:proofErr w:type="spellStart"/>
      <w:r w:rsidRPr="00CF4508">
        <w:rPr>
          <w:rFonts w:asciiTheme="minorHAnsi" w:hAnsiTheme="minorHAnsi"/>
          <w:color w:val="000000"/>
        </w:rPr>
        <w:t>Eng.Sci</w:t>
      </w:r>
      <w:proofErr w:type="spellEnd"/>
      <w:r w:rsidR="002D695A">
        <w:rPr>
          <w:rFonts w:asciiTheme="minorHAnsi" w:hAnsiTheme="minorHAnsi"/>
          <w:color w:val="000000"/>
        </w:rPr>
        <w:t>.</w:t>
      </w:r>
      <w:r w:rsidRPr="00CF4508">
        <w:rPr>
          <w:rFonts w:asciiTheme="minorHAnsi" w:hAnsiTheme="minorHAnsi"/>
          <w:color w:val="000000"/>
        </w:rPr>
        <w:t>, 172: 158-168.</w:t>
      </w:r>
    </w:p>
    <w:p w:rsidR="004F3910" w:rsidRPr="00CF4508" w:rsidRDefault="003F08BE" w:rsidP="0004416F">
      <w:pPr>
        <w:pStyle w:val="FirstParagraph"/>
        <w:numPr>
          <w:ilvl w:val="0"/>
          <w:numId w:val="17"/>
        </w:numPr>
        <w:tabs>
          <w:tab w:val="left" w:pos="426"/>
        </w:tabs>
        <w:spacing w:line="240" w:lineRule="auto"/>
        <w:rPr>
          <w:rFonts w:asciiTheme="minorHAnsi" w:hAnsiTheme="minorHAnsi"/>
          <w:color w:val="000000"/>
        </w:rPr>
      </w:pPr>
      <w:r w:rsidRPr="00CF4508">
        <w:rPr>
          <w:rFonts w:asciiTheme="minorHAnsi" w:eastAsia="SimSun" w:hAnsiTheme="minorHAnsi"/>
          <w:szCs w:val="22"/>
          <w:lang w:eastAsia="zh-CN"/>
        </w:rPr>
        <w:t xml:space="preserve">Lowry, O.H., </w:t>
      </w:r>
      <w:proofErr w:type="spellStart"/>
      <w:r w:rsidRPr="00CF4508">
        <w:rPr>
          <w:rFonts w:asciiTheme="minorHAnsi" w:eastAsia="SimSun" w:hAnsiTheme="minorHAnsi"/>
          <w:szCs w:val="22"/>
          <w:lang w:eastAsia="zh-CN"/>
        </w:rPr>
        <w:t>Rosebrough</w:t>
      </w:r>
      <w:proofErr w:type="spellEnd"/>
      <w:r w:rsidRPr="00CF4508">
        <w:rPr>
          <w:rFonts w:asciiTheme="minorHAnsi" w:eastAsia="SimSun" w:hAnsiTheme="minorHAnsi"/>
          <w:szCs w:val="22"/>
          <w:lang w:eastAsia="zh-CN"/>
        </w:rPr>
        <w:t xml:space="preserve">, N.J., Farr, A.L. and Randall, R.J. (1951), </w:t>
      </w:r>
      <w:r w:rsidR="0004416F" w:rsidRPr="0004416F">
        <w:rPr>
          <w:rFonts w:asciiTheme="minorHAnsi" w:eastAsia="SimSun" w:hAnsiTheme="minorHAnsi"/>
          <w:szCs w:val="22"/>
          <w:lang w:eastAsia="zh-CN"/>
        </w:rPr>
        <w:t>J. Biol. Chem.</w:t>
      </w:r>
      <w:r w:rsidR="0004416F">
        <w:rPr>
          <w:rFonts w:asciiTheme="minorHAnsi" w:eastAsia="SimSun" w:hAnsiTheme="minorHAnsi"/>
          <w:szCs w:val="22"/>
          <w:lang w:eastAsia="zh-CN"/>
        </w:rPr>
        <w:t xml:space="preserve">, 193: </w:t>
      </w:r>
      <w:r w:rsidRPr="00CF4508">
        <w:rPr>
          <w:rFonts w:asciiTheme="minorHAnsi" w:eastAsia="SimSun" w:hAnsiTheme="minorHAnsi"/>
          <w:szCs w:val="22"/>
          <w:lang w:eastAsia="zh-CN"/>
        </w:rPr>
        <w:t>265–275.</w:t>
      </w:r>
    </w:p>
    <w:sectPr w:rsidR="004F3910" w:rsidRPr="00CF450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tte"/>
    </w:pPr>
  </w:p>
  <w:p w:rsidR="00704BDF" w:rsidRDefault="00704BDF">
    <w:pPr>
      <w:pStyle w:val="En-tt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416F"/>
    <w:rsid w:val="00062A9A"/>
    <w:rsid w:val="000A03B2"/>
    <w:rsid w:val="000A360C"/>
    <w:rsid w:val="000D34BE"/>
    <w:rsid w:val="000E36F1"/>
    <w:rsid w:val="000E3A73"/>
    <w:rsid w:val="000E414A"/>
    <w:rsid w:val="00126DB0"/>
    <w:rsid w:val="0013121F"/>
    <w:rsid w:val="00134DE4"/>
    <w:rsid w:val="001374E9"/>
    <w:rsid w:val="00140374"/>
    <w:rsid w:val="00142545"/>
    <w:rsid w:val="00150E59"/>
    <w:rsid w:val="00184AD6"/>
    <w:rsid w:val="001B65C1"/>
    <w:rsid w:val="001C684B"/>
    <w:rsid w:val="001D53FC"/>
    <w:rsid w:val="001E03FA"/>
    <w:rsid w:val="001E7CF4"/>
    <w:rsid w:val="001F2EC7"/>
    <w:rsid w:val="002065DB"/>
    <w:rsid w:val="002447EF"/>
    <w:rsid w:val="00251550"/>
    <w:rsid w:val="0027221A"/>
    <w:rsid w:val="00275958"/>
    <w:rsid w:val="00275B61"/>
    <w:rsid w:val="002C5431"/>
    <w:rsid w:val="002D1F12"/>
    <w:rsid w:val="002D24CF"/>
    <w:rsid w:val="002D695A"/>
    <w:rsid w:val="002E72D5"/>
    <w:rsid w:val="003009B7"/>
    <w:rsid w:val="0030469C"/>
    <w:rsid w:val="003047C4"/>
    <w:rsid w:val="003173FF"/>
    <w:rsid w:val="003571E1"/>
    <w:rsid w:val="00362B2C"/>
    <w:rsid w:val="003723D4"/>
    <w:rsid w:val="003940FB"/>
    <w:rsid w:val="0039545E"/>
    <w:rsid w:val="003A7D1C"/>
    <w:rsid w:val="003C33DB"/>
    <w:rsid w:val="003F08BE"/>
    <w:rsid w:val="004140A1"/>
    <w:rsid w:val="00415E1C"/>
    <w:rsid w:val="00420188"/>
    <w:rsid w:val="0046164A"/>
    <w:rsid w:val="00462DCD"/>
    <w:rsid w:val="004D1162"/>
    <w:rsid w:val="004E4DD6"/>
    <w:rsid w:val="004F3910"/>
    <w:rsid w:val="004F563B"/>
    <w:rsid w:val="004F5E36"/>
    <w:rsid w:val="0051084A"/>
    <w:rsid w:val="005119A5"/>
    <w:rsid w:val="005278B7"/>
    <w:rsid w:val="005346C8"/>
    <w:rsid w:val="005620A1"/>
    <w:rsid w:val="00566E83"/>
    <w:rsid w:val="00594E9F"/>
    <w:rsid w:val="005B61E6"/>
    <w:rsid w:val="005C77E1"/>
    <w:rsid w:val="005D6A2F"/>
    <w:rsid w:val="005E1A82"/>
    <w:rsid w:val="005F0A28"/>
    <w:rsid w:val="005F0E5E"/>
    <w:rsid w:val="00613772"/>
    <w:rsid w:val="00620DEE"/>
    <w:rsid w:val="00625639"/>
    <w:rsid w:val="006366F8"/>
    <w:rsid w:val="0064184D"/>
    <w:rsid w:val="00657CC0"/>
    <w:rsid w:val="00657EF6"/>
    <w:rsid w:val="00660E3E"/>
    <w:rsid w:val="00662E74"/>
    <w:rsid w:val="00692326"/>
    <w:rsid w:val="006B01AC"/>
    <w:rsid w:val="006C5579"/>
    <w:rsid w:val="006E2D7A"/>
    <w:rsid w:val="00704BDF"/>
    <w:rsid w:val="00736B13"/>
    <w:rsid w:val="007447F3"/>
    <w:rsid w:val="00752922"/>
    <w:rsid w:val="007661C8"/>
    <w:rsid w:val="00770547"/>
    <w:rsid w:val="007B2B53"/>
    <w:rsid w:val="007C4479"/>
    <w:rsid w:val="007D52CD"/>
    <w:rsid w:val="007F3DB0"/>
    <w:rsid w:val="00813288"/>
    <w:rsid w:val="008168FC"/>
    <w:rsid w:val="00832419"/>
    <w:rsid w:val="008447EB"/>
    <w:rsid w:val="008479A2"/>
    <w:rsid w:val="00857CD9"/>
    <w:rsid w:val="0087637F"/>
    <w:rsid w:val="008A1512"/>
    <w:rsid w:val="008A5D28"/>
    <w:rsid w:val="008B63EC"/>
    <w:rsid w:val="008C15D8"/>
    <w:rsid w:val="008D0BEB"/>
    <w:rsid w:val="008D3F6C"/>
    <w:rsid w:val="008D5F9F"/>
    <w:rsid w:val="008E566E"/>
    <w:rsid w:val="00901EB6"/>
    <w:rsid w:val="0093694F"/>
    <w:rsid w:val="009450CE"/>
    <w:rsid w:val="0095164B"/>
    <w:rsid w:val="009672CE"/>
    <w:rsid w:val="00996483"/>
    <w:rsid w:val="009B2E59"/>
    <w:rsid w:val="009B7FA6"/>
    <w:rsid w:val="009E788A"/>
    <w:rsid w:val="00A079DB"/>
    <w:rsid w:val="00A12E7C"/>
    <w:rsid w:val="00A164A6"/>
    <w:rsid w:val="00A1763D"/>
    <w:rsid w:val="00A17CEC"/>
    <w:rsid w:val="00A27EF0"/>
    <w:rsid w:val="00A53A2D"/>
    <w:rsid w:val="00A56500"/>
    <w:rsid w:val="00A76EFC"/>
    <w:rsid w:val="00A84720"/>
    <w:rsid w:val="00A97F29"/>
    <w:rsid w:val="00AA5B92"/>
    <w:rsid w:val="00AB0964"/>
    <w:rsid w:val="00AC78FD"/>
    <w:rsid w:val="00AD0353"/>
    <w:rsid w:val="00AE377D"/>
    <w:rsid w:val="00B05977"/>
    <w:rsid w:val="00B15B47"/>
    <w:rsid w:val="00B37BDC"/>
    <w:rsid w:val="00B61DBF"/>
    <w:rsid w:val="00BB49FD"/>
    <w:rsid w:val="00BC2C15"/>
    <w:rsid w:val="00BC30C9"/>
    <w:rsid w:val="00BE3E58"/>
    <w:rsid w:val="00BE4A89"/>
    <w:rsid w:val="00C01616"/>
    <w:rsid w:val="00C0162B"/>
    <w:rsid w:val="00C175CD"/>
    <w:rsid w:val="00C345B1"/>
    <w:rsid w:val="00C3697D"/>
    <w:rsid w:val="00C37E53"/>
    <w:rsid w:val="00C40142"/>
    <w:rsid w:val="00C57182"/>
    <w:rsid w:val="00C655FD"/>
    <w:rsid w:val="00C94434"/>
    <w:rsid w:val="00CA1C95"/>
    <w:rsid w:val="00CA5A9C"/>
    <w:rsid w:val="00CC3F4B"/>
    <w:rsid w:val="00CD5FE2"/>
    <w:rsid w:val="00CF4508"/>
    <w:rsid w:val="00CF7DCD"/>
    <w:rsid w:val="00D02B4C"/>
    <w:rsid w:val="00D044D5"/>
    <w:rsid w:val="00D401E5"/>
    <w:rsid w:val="00D716E5"/>
    <w:rsid w:val="00D84576"/>
    <w:rsid w:val="00DB05B2"/>
    <w:rsid w:val="00DB1F5A"/>
    <w:rsid w:val="00DE0019"/>
    <w:rsid w:val="00DE264A"/>
    <w:rsid w:val="00DF7CD1"/>
    <w:rsid w:val="00E041E7"/>
    <w:rsid w:val="00E04E21"/>
    <w:rsid w:val="00E23CA1"/>
    <w:rsid w:val="00E409A8"/>
    <w:rsid w:val="00E47211"/>
    <w:rsid w:val="00E7209D"/>
    <w:rsid w:val="00EA0D47"/>
    <w:rsid w:val="00EA50E1"/>
    <w:rsid w:val="00EB73DB"/>
    <w:rsid w:val="00EE0131"/>
    <w:rsid w:val="00EF1951"/>
    <w:rsid w:val="00F06E18"/>
    <w:rsid w:val="00F1688C"/>
    <w:rsid w:val="00F16974"/>
    <w:rsid w:val="00F30C64"/>
    <w:rsid w:val="00F65798"/>
    <w:rsid w:val="00FB730C"/>
    <w:rsid w:val="00FC2695"/>
    <w:rsid w:val="00FC3E03"/>
    <w:rsid w:val="00FE6A2D"/>
    <w:rsid w:val="00FF2E1B"/>
    <w:rsid w:val="00FF3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semiHidden="0" w:unhideWhenUs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Table Subtle 2" w:semiHidden="0" w:unhideWhenUsed="0"/>
    <w:lsdException w:name="Table Web 3" w:semiHidden="0" w:unhideWhenUs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semiHidden="0" w:unhideWhenUs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Table Subtle 2" w:semiHidden="0" w:unhideWhenUsed="0"/>
    <w:lsdException w:name="Table Web 3" w:semiHidden="0" w:unhideWhenUs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8DC1-098B-4CC2-A27E-2835F7CB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901</Words>
  <Characters>5136</Characters>
  <Application>Microsoft Office Word</Application>
  <DocSecurity>0</DocSecurity>
  <Lines>42</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GONCALVES ROQUE Tamiris</cp:lastModifiedBy>
  <cp:revision>42</cp:revision>
  <cp:lastPrinted>2015-05-12T18:31:00Z</cp:lastPrinted>
  <dcterms:created xsi:type="dcterms:W3CDTF">2019-01-15T12:21:00Z</dcterms:created>
  <dcterms:modified xsi:type="dcterms:W3CDTF">2019-01-15T16:05:00Z</dcterms:modified>
</cp:coreProperties>
</file>