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5306AC" w:rsidP="00153693">
      <w:pPr>
        <w:snapToGrid w:val="0"/>
        <w:spacing w:after="360"/>
        <w:ind w:leftChars="393" w:left="707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Nan</w:t>
      </w:r>
      <w:r>
        <w:rPr>
          <w:rFonts w:asciiTheme="minorHAnsi" w:eastAsia="MS PGothic" w:hAnsiTheme="minorHAnsi" w:hint="eastAsia"/>
          <w:b/>
          <w:bCs/>
          <w:sz w:val="28"/>
          <w:szCs w:val="28"/>
          <w:lang w:val="en-US" w:eastAsia="ja-JP"/>
        </w:rPr>
        <w:t>o-</w:t>
      </w:r>
      <w:r w:rsidR="0044104F">
        <w:rPr>
          <w:rFonts w:asciiTheme="minorHAnsi" w:eastAsia="MS PGothic" w:hAnsiTheme="minorHAnsi"/>
          <w:b/>
          <w:bCs/>
          <w:sz w:val="28"/>
          <w:szCs w:val="28"/>
          <w:lang w:val="en-US"/>
        </w:rPr>
        <w:t>structural modification of calcium alginate membrane for high performance separation of mono/oligo</w:t>
      </w:r>
      <w:r w:rsidR="00153693" w:rsidRPr="00153693">
        <w:rPr>
          <w:rFonts w:asciiTheme="minorHAnsi" w:eastAsia="MS PGothic" w:hAnsiTheme="minorHAnsi"/>
          <w:b/>
          <w:bCs/>
          <w:sz w:val="28"/>
          <w:szCs w:val="28"/>
          <w:lang w:val="en-US"/>
        </w:rPr>
        <w:t>saccharide</w:t>
      </w:r>
    </w:p>
    <w:p w:rsidR="00DE0019" w:rsidRPr="0044104F" w:rsidRDefault="00C018E0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</w:pPr>
      <w:r w:rsidRPr="0044104F">
        <w:rPr>
          <w:rFonts w:asciiTheme="minorHAnsi" w:eastAsia="SimSun" w:hAnsiTheme="minorHAnsi"/>
          <w:color w:val="000000"/>
          <w:sz w:val="22"/>
          <w:szCs w:val="22"/>
          <w:u w:val="single"/>
          <w:lang w:val="en-US" w:eastAsia="zh-CN"/>
        </w:rPr>
        <w:t>Kaito Yos</w:t>
      </w:r>
      <w:r w:rsidR="00EF4D70">
        <w:rPr>
          <w:rFonts w:asciiTheme="minorHAnsi" w:eastAsiaTheme="minorEastAsia" w:hAnsiTheme="minorHAnsi" w:hint="eastAsia"/>
          <w:color w:val="000000"/>
          <w:sz w:val="22"/>
          <w:szCs w:val="22"/>
          <w:u w:val="single"/>
          <w:lang w:val="en-US" w:eastAsia="ja-JP"/>
        </w:rPr>
        <w:t>h</w:t>
      </w:r>
      <w:r w:rsidRPr="0044104F">
        <w:rPr>
          <w:rFonts w:asciiTheme="minorHAnsi" w:eastAsia="SimSun" w:hAnsiTheme="minorHAnsi"/>
          <w:color w:val="000000"/>
          <w:sz w:val="22"/>
          <w:szCs w:val="22"/>
          <w:u w:val="single"/>
          <w:lang w:val="en-US" w:eastAsia="zh-CN"/>
        </w:rPr>
        <w:t>ida</w:t>
      </w:r>
      <w:r w:rsidR="00704BDF" w:rsidRPr="0044104F">
        <w:rPr>
          <w:rFonts w:asciiTheme="minorHAnsi" w:eastAsia="SimSun" w:hAnsiTheme="minorHAnsi"/>
          <w:color w:val="000000"/>
          <w:sz w:val="22"/>
          <w:szCs w:val="22"/>
          <w:u w:val="single"/>
          <w:vertAlign w:val="superscript"/>
          <w:lang w:val="en-US" w:eastAsia="zh-CN"/>
        </w:rPr>
        <w:t>1</w:t>
      </w:r>
      <w:r w:rsidRPr="0044104F"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>, Keita Kashima</w:t>
      </w:r>
      <w:r w:rsidR="0044104F" w:rsidRPr="0044104F">
        <w:rPr>
          <w:rFonts w:asciiTheme="minorHAnsi" w:eastAsia="SimSun" w:hAnsiTheme="minorHAnsi"/>
          <w:color w:val="000000"/>
          <w:sz w:val="22"/>
          <w:szCs w:val="22"/>
          <w:vertAlign w:val="superscript"/>
          <w:lang w:val="en-US" w:eastAsia="zh-CN"/>
        </w:rPr>
        <w:t>1</w:t>
      </w:r>
      <w:r w:rsidR="0044104F" w:rsidRPr="0044104F">
        <w:rPr>
          <w:rFonts w:asciiTheme="minorHAnsi" w:eastAsiaTheme="minorEastAsia" w:hAnsiTheme="minorHAnsi"/>
          <w:color w:val="000000"/>
          <w:sz w:val="22"/>
          <w:szCs w:val="22"/>
          <w:vertAlign w:val="superscript"/>
          <w:lang w:val="en-US" w:eastAsia="ja-JP"/>
        </w:rPr>
        <w:t>†</w:t>
      </w:r>
      <w:r w:rsidRPr="0044104F"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, </w:t>
      </w:r>
      <w:r w:rsidRPr="0044104F">
        <w:rPr>
          <w:rFonts w:asciiTheme="minorHAnsi" w:eastAsia="SimSun" w:hAnsiTheme="minorHAnsi" w:cstheme="minorHAnsi"/>
          <w:color w:val="000000"/>
          <w:sz w:val="22"/>
          <w:szCs w:val="22"/>
          <w:lang w:val="en-US" w:eastAsia="zh-CN"/>
        </w:rPr>
        <w:t>Masanao Imai</w:t>
      </w:r>
      <w:r w:rsidR="0044104F" w:rsidRPr="0044104F">
        <w:rPr>
          <w:rFonts w:asciiTheme="minorHAnsi" w:eastAsia="SimSun" w:hAnsiTheme="minorHAnsi" w:cstheme="minorHAnsi"/>
          <w:color w:val="000000"/>
          <w:sz w:val="22"/>
          <w:szCs w:val="22"/>
          <w:vertAlign w:val="superscript"/>
          <w:lang w:val="en-US" w:eastAsia="zh-CN"/>
        </w:rPr>
        <w:t>2</w:t>
      </w:r>
      <w:r w:rsidR="00DE0019" w:rsidRPr="0044104F">
        <w:rPr>
          <w:rFonts w:asciiTheme="minorHAnsi" w:eastAsia="SimSun" w:hAnsiTheme="minorHAnsi"/>
          <w:color w:val="000000"/>
          <w:sz w:val="22"/>
          <w:szCs w:val="22"/>
          <w:lang w:val="en-US" w:eastAsia="zh-CN"/>
        </w:rPr>
        <w:t xml:space="preserve"> </w:t>
      </w:r>
    </w:p>
    <w:p w:rsidR="00462E52" w:rsidRDefault="00020712" w:rsidP="0002071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 w:eastAsia="ja-JP"/>
        </w:rPr>
      </w:pPr>
      <w:r w:rsidRPr="0022637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 Department of Materials Chemistry and Bioengineering, National Institute of Technology, Oyama College, 771 Nakakuki, Oyama, Tochigi, 323-0806, Japan;</w:t>
      </w:r>
    </w:p>
    <w:p w:rsidR="00704BDF" w:rsidRPr="00DE0019" w:rsidRDefault="0044104F" w:rsidP="0044104F">
      <w:pPr>
        <w:tabs>
          <w:tab w:val="clear" w:pos="7100"/>
        </w:tabs>
        <w:snapToGrid w:val="0"/>
        <w:spacing w:after="120"/>
        <w:ind w:leftChars="945" w:left="2159" w:rightChars="865" w:right="1557" w:hangingChars="229" w:hanging="458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462E5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Graduate School of Bioresource Sciences, Nihon University,</w:t>
      </w:r>
      <w:r>
        <w:rPr>
          <w:rFonts w:asciiTheme="minorHAnsi" w:eastAsia="MS PGothic" w:hAnsiTheme="minorHAnsi" w:hint="eastAsia"/>
          <w:i/>
          <w:iCs/>
          <w:color w:val="000000"/>
          <w:sz w:val="20"/>
          <w:lang w:val="en-US" w:eastAsia="ja-JP"/>
        </w:rPr>
        <w:t xml:space="preserve"> </w:t>
      </w:r>
      <w:r w:rsidR="00F97FEC">
        <w:rPr>
          <w:rFonts w:asciiTheme="minorHAnsi" w:eastAsia="MS PGothic" w:hAnsiTheme="minorHAnsi" w:hint="eastAsia"/>
          <w:i/>
          <w:iCs/>
          <w:color w:val="000000"/>
          <w:sz w:val="20"/>
          <w:lang w:val="en-US" w:eastAsia="ja-JP"/>
        </w:rPr>
        <w:t xml:space="preserve">     </w:t>
      </w:r>
      <w:r w:rsidR="00F97FE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1866 Kameino, Fujisawa, Kanagawa</w:t>
      </w:r>
      <w:r w:rsidR="00F97FEC">
        <w:rPr>
          <w:rFonts w:asciiTheme="minorHAnsi" w:eastAsia="MS PGothic" w:hAnsiTheme="minorHAnsi" w:hint="eastAsia"/>
          <w:i/>
          <w:iCs/>
          <w:color w:val="000000"/>
          <w:sz w:val="20"/>
          <w:lang w:val="en-US" w:eastAsia="ja-JP"/>
        </w:rPr>
        <w:t xml:space="preserve">, </w:t>
      </w:r>
      <w:r w:rsidR="00462E5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252-0880, Japan</w:t>
      </w:r>
    </w:p>
    <w:p w:rsidR="00704BDF" w:rsidRPr="00B802C1" w:rsidRDefault="00020712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B802C1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Corresponding author</w:t>
      </w:r>
      <w:r w:rsidR="00462E52" w:rsidRPr="00B802C1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: </w:t>
      </w:r>
      <w:r w:rsidRPr="00B802C1">
        <w:rPr>
          <w:rFonts w:asciiTheme="minorHAnsi" w:eastAsia="MS PGothic" w:hAnsiTheme="minorHAnsi"/>
          <w:bCs/>
          <w:i/>
          <w:iCs/>
          <w:sz w:val="20"/>
          <w:vertAlign w:val="superscript"/>
          <w:lang w:val="en-US"/>
        </w:rPr>
        <w:t>†</w:t>
      </w:r>
      <w:r w:rsidRPr="00B802C1">
        <w:rPr>
          <w:rFonts w:asciiTheme="minorHAnsi" w:eastAsia="MS PGothic" w:hAnsiTheme="minorHAnsi"/>
          <w:bCs/>
          <w:i/>
          <w:iCs/>
          <w:sz w:val="20"/>
          <w:lang w:val="en-US" w:eastAsia="ja-JP"/>
        </w:rPr>
        <w:t xml:space="preserve"> </w:t>
      </w:r>
      <w:hyperlink r:id="rId14" w:history="1">
        <w:r w:rsidRPr="00B802C1">
          <w:rPr>
            <w:rStyle w:val="Collegamentoipertestuale"/>
            <w:rFonts w:asciiTheme="minorHAnsi" w:eastAsia="MS PGothic" w:hAnsiTheme="minorHAnsi"/>
            <w:bCs/>
            <w:i/>
            <w:iCs/>
            <w:sz w:val="20"/>
            <w:lang w:val="en-US"/>
          </w:rPr>
          <w:t>keitakashima@oyama-ct.ac.jp</w:t>
        </w:r>
      </w:hyperlink>
    </w:p>
    <w:p w:rsidR="00704BDF" w:rsidRPr="00EC66CC" w:rsidRDefault="00704BDF" w:rsidP="001729C7">
      <w:pPr>
        <w:pStyle w:val="AbstractHeading"/>
        <w:tabs>
          <w:tab w:val="left" w:pos="3547"/>
          <w:tab w:val="center" w:pos="4694"/>
        </w:tabs>
        <w:spacing w:before="12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352A66" w:rsidP="001729C7">
      <w:pPr>
        <w:pStyle w:val="AbstractBody"/>
        <w:numPr>
          <w:ilvl w:val="0"/>
          <w:numId w:val="16"/>
        </w:numPr>
        <w:ind w:left="1134" w:right="140" w:hanging="283"/>
        <w:rPr>
          <w:rFonts w:asciiTheme="minorHAnsi" w:hAnsiTheme="minorHAnsi"/>
        </w:rPr>
      </w:pPr>
      <w:r>
        <w:rPr>
          <w:rFonts w:asciiTheme="minorHAnsi" w:hAnsiTheme="minorHAnsi"/>
        </w:rPr>
        <w:t>Calcium alginate membrane for mono/oligosaccharide separation was successfully prepared.</w:t>
      </w:r>
    </w:p>
    <w:p w:rsidR="00716FFC" w:rsidRPr="00716FFC" w:rsidRDefault="005306AC" w:rsidP="001729C7">
      <w:pPr>
        <w:pStyle w:val="AbstractBody"/>
        <w:numPr>
          <w:ilvl w:val="0"/>
          <w:numId w:val="16"/>
        </w:numPr>
        <w:ind w:left="1134" w:right="140" w:hanging="283"/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>
        <w:rPr>
          <w:rFonts w:asciiTheme="minorHAnsi" w:eastAsiaTheme="minorEastAsia" w:hAnsiTheme="minorHAnsi" w:hint="eastAsia"/>
          <w:lang w:eastAsia="ja-JP"/>
        </w:rPr>
        <w:t xml:space="preserve"> </w:t>
      </w:r>
      <w:r w:rsidR="001729C7">
        <w:rPr>
          <w:rFonts w:asciiTheme="minorHAnsi" w:hAnsiTheme="minorHAnsi"/>
        </w:rPr>
        <w:t xml:space="preserve">structure of </w:t>
      </w:r>
      <w:r w:rsidR="00352A66">
        <w:rPr>
          <w:rFonts w:asciiTheme="minorHAnsi" w:hAnsiTheme="minorHAnsi"/>
        </w:rPr>
        <w:t>membrane was modified using polyethylene glycol</w:t>
      </w:r>
      <w:r>
        <w:rPr>
          <w:rFonts w:asciiTheme="minorHAnsi" w:eastAsiaTheme="minorEastAsia" w:hAnsiTheme="minorHAnsi" w:hint="eastAsia"/>
          <w:lang w:eastAsia="ja-JP"/>
        </w:rPr>
        <w:t xml:space="preserve"> in low-molecular-weight</w:t>
      </w:r>
      <w:r w:rsidR="00716FFC">
        <w:rPr>
          <w:rFonts w:asciiTheme="minorHAnsi" w:hAnsiTheme="minorHAnsi"/>
        </w:rPr>
        <w:t>.</w:t>
      </w:r>
    </w:p>
    <w:p w:rsidR="00704BDF" w:rsidRPr="00EC66CC" w:rsidRDefault="00716FFC" w:rsidP="005306AC">
      <w:pPr>
        <w:pStyle w:val="AbstractBody"/>
        <w:numPr>
          <w:ilvl w:val="0"/>
          <w:numId w:val="16"/>
        </w:numPr>
        <w:spacing w:afterLines="100" w:after="240"/>
        <w:ind w:left="1135" w:right="142" w:hanging="284"/>
        <w:rPr>
          <w:rFonts w:asciiTheme="minorHAnsi" w:hAnsiTheme="minorHAnsi"/>
        </w:rPr>
      </w:pPr>
      <w:r w:rsidRPr="00716FFC">
        <w:rPr>
          <w:rFonts w:asciiTheme="minorHAnsi" w:hAnsiTheme="minorHAnsi"/>
        </w:rPr>
        <w:t>Improvement of water permeability</w:t>
      </w:r>
      <w:r w:rsidR="001729C7">
        <w:rPr>
          <w:rFonts w:asciiTheme="minorHAnsi" w:hAnsiTheme="minorHAnsi"/>
        </w:rPr>
        <w:t xml:space="preserve"> and </w:t>
      </w:r>
      <w:r w:rsidR="00CC719D" w:rsidRPr="00CC719D">
        <w:rPr>
          <w:rFonts w:asciiTheme="minorHAnsi" w:hAnsiTheme="minorHAnsi"/>
        </w:rPr>
        <w:t>sustention</w:t>
      </w:r>
      <w:r w:rsidR="00CC719D">
        <w:rPr>
          <w:rFonts w:asciiTheme="minorHAnsi" w:eastAsiaTheme="minorEastAsia" w:hAnsiTheme="minorHAnsi" w:hint="eastAsia"/>
          <w:lang w:eastAsia="ja-JP"/>
        </w:rPr>
        <w:t xml:space="preserve"> of</w:t>
      </w:r>
      <w:r w:rsidR="001729C7">
        <w:rPr>
          <w:rFonts w:asciiTheme="minorHAnsi" w:hAnsiTheme="minorHAnsi"/>
        </w:rPr>
        <w:t xml:space="preserve"> </w:t>
      </w:r>
      <w:r w:rsidR="00CC719D">
        <w:rPr>
          <w:rFonts w:asciiTheme="minorHAnsi" w:eastAsiaTheme="minorEastAsia" w:hAnsiTheme="minorHAnsi" w:hint="eastAsia"/>
          <w:lang w:eastAsia="ja-JP"/>
        </w:rPr>
        <w:t xml:space="preserve">glucose </w:t>
      </w:r>
      <w:r w:rsidR="001729C7">
        <w:rPr>
          <w:rFonts w:asciiTheme="minorHAnsi" w:hAnsiTheme="minorHAnsi"/>
        </w:rPr>
        <w:t>rejection were achieved.</w:t>
      </w:r>
    </w:p>
    <w:p w:rsidR="0044104F" w:rsidRPr="0044104F" w:rsidRDefault="00704BDF" w:rsidP="005306AC">
      <w:pPr>
        <w:pStyle w:val="PreformattatoHTML"/>
        <w:numPr>
          <w:ilvl w:val="0"/>
          <w:numId w:val="20"/>
        </w:numPr>
        <w:shd w:val="clear" w:color="auto" w:fill="FFFFFF"/>
        <w:spacing w:afterLines="50" w:after="120"/>
        <w:ind w:left="357" w:hanging="357"/>
        <w:rPr>
          <w:rFonts w:ascii="inherit" w:eastAsia="MS Gothic" w:hAnsi="inherit" w:cs="MS Gothic" w:hint="eastAsia"/>
          <w:color w:val="212121"/>
          <w:sz w:val="24"/>
          <w:szCs w:val="24"/>
          <w:lang w:val="en-US" w:eastAsia="ja-JP"/>
        </w:rPr>
      </w:pPr>
      <w:r w:rsidRPr="006474A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Introduction</w:t>
      </w:r>
    </w:p>
    <w:p w:rsidR="00006823" w:rsidRPr="00797860" w:rsidRDefault="00F33EE2" w:rsidP="00797860">
      <w:pPr>
        <w:pStyle w:val="PreformattatoHTML"/>
        <w:shd w:val="clear" w:color="auto" w:fill="FFFFFF"/>
        <w:ind w:firstLineChars="150" w:firstLine="330"/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High-yield</w:t>
      </w:r>
      <w:r w:rsidR="00673DF8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 purification of monosaccharide and </w:t>
      </w:r>
      <w:r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oligosaccharide is </w:t>
      </w:r>
      <w:r w:rsidR="00673DF8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still </w:t>
      </w:r>
      <w:r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demanded for advanced</w:t>
      </w:r>
      <w:r w:rsidRPr="00F33EE2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 research</w:t>
      </w:r>
      <w:r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 in biological chemistry and bioengineering.</w:t>
      </w:r>
      <w:r w:rsidR="0044104F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Separation me</w:t>
      </w:r>
      <w:r w:rsidR="00F1139C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mbrane from calcium alginate </w:t>
      </w:r>
      <w:r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known</w:t>
      </w:r>
      <w:r w:rsidR="00F1139C">
        <w:rPr>
          <w:rFonts w:asciiTheme="minorHAnsi" w:eastAsiaTheme="minorEastAsia" w:hAnsiTheme="minorHAnsi" w:cstheme="minorHAnsi" w:hint="eastAsia"/>
          <w:color w:val="212121"/>
          <w:sz w:val="22"/>
          <w:shd w:val="clear" w:color="auto" w:fill="FFFFFF"/>
          <w:lang w:val="en-US" w:eastAsia="ja-JP"/>
        </w:rPr>
        <w:t xml:space="preserve"> as</w:t>
      </w:r>
      <w:r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 </w:t>
      </w:r>
      <w:r w:rsidR="00F449EF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biopolymer </w:t>
      </w:r>
      <w:r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has promising ability for </w:t>
      </w:r>
      <w:r w:rsidR="00F449EF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molecular-size-screening of </w:t>
      </w:r>
      <w:r w:rsidR="00673DF8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monosaccharide and </w:t>
      </w:r>
      <w:r w:rsidR="00F449EF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oligosaccharide. </w:t>
      </w:r>
      <w:r w:rsidR="00F449EF" w:rsidRPr="00797860">
        <w:rPr>
          <w:rFonts w:asciiTheme="minorHAnsi" w:hAnsiTheme="minorHAnsi" w:cstheme="minorHAnsi"/>
          <w:color w:val="212121"/>
          <w:sz w:val="22"/>
          <w:shd w:val="clear" w:color="auto" w:fill="FFFFFF"/>
          <w:vertAlign w:val="superscript"/>
          <w:lang w:val="en-US"/>
        </w:rPr>
        <w:t>[1</w:t>
      </w:r>
      <w:r w:rsidR="00797860" w:rsidRPr="00797860">
        <w:rPr>
          <w:rFonts w:asciiTheme="minorHAnsi" w:hAnsiTheme="minorHAnsi" w:cstheme="minorHAnsi"/>
          <w:color w:val="212121"/>
          <w:sz w:val="22"/>
          <w:shd w:val="clear" w:color="auto" w:fill="FFFFFF"/>
          <w:vertAlign w:val="superscript"/>
          <w:lang w:val="en-US"/>
        </w:rPr>
        <w:t>-2</w:t>
      </w:r>
      <w:r w:rsidR="00F449EF" w:rsidRPr="00797860">
        <w:rPr>
          <w:rFonts w:asciiTheme="minorHAnsi" w:hAnsiTheme="minorHAnsi" w:cstheme="minorHAnsi"/>
          <w:color w:val="212121"/>
          <w:sz w:val="22"/>
          <w:shd w:val="clear" w:color="auto" w:fill="FFFFFF"/>
          <w:vertAlign w:val="superscript"/>
          <w:lang w:val="en-US"/>
        </w:rPr>
        <w:t>]</w:t>
      </w:r>
      <w:r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 </w:t>
      </w:r>
      <w:r w:rsidR="00673DF8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This study demonstrates </w:t>
      </w:r>
      <w:r w:rsidR="00F02E8C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nano-structural modification of calcium alginate membrane u</w:t>
      </w:r>
      <w:r w:rsidR="00352A66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sing polyethylene glycol in low-</w:t>
      </w:r>
      <w:r w:rsidR="00F02E8C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molec</w:t>
      </w:r>
      <w:r w:rsidR="00352A66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ular-</w:t>
      </w:r>
      <w:r w:rsidR="00F02E8C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weight (</w:t>
      </w:r>
      <w:r w:rsidR="009F2D9C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PEG, </w:t>
      </w:r>
      <w:r w:rsidR="00F02E8C" w:rsidRPr="009F2D9C">
        <w:rPr>
          <w:rFonts w:asciiTheme="minorHAnsi" w:hAnsiTheme="minorHAnsi" w:cstheme="minorHAnsi"/>
          <w:i/>
          <w:color w:val="212121"/>
          <w:sz w:val="22"/>
          <w:shd w:val="clear" w:color="auto" w:fill="FFFFFF"/>
          <w:lang w:val="en-US"/>
        </w:rPr>
        <w:t>M</w:t>
      </w:r>
      <w:r w:rsidR="00F02E8C" w:rsidRPr="009F2D9C">
        <w:rPr>
          <w:rFonts w:asciiTheme="minorHAnsi" w:hAnsiTheme="minorHAnsi" w:cstheme="minorHAnsi"/>
          <w:i/>
          <w:color w:val="212121"/>
          <w:sz w:val="22"/>
          <w:shd w:val="clear" w:color="auto" w:fill="FFFFFF"/>
          <w:vertAlign w:val="subscript"/>
          <w:lang w:val="en-US"/>
        </w:rPr>
        <w:t>n</w:t>
      </w:r>
      <w:r w:rsidR="009F2D9C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 = 200 Da</w:t>
      </w:r>
      <w:r w:rsidR="00F02E8C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)</w:t>
      </w:r>
      <w:r w:rsidR="00F1139C">
        <w:rPr>
          <w:rFonts w:asciiTheme="minorHAnsi" w:eastAsiaTheme="minorEastAsia" w:hAnsiTheme="minorHAnsi" w:cstheme="minorHAnsi" w:hint="eastAsia"/>
          <w:color w:val="212121"/>
          <w:sz w:val="22"/>
          <w:shd w:val="clear" w:color="auto" w:fill="FFFFFF"/>
          <w:lang w:val="en-US" w:eastAsia="ja-JP"/>
        </w:rPr>
        <w:t xml:space="preserve"> </w:t>
      </w:r>
      <w:r w:rsidR="00F1139C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>for high-performance separation of mono/oligosaccharide</w:t>
      </w:r>
      <w:r w:rsidR="00F02E8C">
        <w:rPr>
          <w:rFonts w:asciiTheme="minorHAnsi" w:hAnsiTheme="minorHAnsi" w:cstheme="minorHAnsi"/>
          <w:color w:val="212121"/>
          <w:sz w:val="22"/>
          <w:shd w:val="clear" w:color="auto" w:fill="FFFFFF"/>
          <w:lang w:val="en-US"/>
        </w:rPr>
        <w:t xml:space="preserve">. </w:t>
      </w:r>
    </w:p>
    <w:p w:rsidR="0008113D" w:rsidRPr="00B728B3" w:rsidRDefault="00704BDF" w:rsidP="005306AC">
      <w:pPr>
        <w:pStyle w:val="Paragrafoelenco"/>
        <w:numPr>
          <w:ilvl w:val="0"/>
          <w:numId w:val="20"/>
        </w:numPr>
        <w:snapToGrid w:val="0"/>
        <w:spacing w:beforeLines="50" w:before="120" w:afterLines="50" w:after="120"/>
        <w:ind w:leftChars="0" w:left="357" w:hanging="357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B728B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Methods</w:t>
      </w:r>
    </w:p>
    <w:p w:rsidR="00704BDF" w:rsidRDefault="0008113D" w:rsidP="001729C7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2.1 </w:t>
      </w:r>
      <w:r w:rsidR="0031520D" w:rsidRPr="0031520D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Preparation of</w:t>
      </w:r>
      <w:r w:rsidR="00A6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31520D" w:rsidRPr="003152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calcium alginate membrane</w:t>
      </w:r>
    </w:p>
    <w:p w:rsidR="00E174EB" w:rsidRDefault="00A62348" w:rsidP="001729C7">
      <w:pPr>
        <w:snapToGrid w:val="0"/>
        <w:spacing w:after="120" w:line="240" w:lineRule="auto"/>
        <w:ind w:firstLineChars="150" w:firstLine="33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Pr="00A6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mixed 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olution of 10 g L</w:t>
      </w:r>
      <w:r w:rsidRPr="00A6234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A6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sodium alginate and 0 to 13 g L</w:t>
      </w:r>
      <w:r w:rsidRPr="00A6234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A6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2D9C">
        <w:rPr>
          <w:rFonts w:asciiTheme="minorHAnsi" w:eastAsia="MS PGothic" w:hAnsiTheme="minorHAnsi"/>
          <w:color w:val="000000"/>
          <w:sz w:val="22"/>
          <w:szCs w:val="22"/>
          <w:lang w:val="en-US"/>
        </w:rPr>
        <w:t>PEG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placed in</w:t>
      </w:r>
      <w:r w:rsidRPr="00A6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petri dish (</w:t>
      </w:r>
      <w:r w:rsidRPr="00FC1F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φ </w:t>
      </w:r>
      <w:r w:rsidRPr="00A6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>90 mm)</w:t>
      </w:r>
      <w:r w:rsidR="006400C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was dried at 303 K for 48 h</w:t>
      </w:r>
      <w:r w:rsidRPr="00A6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400C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Pr="00A6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ele</w:t>
      </w:r>
      <w:r w:rsidR="006400C9">
        <w:rPr>
          <w:rFonts w:asciiTheme="minorHAnsi" w:eastAsia="MS PGothic" w:hAnsiTheme="minorHAnsi"/>
          <w:color w:val="000000"/>
          <w:sz w:val="22"/>
          <w:szCs w:val="22"/>
          <w:lang w:val="en-US"/>
        </w:rPr>
        <w:t>ctrical drying machine</w:t>
      </w:r>
      <w:r w:rsidR="004846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F2D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dried membrane was immersed in </w:t>
      </w:r>
      <w:r w:rsidR="00821A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20 mL of </w:t>
      </w:r>
      <w:r w:rsidR="009F2D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 </w:t>
      </w:r>
      <w:r w:rsidR="00821A8F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9F2D9C" w:rsidRPr="00A623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2D9C">
        <w:rPr>
          <w:rFonts w:asciiTheme="minorHAnsi" w:eastAsia="MS PGothic" w:hAnsiTheme="minorHAnsi"/>
          <w:color w:val="000000"/>
          <w:sz w:val="22"/>
          <w:szCs w:val="22"/>
          <w:lang w:val="en-US"/>
        </w:rPr>
        <w:t>aqueous calcium chloride solution</w:t>
      </w:r>
      <w:r w:rsidR="00821A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2D9C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cross-link alginate polymer for 40 min. The formed calcium alginate membrane was washed to remove PEG with 100 mL of deionized water at 333 K for 30 min repeated twice within a shaking bath.</w:t>
      </w:r>
    </w:p>
    <w:p w:rsidR="00E174EB" w:rsidRDefault="00E174EB" w:rsidP="001729C7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2.2 </w:t>
      </w:r>
      <w:r w:rsidR="00243965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p</w:t>
      </w:r>
      <w:r w:rsidR="00FC1FE5" w:rsidRPr="00FC1FE5">
        <w:rPr>
          <w:rFonts w:asciiTheme="minorHAnsi" w:eastAsia="MS PGothic" w:hAnsiTheme="minorHAnsi"/>
          <w:color w:val="000000"/>
          <w:sz w:val="22"/>
          <w:szCs w:val="22"/>
          <w:lang w:val="en-US"/>
        </w:rPr>
        <w:t>ermeation of aqueous solution of glucose</w:t>
      </w:r>
    </w:p>
    <w:p w:rsidR="00243965" w:rsidRDefault="00FC1FE5" w:rsidP="001729C7">
      <w:pPr>
        <w:snapToGrid w:val="0"/>
        <w:spacing w:line="240" w:lineRule="auto"/>
        <w:ind w:firstLineChars="150" w:firstLine="330"/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</w:pPr>
      <w:r w:rsidRPr="00FC1F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21A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prepared </w:t>
      </w:r>
      <w:r w:rsidRPr="00FC1FE5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</w:t>
      </w:r>
      <w:r w:rsidR="00F113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 was installed in a </w:t>
      </w:r>
      <w:r w:rsidR="00243965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holder (KST-90-</w:t>
      </w:r>
      <w:r w:rsidRPr="00FC1FE5">
        <w:rPr>
          <w:rFonts w:asciiTheme="minorHAnsi" w:eastAsia="MS PGothic" w:hAnsiTheme="minorHAnsi"/>
          <w:color w:val="000000"/>
          <w:sz w:val="22"/>
          <w:szCs w:val="22"/>
          <w:lang w:val="en-US"/>
        </w:rPr>
        <w:t>UH, ADVANT</w:t>
      </w:r>
      <w:r w:rsidR="00821A8F">
        <w:rPr>
          <w:rFonts w:asciiTheme="minorHAnsi" w:eastAsia="MS PGothic" w:hAnsiTheme="minorHAnsi"/>
          <w:color w:val="000000"/>
          <w:sz w:val="22"/>
          <w:szCs w:val="22"/>
          <w:lang w:val="en-US"/>
        </w:rPr>
        <w:t>EC). 10 mM</w:t>
      </w:r>
      <w:r w:rsidR="00AE787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Pr="00FC1F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glucose aqueous solution was </w:t>
      </w:r>
      <w:r w:rsidR="00821A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permeated </w:t>
      </w:r>
      <w:r w:rsidR="00101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821A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membrane </w:t>
      </w:r>
      <w:r w:rsidR="0010166B" w:rsidRPr="00FC1FE5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an operating pressure of 300 kPa using nitrogen gas.</w:t>
      </w:r>
      <w:r w:rsidR="00101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mass of glucose solution permeated through the membrane was measured by electrical balance</w:t>
      </w:r>
      <w:r w:rsidR="002439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was converted to permeated volume using density</w:t>
      </w:r>
      <w:r w:rsidR="00101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43965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T</w:t>
      </w:r>
      <w:r w:rsidR="00243965" w:rsidRPr="00AC12F2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he </w:t>
      </w:r>
      <w:r w:rsidR="00243965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volumetric </w:t>
      </w:r>
      <w:r w:rsidR="00243965" w:rsidRPr="00AC12F2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permeation flux</w:t>
      </w:r>
      <w:r w:rsidR="00243965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,</w:t>
      </w:r>
      <w:r w:rsidR="00243965" w:rsidRPr="00AC12F2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</w:t>
      </w:r>
      <w:r w:rsidR="00243965" w:rsidRPr="00243965">
        <w:rPr>
          <w:rFonts w:asciiTheme="minorHAnsi" w:eastAsia="MS PGothic" w:hAnsiTheme="minorHAnsi"/>
          <w:i/>
          <w:color w:val="000000"/>
          <w:sz w:val="22"/>
          <w:szCs w:val="22"/>
          <w:lang w:eastAsia="ja-JP"/>
        </w:rPr>
        <w:t>J</w:t>
      </w:r>
      <w:r w:rsidR="00243965" w:rsidRPr="00243965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eastAsia="ja-JP"/>
        </w:rPr>
        <w:t>V</w:t>
      </w:r>
      <w:r w:rsidR="00243965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[m³ · m⁻² · s⁻¹</w:t>
      </w:r>
      <w:r w:rsidR="00243965" w:rsidRPr="00AC12F2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]</w:t>
      </w:r>
      <w:r w:rsidR="00243965">
        <w:rPr>
          <w:rFonts w:asciiTheme="minorHAnsi" w:eastAsia="MS PGothic" w:hAnsiTheme="minorHAnsi" w:hint="eastAsia"/>
          <w:color w:val="000000"/>
          <w:sz w:val="22"/>
          <w:szCs w:val="22"/>
          <w:lang w:eastAsia="ja-JP"/>
        </w:rPr>
        <w:t xml:space="preserve"> </w:t>
      </w:r>
      <w:r w:rsidR="00243965" w:rsidRPr="00AC12F2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was de</w:t>
      </w:r>
      <w:r w:rsidR="00243965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termined using the following equation (1).</w:t>
      </w:r>
    </w:p>
    <w:p w:rsidR="00243965" w:rsidRPr="00AC12F2" w:rsidRDefault="0088447C" w:rsidP="005306AC">
      <w:pPr>
        <w:snapToGrid w:val="0"/>
        <w:spacing w:beforeLines="50" w:before="120" w:afterLines="50"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</w:pPr>
      <m:oMathPara>
        <m:oMath>
          <m:sSub>
            <m:sSubPr>
              <m:ctrlP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 w:eastAsia="ja-JP"/>
                </w:rPr>
              </m:ctrlPr>
            </m:sSub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 w:eastAsia="ja-JP"/>
                </w:rPr>
                <m:t>J</m:t>
              </m:r>
            </m:e>
            <m: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 w:eastAsia="ja-JP"/>
                </w:rPr>
                <m:t>v</m:t>
              </m:r>
            </m:sub>
          </m:sSub>
          <m:r>
            <w:rPr>
              <w:rFonts w:ascii="Cambria Math" w:eastAsia="MS PGothic" w:hAnsi="Cambria Math"/>
              <w:color w:val="000000"/>
              <w:sz w:val="22"/>
              <w:szCs w:val="22"/>
              <w:lang w:val="en-US" w:eastAsia="ja-JP"/>
            </w:rPr>
            <m:t>=</m:t>
          </m:r>
          <m:f>
            <m:f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  <w:lang w:val="en-US" w:eastAsia="ja-JP"/>
                </w:rPr>
              </m:ctrlPr>
            </m:fPr>
            <m:num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 w:eastAsia="ja-JP"/>
                </w:rPr>
                <m:t>V</m:t>
              </m:r>
            </m:num>
            <m:den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n-US" w:eastAsia="ja-JP"/>
                </w:rPr>
                <m:t>At</m:t>
              </m:r>
            </m:den>
          </m:f>
          <m:r>
            <w:rPr>
              <w:rFonts w:ascii="Cambria Math" w:eastAsia="MS PGothic" w:hAnsi="Cambria Math"/>
              <w:color w:val="000000"/>
              <w:sz w:val="22"/>
              <w:szCs w:val="22"/>
              <w:lang w:val="en-US" w:eastAsia="ja-JP"/>
            </w:rPr>
            <m:t xml:space="preserve">          (1)</m:t>
          </m:r>
        </m:oMath>
      </m:oMathPara>
    </w:p>
    <w:p w:rsidR="00006823" w:rsidRPr="001729C7" w:rsidRDefault="00243965" w:rsidP="00F97FEC">
      <w:pPr>
        <w:tabs>
          <w:tab w:val="left" w:pos="4395"/>
        </w:tabs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W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here, </w:t>
      </w:r>
      <w:r w:rsidRPr="00243965">
        <w:rPr>
          <w:rFonts w:asciiTheme="minorHAnsi" w:eastAsia="MS PGothic" w:hAnsiTheme="minorHAnsi"/>
          <w:i/>
          <w:color w:val="000000"/>
          <w:sz w:val="22"/>
          <w:szCs w:val="22"/>
          <w:lang w:eastAsia="ja-JP"/>
        </w:rPr>
        <w:t>V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, </w:t>
      </w:r>
      <w:r w:rsidRPr="00243965">
        <w:rPr>
          <w:rFonts w:asciiTheme="minorHAnsi" w:eastAsia="MS PGothic" w:hAnsiTheme="minorHAnsi"/>
          <w:i/>
          <w:color w:val="000000"/>
          <w:sz w:val="22"/>
          <w:szCs w:val="22"/>
          <w:lang w:eastAsia="ja-JP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, and </w:t>
      </w:r>
      <w:r w:rsidRPr="00243965">
        <w:rPr>
          <w:rFonts w:asciiTheme="minorHAnsi" w:eastAsia="MS PGothic" w:hAnsiTheme="minorHAnsi"/>
          <w:i/>
          <w:color w:val="000000"/>
          <w:sz w:val="22"/>
          <w:szCs w:val="22"/>
          <w:lang w:eastAsia="ja-JP"/>
        </w:rPr>
        <w:t>t</w:t>
      </w:r>
      <w:r w:rsidRPr="00AC12F2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are the volume of permeated solution [m³], 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permeation area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</w:t>
      </w:r>
      <w:r w:rsidRPr="00AC12F2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[m²]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(A = 0.00453 m²)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,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and permeation </w:t>
      </w:r>
      <w:r w:rsidRPr="00AC12F2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time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[s], respectively</w:t>
      </w:r>
      <w:r w:rsidRPr="00AC12F2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.</w:t>
      </w:r>
      <w:r w:rsidR="00006823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In addition, 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101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concentration of permeated gluco</w:t>
      </w:r>
      <w:r w:rsidR="00F113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 </w:t>
      </w:r>
      <w:r w:rsidR="00F1139C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solution was quantified </w:t>
      </w:r>
      <w:r w:rsidR="00F1139C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>through a</w:t>
      </w:r>
      <w:r w:rsidR="00101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mutarotase-glucose oxidase method with UV-Visible spectrophotometer (</w:t>
      </w:r>
      <w:r w:rsidRPr="00243965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λ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= </w:t>
      </w:r>
      <w:r w:rsidR="00101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505 nm).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006823" w:rsidRPr="00C9146D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he rejection of glucose molecules 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(R [-]) </w:t>
      </w:r>
      <w:r w:rsidR="00006823" w:rsidRPr="00C9146D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by the calcium alginate membrane was 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evaluated</w:t>
      </w:r>
      <w:r w:rsidR="00006823" w:rsidRPr="00C9146D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from the equation (2)</w:t>
      </w:r>
      <w:r w:rsidR="00006823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.</w:t>
      </w:r>
    </w:p>
    <w:p w:rsidR="00006823" w:rsidRDefault="00006823" w:rsidP="005306AC">
      <w:pPr>
        <w:snapToGrid w:val="0"/>
        <w:spacing w:beforeLines="50" w:before="120" w:afterLines="50" w:after="120" w:line="300" w:lineRule="auto"/>
        <w:rPr>
          <w:rFonts w:asciiTheme="minorHAnsi" w:eastAsia="MS PGothic" w:hAnsiTheme="minorHAnsi"/>
          <w:color w:val="000000"/>
          <w:sz w:val="22"/>
          <w:szCs w:val="22"/>
          <w:lang w:eastAsia="ja-JP"/>
        </w:rPr>
      </w:pPr>
      <m:oMathPara>
        <m:oMath>
          <m:r>
            <w:rPr>
              <w:rFonts w:ascii="Cambria Math" w:eastAsia="MS PGothic" w:hAnsi="Cambria Math"/>
              <w:color w:val="000000"/>
              <w:sz w:val="22"/>
              <w:szCs w:val="22"/>
              <w:lang w:eastAsia="ja-JP"/>
            </w:rPr>
            <m:t>R</m:t>
          </m:r>
          <m:r>
            <m:rPr>
              <m:sty m:val="p"/>
            </m:rPr>
            <w:rPr>
              <w:rFonts w:ascii="Cambria Math" w:eastAsia="MS PGothic" w:hAnsi="Cambria Math"/>
              <w:color w:val="000000"/>
              <w:sz w:val="22"/>
              <w:szCs w:val="22"/>
              <w:lang w:eastAsia="ja-JP"/>
            </w:rPr>
            <m:t>=1-</m:t>
          </m:r>
          <m:f>
            <m:fPr>
              <m:ctrlPr>
                <w:rPr>
                  <w:rFonts w:ascii="Cambria Math" w:eastAsia="MS PGothic" w:hAnsi="Cambria Math"/>
                  <w:color w:val="000000"/>
                  <w:sz w:val="22"/>
                  <w:szCs w:val="22"/>
                  <w:lang w:eastAsia="ja-JP"/>
                </w:rPr>
              </m:ctrlPr>
            </m:fPr>
            <m:num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eastAsia="ja-JP"/>
                    </w:rPr>
                    <m:t>C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eastAsia="ja-JP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eastAsia="ja-JP"/>
                    </w:rPr>
                    <m:t>C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eastAsia="ja-JP"/>
                    </w:rPr>
                    <m:t>f</m:t>
                  </m:r>
                </m:sub>
              </m:sSub>
            </m:den>
          </m:f>
          <m:r>
            <w:rPr>
              <w:rFonts w:ascii="Cambria Math" w:eastAsia="MS PGothic" w:hAnsi="Cambria Math"/>
              <w:color w:val="000000"/>
              <w:sz w:val="22"/>
              <w:szCs w:val="22"/>
              <w:lang w:eastAsia="ja-JP"/>
            </w:rPr>
            <m:t xml:space="preserve">         (2)</m:t>
          </m:r>
        </m:oMath>
      </m:oMathPara>
    </w:p>
    <w:p w:rsidR="00821A8F" w:rsidRPr="00006823" w:rsidRDefault="00006823" w:rsidP="0000682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Where, </w:t>
      </w:r>
      <w:r w:rsidRPr="00006823">
        <w:rPr>
          <w:rFonts w:asciiTheme="minorHAnsi" w:eastAsia="MS PGothic" w:hAnsiTheme="minorHAnsi"/>
          <w:i/>
          <w:color w:val="000000"/>
          <w:sz w:val="22"/>
          <w:szCs w:val="22"/>
          <w:lang w:eastAsia="ja-JP"/>
        </w:rPr>
        <w:t>C</w:t>
      </w:r>
      <w:r w:rsidRPr="00006823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eastAsia="ja-JP"/>
        </w:rPr>
        <w:t>s</w:t>
      </w:r>
      <w:r w:rsidRPr="00FB4DE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and </w:t>
      </w:r>
      <w:r w:rsidRPr="00006823">
        <w:rPr>
          <w:rFonts w:asciiTheme="minorHAnsi" w:eastAsia="MS PGothic" w:hAnsiTheme="minorHAnsi"/>
          <w:i/>
          <w:color w:val="000000"/>
          <w:sz w:val="22"/>
          <w:szCs w:val="22"/>
          <w:lang w:eastAsia="ja-JP"/>
        </w:rPr>
        <w:t>C</w:t>
      </w:r>
      <w:r w:rsidRPr="00006823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eastAsia="ja-JP"/>
        </w:rPr>
        <w:t>f</w:t>
      </w:r>
      <w:r w:rsidRPr="00FB4DE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 xml:space="preserve">are the concentration of permeated solution [M] and the concentration of feed solution </w:t>
      </w:r>
      <w:r w:rsidRPr="00FB4DE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[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M</w:t>
      </w:r>
      <w:r w:rsidRPr="00FB4DE7"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]</w:t>
      </w:r>
      <w:r>
        <w:rPr>
          <w:rFonts w:asciiTheme="minorHAnsi" w:eastAsia="MS PGothic" w:hAnsiTheme="minorHAnsi"/>
          <w:color w:val="000000"/>
          <w:sz w:val="22"/>
          <w:szCs w:val="22"/>
          <w:lang w:eastAsia="ja-JP"/>
        </w:rPr>
        <w:t>.</w:t>
      </w:r>
    </w:p>
    <w:p w:rsidR="00B728B3" w:rsidRPr="00B728B3" w:rsidRDefault="00B728B3" w:rsidP="005306AC">
      <w:pPr>
        <w:pStyle w:val="Paragrafoelenco"/>
        <w:numPr>
          <w:ilvl w:val="0"/>
          <w:numId w:val="20"/>
        </w:numPr>
        <w:snapToGrid w:val="0"/>
        <w:spacing w:beforeLines="50" w:before="120" w:afterLines="50" w:after="120" w:line="300" w:lineRule="auto"/>
        <w:ind w:leftChars="0" w:left="357" w:hanging="357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728B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Results and discussion</w:t>
      </w:r>
    </w:p>
    <w:p w:rsidR="009D0A79" w:rsidRDefault="00006823" w:rsidP="00797860">
      <w:pPr>
        <w:snapToGrid w:val="0"/>
        <w:spacing w:line="240" w:lineRule="auto"/>
        <w:ind w:firstLineChars="150" w:firstLine="330"/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Figure 1 shows the effect of added/removed PEG concentration on the permeation flux</w:t>
      </w:r>
      <w:r w:rsidR="009D0A79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of glucose aqueous solution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.</w:t>
      </w:r>
      <w:r w:rsidR="00DA17CC" w:rsidRPr="00006823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The permeation flux remarkably increased with </w:t>
      </w:r>
      <w:r w:rsidR="009D0A79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increas</w:t>
      </w:r>
      <w:r w:rsidR="009D0A79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e of added concentration of PEG when the membrane was prepared. The water permeation was improved by the structural modification of membrane.</w:t>
      </w:r>
    </w:p>
    <w:p w:rsidR="00556478" w:rsidRDefault="009D0A79" w:rsidP="00797860">
      <w:pPr>
        <w:snapToGrid w:val="0"/>
        <w:spacing w:line="240" w:lineRule="auto"/>
        <w:ind w:firstLineChars="150" w:firstLine="330"/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Figure 2 depicts the effect of added/removed PEG concentration on the rejection of glucose. </w:t>
      </w:r>
      <w:r w:rsidR="00556478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 xml:space="preserve">The rejection was almost constant </w:t>
      </w:r>
      <w:r w:rsidR="00352A66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although the permeation flux was increased by the PEG modification, which indicates the size of mass transfer channel for</w:t>
      </w:r>
      <w:r w:rsidR="00F1139C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glucose permeation was kept a</w:t>
      </w:r>
      <w:r w:rsidR="00F1139C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>s well as</w:t>
      </w:r>
      <w:r w:rsidR="00352A66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the volume of channel increased. Addition and removal of low-molecular-w</w:t>
      </w:r>
      <w:r w:rsidR="005306AC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eight PEG performed nano-</w:t>
      </w:r>
      <w:r w:rsidR="00352A66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structural modification</w:t>
      </w:r>
      <w:r w:rsidR="00F1139C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>.</w:t>
      </w:r>
    </w:p>
    <w:p w:rsidR="00C9146D" w:rsidRPr="00FB4DE7" w:rsidRDefault="00C9146D" w:rsidP="00FB4DE7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sectPr w:rsidR="00C9146D" w:rsidRPr="00FB4DE7" w:rsidSect="002065DB">
          <w:type w:val="continuous"/>
          <w:pgSz w:w="11906" w:h="16838" w:code="9"/>
          <w:pgMar w:top="2552" w:right="1418" w:bottom="1134" w:left="1701" w:header="1128" w:footer="0" w:gutter="0"/>
          <w:cols w:space="708"/>
          <w:formProt w:val="0"/>
          <w:titlePg/>
          <w:docGrid w:linePitch="360"/>
        </w:sectPr>
      </w:pPr>
    </w:p>
    <w:p w:rsidR="00F91946" w:rsidRPr="00F91946" w:rsidRDefault="00F91946" w:rsidP="0097240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Cs w:val="18"/>
          <w:lang w:val="en-US" w:eastAsia="ja-JP"/>
        </w:rPr>
        <w:sectPr w:rsidR="00F91946" w:rsidRPr="00F91946" w:rsidSect="00F91946">
          <w:type w:val="continuous"/>
          <w:pgSz w:w="11906" w:h="16838" w:code="9"/>
          <w:pgMar w:top="2552" w:right="1418" w:bottom="1134" w:left="1701" w:header="1128" w:footer="0" w:gutter="0"/>
          <w:cols w:num="2" w:space="708"/>
          <w:formProt w:val="0"/>
          <w:titlePg/>
          <w:docGrid w:linePitch="360"/>
        </w:sectPr>
      </w:pPr>
    </w:p>
    <w:p w:rsidR="001A7A77" w:rsidRDefault="00260C11" w:rsidP="001729C7">
      <w:pPr>
        <w:snapToGrid w:val="0"/>
        <w:spacing w:line="300" w:lineRule="auto"/>
        <w:rPr>
          <w:rFonts w:asciiTheme="minorHAnsi" w:eastAsia="MS PGothic" w:hAnsiTheme="minorHAnsi"/>
          <w:color w:val="000000"/>
          <w:szCs w:val="18"/>
          <w:lang w:val="en-US" w:eastAsia="ja-JP"/>
        </w:rPr>
      </w:pPr>
      <w:r>
        <w:rPr>
          <w:rFonts w:asciiTheme="minorHAnsi" w:eastAsia="MS PGothic" w:hAnsiTheme="minorHAnsi"/>
          <w:noProof/>
          <w:color w:val="000000"/>
          <w:szCs w:val="18"/>
          <w:lang w:val="it-IT" w:eastAsia="it-IT"/>
        </w:rPr>
        <w:drawing>
          <wp:inline distT="0" distB="0" distL="0" distR="0">
            <wp:extent cx="2567146" cy="21309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43" cy="213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946" w:rsidRPr="001A7A77" w:rsidRDefault="00F91946" w:rsidP="001729C7">
      <w:pPr>
        <w:snapToGrid w:val="0"/>
        <w:spacing w:line="300" w:lineRule="auto"/>
        <w:rPr>
          <w:rFonts w:asciiTheme="minorHAnsi" w:eastAsia="MS PGothic" w:hAnsiTheme="minorHAnsi"/>
          <w:color w:val="000000"/>
          <w:szCs w:val="18"/>
          <w:lang w:val="en-US" w:eastAsia="ja-JP"/>
        </w:rPr>
      </w:pPr>
      <w:r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Fig.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 xml:space="preserve"> </w:t>
      </w:r>
      <w:r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 xml:space="preserve">1 Effect of 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 xml:space="preserve">the added/removed </w:t>
      </w:r>
      <w:r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concentration</w:t>
      </w:r>
      <w:r w:rsidR="007B1176">
        <w:rPr>
          <w:rFonts w:asciiTheme="minorHAnsi" w:eastAsia="MS PGothic" w:hAnsiTheme="minorHAnsi"/>
          <w:color w:val="000000"/>
          <w:szCs w:val="18"/>
          <w:lang w:val="en-US" w:eastAsia="ja-JP"/>
        </w:rPr>
        <w:t xml:space="preserve"> of PE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G (</w:t>
      </w:r>
      <w:r w:rsidR="007B1176" w:rsidRPr="007B1176">
        <w:rPr>
          <w:rFonts w:asciiTheme="minorHAnsi" w:eastAsia="MS PGothic" w:hAnsiTheme="minorHAnsi" w:hint="eastAsia"/>
          <w:i/>
          <w:color w:val="000000"/>
          <w:szCs w:val="18"/>
          <w:lang w:val="en-US" w:eastAsia="ja-JP"/>
        </w:rPr>
        <w:t>C</w:t>
      </w:r>
      <w:r w:rsidR="007B1176" w:rsidRPr="007B1176">
        <w:rPr>
          <w:rFonts w:asciiTheme="minorHAnsi" w:eastAsia="MS PGothic" w:hAnsiTheme="minorHAnsi" w:hint="eastAsia"/>
          <w:i/>
          <w:color w:val="000000"/>
          <w:szCs w:val="18"/>
          <w:vertAlign w:val="subscript"/>
          <w:lang w:val="en-US" w:eastAsia="ja-JP"/>
        </w:rPr>
        <w:t>PEG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)</w:t>
      </w:r>
      <w:r w:rsidR="00DA17CC">
        <w:rPr>
          <w:rFonts w:asciiTheme="minorHAnsi" w:eastAsia="MS PGothic" w:hAnsiTheme="minorHAnsi"/>
          <w:color w:val="000000"/>
          <w:szCs w:val="18"/>
          <w:lang w:val="en-US" w:eastAsia="ja-JP"/>
        </w:rPr>
        <w:t xml:space="preserve"> on </w:t>
      </w:r>
      <w:r w:rsidR="00DA17CC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 xml:space="preserve">the </w:t>
      </w:r>
      <w:r w:rsidR="007B1176">
        <w:rPr>
          <w:rFonts w:asciiTheme="minorHAnsi" w:eastAsia="MS PGothic" w:hAnsiTheme="minorHAnsi"/>
          <w:color w:val="000000"/>
          <w:szCs w:val="18"/>
          <w:lang w:val="en-US" w:eastAsia="ja-JP"/>
        </w:rPr>
        <w:t>permeat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ion</w:t>
      </w:r>
      <w:r w:rsidR="00DA17CC">
        <w:rPr>
          <w:rFonts w:asciiTheme="minorHAnsi" w:eastAsia="MS PGothic" w:hAnsiTheme="minorHAnsi"/>
          <w:color w:val="000000"/>
          <w:szCs w:val="18"/>
          <w:lang w:val="en-US" w:eastAsia="ja-JP"/>
        </w:rPr>
        <w:t xml:space="preserve"> f</w:t>
      </w:r>
      <w:r w:rsidR="007B1176">
        <w:rPr>
          <w:rFonts w:asciiTheme="minorHAnsi" w:eastAsia="MS PGothic" w:hAnsiTheme="minorHAnsi"/>
          <w:color w:val="000000"/>
          <w:szCs w:val="18"/>
          <w:lang w:val="en-US" w:eastAsia="ja-JP"/>
        </w:rPr>
        <w:t>lux of glucose aqueous solution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 xml:space="preserve"> (</w:t>
      </w:r>
      <w:r w:rsidR="007B1176" w:rsidRPr="007B1176">
        <w:rPr>
          <w:rFonts w:asciiTheme="minorHAnsi" w:eastAsia="MS PGothic" w:hAnsiTheme="minorHAnsi" w:hint="eastAsia"/>
          <w:i/>
          <w:color w:val="000000"/>
          <w:szCs w:val="18"/>
          <w:lang w:val="en-US" w:eastAsia="ja-JP"/>
        </w:rPr>
        <w:t>J</w:t>
      </w:r>
      <w:r w:rsidR="007B1176" w:rsidRPr="007B1176">
        <w:rPr>
          <w:rFonts w:asciiTheme="minorHAnsi" w:eastAsia="MS PGothic" w:hAnsiTheme="minorHAnsi" w:hint="eastAsia"/>
          <w:i/>
          <w:color w:val="000000"/>
          <w:szCs w:val="18"/>
          <w:vertAlign w:val="subscript"/>
          <w:lang w:val="en-US" w:eastAsia="ja-JP"/>
        </w:rPr>
        <w:t>V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)</w:t>
      </w:r>
    </w:p>
    <w:p w:rsidR="001A7A77" w:rsidRDefault="00B754EE" w:rsidP="001729C7">
      <w:pPr>
        <w:snapToGrid w:val="0"/>
        <w:spacing w:line="300" w:lineRule="auto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noProof/>
          <w:color w:val="000000"/>
          <w:szCs w:val="18"/>
          <w:lang w:val="it-IT" w:eastAsia="it-IT"/>
        </w:rPr>
        <w:drawing>
          <wp:inline distT="0" distB="0" distL="0" distR="0">
            <wp:extent cx="2647784" cy="213095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6000" b="1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784" cy="213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946" w:rsidRDefault="00DA17CC" w:rsidP="007B1176">
      <w:pPr>
        <w:snapToGrid w:val="0"/>
        <w:spacing w:line="300" w:lineRule="auto"/>
        <w:jc w:val="left"/>
        <w:rPr>
          <w:rFonts w:asciiTheme="minorHAnsi" w:eastAsia="MS PGothic" w:hAnsiTheme="minorHAnsi"/>
          <w:color w:val="000000"/>
          <w:szCs w:val="18"/>
          <w:lang w:val="en-US" w:eastAsia="ja-JP"/>
        </w:rPr>
      </w:pPr>
      <w:r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Fig.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 xml:space="preserve"> </w:t>
      </w:r>
      <w:r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 xml:space="preserve">2 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Effect of the added/removed concentration</w:t>
      </w:r>
      <w:r w:rsidR="007B1176">
        <w:rPr>
          <w:rFonts w:asciiTheme="minorHAnsi" w:eastAsia="MS PGothic" w:hAnsiTheme="minorHAnsi"/>
          <w:color w:val="000000"/>
          <w:szCs w:val="18"/>
          <w:lang w:val="en-US" w:eastAsia="ja-JP"/>
        </w:rPr>
        <w:t xml:space="preserve"> of PE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G</w:t>
      </w:r>
      <w:r>
        <w:rPr>
          <w:rFonts w:asciiTheme="minorHAnsi" w:eastAsia="MS PGothic" w:hAnsiTheme="minorHAnsi"/>
          <w:color w:val="000000"/>
          <w:szCs w:val="18"/>
          <w:lang w:val="en-US" w:eastAsia="ja-JP"/>
        </w:rPr>
        <w:t xml:space="preserve"> 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(</w:t>
      </w:r>
      <w:r w:rsidR="007B1176" w:rsidRPr="007B1176">
        <w:rPr>
          <w:rFonts w:asciiTheme="minorHAnsi" w:eastAsia="MS PGothic" w:hAnsiTheme="minorHAnsi" w:hint="eastAsia"/>
          <w:i/>
          <w:color w:val="000000"/>
          <w:szCs w:val="18"/>
          <w:lang w:val="en-US" w:eastAsia="ja-JP"/>
        </w:rPr>
        <w:t>C</w:t>
      </w:r>
      <w:r w:rsidR="007B1176" w:rsidRPr="007B1176">
        <w:rPr>
          <w:rFonts w:asciiTheme="minorHAnsi" w:eastAsia="MS PGothic" w:hAnsiTheme="minorHAnsi" w:hint="eastAsia"/>
          <w:i/>
          <w:color w:val="000000"/>
          <w:szCs w:val="18"/>
          <w:vertAlign w:val="subscript"/>
          <w:lang w:val="en-US" w:eastAsia="ja-JP"/>
        </w:rPr>
        <w:t>PEG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 xml:space="preserve">) </w:t>
      </w:r>
      <w:r>
        <w:rPr>
          <w:rFonts w:asciiTheme="minorHAnsi" w:eastAsia="MS PGothic" w:hAnsiTheme="minorHAnsi"/>
          <w:color w:val="000000"/>
          <w:szCs w:val="18"/>
          <w:lang w:val="en-US" w:eastAsia="ja-JP"/>
        </w:rPr>
        <w:t>on the rejection of glucose molecules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 xml:space="preserve"> (</w:t>
      </w:r>
      <w:r w:rsidR="007B1176">
        <w:rPr>
          <w:rFonts w:asciiTheme="minorHAnsi" w:eastAsia="MS PGothic" w:hAnsiTheme="minorHAnsi" w:hint="eastAsia"/>
          <w:i/>
          <w:color w:val="000000"/>
          <w:szCs w:val="18"/>
          <w:lang w:val="en-US" w:eastAsia="ja-JP"/>
        </w:rPr>
        <w:t>R</w:t>
      </w:r>
      <w:r w:rsidR="007B1176">
        <w:rPr>
          <w:rFonts w:asciiTheme="minorHAnsi" w:eastAsia="MS PGothic" w:hAnsiTheme="minorHAnsi" w:hint="eastAsia"/>
          <w:color w:val="000000"/>
          <w:szCs w:val="18"/>
          <w:lang w:val="en-US" w:eastAsia="ja-JP"/>
        </w:rPr>
        <w:t>)</w:t>
      </w:r>
    </w:p>
    <w:p w:rsidR="007B1176" w:rsidRPr="001A7A77" w:rsidRDefault="007B1176" w:rsidP="007B1176">
      <w:pPr>
        <w:snapToGrid w:val="0"/>
        <w:spacing w:line="300" w:lineRule="auto"/>
        <w:jc w:val="left"/>
        <w:rPr>
          <w:rFonts w:asciiTheme="minorHAnsi" w:eastAsia="MS PGothic" w:hAnsiTheme="minorHAnsi"/>
          <w:color w:val="000000"/>
          <w:szCs w:val="18"/>
          <w:lang w:val="en-US" w:eastAsia="ja-JP"/>
        </w:rPr>
        <w:sectPr w:rsidR="007B1176" w:rsidRPr="001A7A77" w:rsidSect="00F91946">
          <w:type w:val="continuous"/>
          <w:pgSz w:w="11906" w:h="16838" w:code="9"/>
          <w:pgMar w:top="2552" w:right="1418" w:bottom="1134" w:left="1701" w:header="1128" w:footer="0" w:gutter="0"/>
          <w:cols w:num="2" w:space="708"/>
          <w:formProt w:val="0"/>
          <w:titlePg/>
          <w:docGrid w:linePitch="360"/>
        </w:sectPr>
      </w:pPr>
    </w:p>
    <w:p w:rsidR="00FB4DE7" w:rsidRPr="00FB4DE7" w:rsidRDefault="00704BDF" w:rsidP="00FB4DE7">
      <w:pPr>
        <w:pStyle w:val="Paragrafoelenco"/>
        <w:numPr>
          <w:ilvl w:val="0"/>
          <w:numId w:val="20"/>
        </w:numPr>
        <w:snapToGrid w:val="0"/>
        <w:spacing w:before="240" w:line="300" w:lineRule="auto"/>
        <w:ind w:leftChars="0"/>
        <w:rPr>
          <w:rFonts w:asciiTheme="minorHAnsi" w:eastAsia="Malgun Gothic" w:hAnsiTheme="minorHAnsi"/>
          <w:color w:val="000000"/>
          <w:sz w:val="22"/>
          <w:szCs w:val="22"/>
          <w:lang w:val="en-US" w:eastAsia="ko-KR"/>
        </w:rPr>
      </w:pPr>
      <w:r w:rsidRPr="00FB4DE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Conclusion</w:t>
      </w:r>
      <w:r w:rsidRPr="00FB4DE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FB4DE7" w:rsidRDefault="00260C11" w:rsidP="007B1176">
      <w:pPr>
        <w:snapToGrid w:val="0"/>
        <w:spacing w:before="240" w:line="240" w:lineRule="auto"/>
        <w:ind w:firstLineChars="150" w:firstLine="330"/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</w:pPr>
      <w:r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>The i</w:t>
      </w:r>
      <w:r w:rsidR="00B754EE" w:rsidRPr="00B754EE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mprovement of water permeability and </w:t>
      </w:r>
      <w:r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 xml:space="preserve">the </w:t>
      </w:r>
      <w:r w:rsidRPr="00260C11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sustention</w:t>
      </w:r>
      <w:r w:rsidR="00B754EE" w:rsidRPr="00B754EE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 </w:t>
      </w:r>
      <w:r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 xml:space="preserve">of glucose </w:t>
      </w:r>
      <w:r w:rsidR="00B754EE" w:rsidRPr="00B754EE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 xml:space="preserve">rejection were achieved by </w:t>
      </w:r>
      <w:r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 xml:space="preserve">the </w:t>
      </w:r>
      <w:r w:rsidR="00B754EE" w:rsidRPr="00B754EE">
        <w:rPr>
          <w:rFonts w:asciiTheme="minorHAnsi" w:eastAsia="MS PGothic" w:hAnsiTheme="minorHAnsi"/>
          <w:color w:val="000000"/>
          <w:sz w:val="22"/>
          <w:szCs w:val="22"/>
          <w:lang w:val="en-US" w:eastAsia="ja-JP"/>
        </w:rPr>
        <w:t>nano-structural modification of calcium alginate membrane using low-molecular-weight polyethylene glycol.</w:t>
      </w:r>
      <w:r w:rsidR="00020712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="00B754EE">
        <w:rPr>
          <w:rFonts w:asciiTheme="minorHAnsi" w:eastAsia="MS PGothic" w:hAnsiTheme="minorHAnsi" w:hint="eastAsia"/>
          <w:color w:val="000000"/>
          <w:sz w:val="22"/>
          <w:szCs w:val="22"/>
          <w:lang w:val="en-US" w:eastAsia="ja-JP"/>
        </w:rPr>
        <w:t>The modified membrane is expected to exert high performance on the separation of monosaccharide and oligosaccharide.</w:t>
      </w:r>
    </w:p>
    <w:p w:rsidR="00797860" w:rsidRPr="00260C11" w:rsidRDefault="00797860" w:rsidP="00797860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ja-JP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97860" w:rsidRPr="00260C11" w:rsidRDefault="00797860" w:rsidP="007978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60C11">
        <w:rPr>
          <w:rFonts w:asciiTheme="minorHAnsi" w:hAnsiTheme="minorHAnsi"/>
          <w:color w:val="000000"/>
        </w:rPr>
        <w:t xml:space="preserve">K. Kashima, M. Imai, </w:t>
      </w:r>
      <w:r w:rsidR="00260C11" w:rsidRPr="00260C11">
        <w:rPr>
          <w:rFonts w:asciiTheme="minorHAnsi" w:eastAsiaTheme="minorEastAsia" w:hAnsiTheme="minorHAnsi"/>
          <w:i/>
          <w:szCs w:val="21"/>
        </w:rPr>
        <w:t>Desalination and Water Treatment</w:t>
      </w:r>
      <w:r w:rsidR="00260C11" w:rsidRPr="00260C11">
        <w:rPr>
          <w:rFonts w:asciiTheme="minorHAnsi" w:eastAsiaTheme="minorEastAsia" w:hAnsiTheme="minorHAnsi"/>
          <w:szCs w:val="21"/>
        </w:rPr>
        <w:t xml:space="preserve">, </w:t>
      </w:r>
      <w:r w:rsidR="00260C11" w:rsidRPr="00260C11">
        <w:rPr>
          <w:rFonts w:asciiTheme="minorHAnsi" w:eastAsiaTheme="minorEastAsia" w:hAnsiTheme="minorHAnsi"/>
          <w:b/>
          <w:szCs w:val="21"/>
        </w:rPr>
        <w:t>34</w:t>
      </w:r>
      <w:r w:rsidR="00260C11" w:rsidRPr="00260C11">
        <w:rPr>
          <w:rFonts w:asciiTheme="minorHAnsi" w:eastAsiaTheme="minorEastAsia" w:hAnsiTheme="minorHAnsi"/>
          <w:szCs w:val="21"/>
        </w:rPr>
        <w:t xml:space="preserve"> (2011) 257-265.</w:t>
      </w:r>
    </w:p>
    <w:p w:rsidR="00797860" w:rsidRPr="00260C11" w:rsidRDefault="00797860" w:rsidP="007978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60C11">
        <w:rPr>
          <w:rFonts w:asciiTheme="minorHAnsi" w:eastAsiaTheme="minorEastAsia" w:hAnsiTheme="minorHAnsi"/>
          <w:color w:val="000000"/>
          <w:lang w:eastAsia="ja-JP"/>
        </w:rPr>
        <w:t xml:space="preserve">K. Kashima, M. Imai, </w:t>
      </w:r>
      <w:r w:rsidR="00260C11" w:rsidRPr="00260C11">
        <w:rPr>
          <w:rFonts w:asciiTheme="minorHAnsi" w:eastAsiaTheme="minorEastAsia" w:hAnsiTheme="minorHAnsi"/>
          <w:i/>
        </w:rPr>
        <w:t>Food and Bioproducts Processing</w:t>
      </w:r>
      <w:r w:rsidR="00260C11" w:rsidRPr="00260C11">
        <w:rPr>
          <w:rFonts w:asciiTheme="minorHAnsi" w:eastAsiaTheme="minorEastAsia" w:hAnsiTheme="minorHAnsi"/>
          <w:lang w:eastAsia="ja-JP"/>
        </w:rPr>
        <w:t>,</w:t>
      </w:r>
      <w:r w:rsidR="00260C11" w:rsidRPr="00260C11">
        <w:rPr>
          <w:rFonts w:asciiTheme="minorHAnsi" w:eastAsiaTheme="minorEastAsia" w:hAnsiTheme="minorHAnsi"/>
        </w:rPr>
        <w:t xml:space="preserve"> </w:t>
      </w:r>
      <w:r w:rsidR="00260C11" w:rsidRPr="00260C11">
        <w:rPr>
          <w:rFonts w:asciiTheme="minorHAnsi" w:eastAsiaTheme="minorEastAsia" w:hAnsiTheme="minorHAnsi"/>
          <w:b/>
        </w:rPr>
        <w:t>102</w:t>
      </w:r>
      <w:r w:rsidR="00260C11" w:rsidRPr="00260C11">
        <w:rPr>
          <w:rFonts w:asciiTheme="minorHAnsi" w:eastAsiaTheme="minorEastAsia" w:hAnsiTheme="minorHAnsi"/>
        </w:rPr>
        <w:t xml:space="preserve"> (2017) 213-221.</w:t>
      </w:r>
    </w:p>
    <w:p w:rsidR="00704BDF" w:rsidRPr="007B117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sz w:val="22"/>
          <w:szCs w:val="22"/>
          <w:lang w:eastAsia="ja-JP"/>
        </w:rPr>
      </w:pPr>
    </w:p>
    <w:sectPr w:rsidR="00704BDF" w:rsidRPr="007B117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7C" w:rsidRDefault="0088447C" w:rsidP="004F5E36">
      <w:r>
        <w:separator/>
      </w:r>
    </w:p>
  </w:endnote>
  <w:endnote w:type="continuationSeparator" w:id="0">
    <w:p w:rsidR="0088447C" w:rsidRDefault="0088447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12" w:rsidRDefault="000207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12" w:rsidRDefault="0002071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12" w:rsidRDefault="000207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7C" w:rsidRDefault="0088447C" w:rsidP="004F5E36">
      <w:r>
        <w:separator/>
      </w:r>
    </w:p>
  </w:footnote>
  <w:footnote w:type="continuationSeparator" w:id="0">
    <w:p w:rsidR="0088447C" w:rsidRDefault="0088447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12" w:rsidRDefault="000207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41F9A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4FEE0" id="Connettore 1 8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541F9A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E428A" id="Connettore 1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785083F"/>
    <w:multiLevelType w:val="multilevel"/>
    <w:tmpl w:val="2064FB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MS PGothic" w:hAnsiTheme="minorHAnsi" w:cs="Consolas" w:hint="default"/>
        <w:b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B0250A7"/>
    <w:multiLevelType w:val="hybridMultilevel"/>
    <w:tmpl w:val="A2AC35F2"/>
    <w:lvl w:ilvl="0" w:tplc="34249954">
      <w:start w:val="1"/>
      <w:numFmt w:val="decimal"/>
      <w:lvlText w:val="%1."/>
      <w:lvlJc w:val="left"/>
      <w:pPr>
        <w:ind w:left="360" w:hanging="360"/>
      </w:pPr>
      <w:rPr>
        <w:rFonts w:asciiTheme="minorHAnsi" w:eastAsia="MS PGothic" w:hAnsiTheme="minorHAnsi" w:cs="Consolas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54EE9"/>
    <w:multiLevelType w:val="hybridMultilevel"/>
    <w:tmpl w:val="65B6558C"/>
    <w:lvl w:ilvl="0" w:tplc="0AF80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4"/>
  </w:num>
  <w:num w:numId="14">
    <w:abstractNumId w:val="17"/>
  </w:num>
  <w:num w:numId="15">
    <w:abstractNumId w:val="18"/>
  </w:num>
  <w:num w:numId="16">
    <w:abstractNumId w:val="19"/>
  </w:num>
  <w:num w:numId="17">
    <w:abstractNumId w:val="10"/>
  </w:num>
  <w:num w:numId="18">
    <w:abstractNumId w:val="15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6823"/>
    <w:rsid w:val="000117CB"/>
    <w:rsid w:val="00020712"/>
    <w:rsid w:val="0003148D"/>
    <w:rsid w:val="00062A9A"/>
    <w:rsid w:val="0008113D"/>
    <w:rsid w:val="000A03B2"/>
    <w:rsid w:val="000D34BE"/>
    <w:rsid w:val="000E36F1"/>
    <w:rsid w:val="000E3A73"/>
    <w:rsid w:val="000E414A"/>
    <w:rsid w:val="0010166B"/>
    <w:rsid w:val="0013121F"/>
    <w:rsid w:val="00134DE4"/>
    <w:rsid w:val="00150E59"/>
    <w:rsid w:val="00153693"/>
    <w:rsid w:val="001729C7"/>
    <w:rsid w:val="00184AD6"/>
    <w:rsid w:val="001A7A77"/>
    <w:rsid w:val="001B65C1"/>
    <w:rsid w:val="001C684B"/>
    <w:rsid w:val="001D53FC"/>
    <w:rsid w:val="001F2EC7"/>
    <w:rsid w:val="002065DB"/>
    <w:rsid w:val="00243965"/>
    <w:rsid w:val="002447EF"/>
    <w:rsid w:val="00251550"/>
    <w:rsid w:val="00260C11"/>
    <w:rsid w:val="0027221A"/>
    <w:rsid w:val="00275B61"/>
    <w:rsid w:val="002928E7"/>
    <w:rsid w:val="002D1F12"/>
    <w:rsid w:val="003009B7"/>
    <w:rsid w:val="0030469C"/>
    <w:rsid w:val="003150F8"/>
    <w:rsid w:val="0031520D"/>
    <w:rsid w:val="00352A66"/>
    <w:rsid w:val="00361B9E"/>
    <w:rsid w:val="003723D4"/>
    <w:rsid w:val="003A26A5"/>
    <w:rsid w:val="003A7D1C"/>
    <w:rsid w:val="003F5EFF"/>
    <w:rsid w:val="0044104F"/>
    <w:rsid w:val="004412C8"/>
    <w:rsid w:val="0046164A"/>
    <w:rsid w:val="00462DCD"/>
    <w:rsid w:val="00462E52"/>
    <w:rsid w:val="00484655"/>
    <w:rsid w:val="004D1162"/>
    <w:rsid w:val="004E4DD6"/>
    <w:rsid w:val="004F5E36"/>
    <w:rsid w:val="005119A5"/>
    <w:rsid w:val="005278B7"/>
    <w:rsid w:val="005306AC"/>
    <w:rsid w:val="005346C8"/>
    <w:rsid w:val="00541F9A"/>
    <w:rsid w:val="0055647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00C9"/>
    <w:rsid w:val="0064184D"/>
    <w:rsid w:val="006474A1"/>
    <w:rsid w:val="00660E3E"/>
    <w:rsid w:val="00662E74"/>
    <w:rsid w:val="00673DF8"/>
    <w:rsid w:val="006A58D2"/>
    <w:rsid w:val="006C5579"/>
    <w:rsid w:val="00704BDF"/>
    <w:rsid w:val="00716FFC"/>
    <w:rsid w:val="00736B13"/>
    <w:rsid w:val="007447F3"/>
    <w:rsid w:val="007661C8"/>
    <w:rsid w:val="00797860"/>
    <w:rsid w:val="007B1176"/>
    <w:rsid w:val="007D52CD"/>
    <w:rsid w:val="00813288"/>
    <w:rsid w:val="008168FC"/>
    <w:rsid w:val="00821A8F"/>
    <w:rsid w:val="008479A2"/>
    <w:rsid w:val="0087637F"/>
    <w:rsid w:val="0088447C"/>
    <w:rsid w:val="008A1512"/>
    <w:rsid w:val="008D0BEB"/>
    <w:rsid w:val="008E566E"/>
    <w:rsid w:val="008E6B65"/>
    <w:rsid w:val="00901EB6"/>
    <w:rsid w:val="009149DD"/>
    <w:rsid w:val="00941715"/>
    <w:rsid w:val="009450CE"/>
    <w:rsid w:val="0095164B"/>
    <w:rsid w:val="0097240D"/>
    <w:rsid w:val="00996483"/>
    <w:rsid w:val="009D0A79"/>
    <w:rsid w:val="009E788A"/>
    <w:rsid w:val="009F2D9C"/>
    <w:rsid w:val="00A16814"/>
    <w:rsid w:val="00A1763D"/>
    <w:rsid w:val="00A17CEC"/>
    <w:rsid w:val="00A27EF0"/>
    <w:rsid w:val="00A62348"/>
    <w:rsid w:val="00A76EFC"/>
    <w:rsid w:val="00A9626B"/>
    <w:rsid w:val="00A97F29"/>
    <w:rsid w:val="00AB0964"/>
    <w:rsid w:val="00AC12F2"/>
    <w:rsid w:val="00AE377D"/>
    <w:rsid w:val="00AE787F"/>
    <w:rsid w:val="00B1533D"/>
    <w:rsid w:val="00B15FE3"/>
    <w:rsid w:val="00B61DBF"/>
    <w:rsid w:val="00B728B3"/>
    <w:rsid w:val="00B754EE"/>
    <w:rsid w:val="00B802C1"/>
    <w:rsid w:val="00BC30C9"/>
    <w:rsid w:val="00BE3E58"/>
    <w:rsid w:val="00C01616"/>
    <w:rsid w:val="00C0162B"/>
    <w:rsid w:val="00C018E0"/>
    <w:rsid w:val="00C261D8"/>
    <w:rsid w:val="00C345B1"/>
    <w:rsid w:val="00C40142"/>
    <w:rsid w:val="00C57182"/>
    <w:rsid w:val="00C655FD"/>
    <w:rsid w:val="00C703FA"/>
    <w:rsid w:val="00C70A03"/>
    <w:rsid w:val="00C867B1"/>
    <w:rsid w:val="00C9146D"/>
    <w:rsid w:val="00C94434"/>
    <w:rsid w:val="00CA1C95"/>
    <w:rsid w:val="00CA5A9C"/>
    <w:rsid w:val="00CC719D"/>
    <w:rsid w:val="00CD5FE2"/>
    <w:rsid w:val="00D02B4C"/>
    <w:rsid w:val="00D22DCD"/>
    <w:rsid w:val="00D84576"/>
    <w:rsid w:val="00DA17CC"/>
    <w:rsid w:val="00DE0019"/>
    <w:rsid w:val="00DE264A"/>
    <w:rsid w:val="00E041E7"/>
    <w:rsid w:val="00E174EB"/>
    <w:rsid w:val="00E23CA1"/>
    <w:rsid w:val="00E409A8"/>
    <w:rsid w:val="00E66894"/>
    <w:rsid w:val="00E7209D"/>
    <w:rsid w:val="00EA50E1"/>
    <w:rsid w:val="00EC498D"/>
    <w:rsid w:val="00EE0131"/>
    <w:rsid w:val="00EF4D70"/>
    <w:rsid w:val="00F02896"/>
    <w:rsid w:val="00F02E8C"/>
    <w:rsid w:val="00F1139C"/>
    <w:rsid w:val="00F30C64"/>
    <w:rsid w:val="00F33EE2"/>
    <w:rsid w:val="00F449EF"/>
    <w:rsid w:val="00F91946"/>
    <w:rsid w:val="00F97FEC"/>
    <w:rsid w:val="00FB4DE7"/>
    <w:rsid w:val="00FB730C"/>
    <w:rsid w:val="00FC1FE5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5:docId w15:val="{90CC561D-5775-409D-BBEF-BC55D57B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6474A1"/>
    <w:pPr>
      <w:ind w:leftChars="400" w:left="840"/>
    </w:pPr>
  </w:style>
  <w:style w:type="character" w:styleId="Testosegnaposto">
    <w:name w:val="Placeholder Text"/>
    <w:basedOn w:val="Carpredefinitoparagrafo"/>
    <w:uiPriority w:val="99"/>
    <w:semiHidden/>
    <w:locked/>
    <w:rsid w:val="00AC12F2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locked/>
    <w:rsid w:val="00020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eitakashima@oyama-ct.ac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BE31-6289-428F-AE3B-144F16D4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2019-01-15T11:29:00Z</cp:lastPrinted>
  <dcterms:created xsi:type="dcterms:W3CDTF">2019-07-12T08:43:00Z</dcterms:created>
  <dcterms:modified xsi:type="dcterms:W3CDTF">2019-07-12T08:43:00Z</dcterms:modified>
</cp:coreProperties>
</file>