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6D2C63" w:rsidRDefault="00087D40" w:rsidP="006D2C63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Sustainability Dimensions</w:t>
      </w:r>
      <w:r w:rsidR="0085065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in Hydrogen-Based Distributed Energy Systems</w:t>
      </w:r>
    </w:p>
    <w:p w:rsidR="00DE0019" w:rsidRPr="006D2C63" w:rsidRDefault="00C06A65" w:rsidP="006D2C63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fr-FR" w:eastAsia="ko-KR"/>
        </w:rPr>
      </w:pPr>
      <w:r w:rsidRPr="00C06A65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Juan D. Fonseca</w:t>
      </w:r>
      <w:r w:rsidR="00704BDF" w:rsidRPr="00C06A65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1</w:t>
      </w:r>
      <w:r w:rsidRPr="00C06A65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,2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*</w:t>
      </w:r>
      <w:r w:rsidR="00736B13" w:rsidRPr="00C06A65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Pr="00C06A65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Mauricio Camargo</w:t>
      </w:r>
      <w:r w:rsidRPr="00C06A6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Pr="00C06A65">
        <w:rPr>
          <w:rFonts w:eastAsia="SimSun"/>
          <w:color w:val="000000"/>
          <w:lang w:val="fr-FR" w:eastAsia="zh-CN"/>
        </w:rPr>
        <w:t xml:space="preserve">, </w:t>
      </w:r>
      <w:r w:rsidRPr="00C06A65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Je</w:t>
      </w:r>
      <w:r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an-Marc Commenge</w:t>
      </w:r>
      <w:r w:rsidRPr="00C06A6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3</w:t>
      </w:r>
      <w:r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Laurent</w:t>
      </w:r>
      <w:r w:rsidRPr="00C06A65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Falk</w:t>
      </w:r>
      <w:r w:rsidRPr="00C06A6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3</w:t>
      </w:r>
      <w:r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proofErr w:type="spellStart"/>
      <w:r w:rsidRPr="00C06A65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Iván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D. Gil</w:t>
      </w:r>
      <w:r w:rsidRPr="00C06A6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2</w:t>
      </w:r>
      <w:r w:rsidR="00DE0019" w:rsidRPr="00C06A65">
        <w:rPr>
          <w:rFonts w:eastAsia="SimSun"/>
          <w:color w:val="000000"/>
          <w:lang w:val="fr-FR" w:eastAsia="zh-CN"/>
        </w:rPr>
        <w:t xml:space="preserve"> </w:t>
      </w:r>
    </w:p>
    <w:p w:rsidR="00C06A65" w:rsidRPr="006D2C63" w:rsidRDefault="00704BDF" w:rsidP="006D2C63">
      <w:pPr>
        <w:snapToGrid w:val="0"/>
        <w:spacing w:after="120"/>
        <w:jc w:val="center"/>
        <w:rPr>
          <w:rFonts w:asciiTheme="minorHAnsi" w:hAnsiTheme="minorHAnsi"/>
          <w:i/>
          <w:sz w:val="20"/>
          <w:lang w:val="fr-FR"/>
        </w:rPr>
      </w:pPr>
      <w:r w:rsidRPr="00C06A65">
        <w:rPr>
          <w:rFonts w:eastAsia="MS PGothic"/>
          <w:i/>
          <w:iCs/>
          <w:color w:val="000000"/>
          <w:sz w:val="20"/>
          <w:lang w:val="fr-FR"/>
        </w:rPr>
        <w:t>1</w:t>
      </w:r>
      <w:r w:rsidRPr="00C06A65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="00C06A65" w:rsidRPr="00C06A65">
        <w:rPr>
          <w:rFonts w:asciiTheme="minorHAnsi" w:hAnsiTheme="minorHAnsi"/>
          <w:i/>
          <w:sz w:val="20"/>
          <w:lang w:val="fr-FR"/>
        </w:rPr>
        <w:t xml:space="preserve">Équipe de Recherche sur les Processus </w:t>
      </w:r>
      <w:proofErr w:type="spellStart"/>
      <w:r w:rsidR="00C06A65" w:rsidRPr="00C06A65">
        <w:rPr>
          <w:rFonts w:asciiTheme="minorHAnsi" w:hAnsiTheme="minorHAnsi"/>
          <w:i/>
          <w:sz w:val="20"/>
          <w:lang w:val="fr-FR"/>
        </w:rPr>
        <w:t>Innovatifs</w:t>
      </w:r>
      <w:proofErr w:type="spellEnd"/>
      <w:r w:rsidR="00C06A65" w:rsidRPr="00C06A65">
        <w:rPr>
          <w:rFonts w:asciiTheme="minorHAnsi" w:hAnsiTheme="minorHAnsi"/>
          <w:i/>
          <w:sz w:val="20"/>
          <w:lang w:val="fr-FR"/>
        </w:rPr>
        <w:t xml:space="preserve"> (ERPI), Université de Lorraine, 8 rue B</w:t>
      </w:r>
      <w:r w:rsidR="006D2C63">
        <w:rPr>
          <w:rFonts w:asciiTheme="minorHAnsi" w:hAnsiTheme="minorHAnsi"/>
          <w:i/>
          <w:sz w:val="20"/>
          <w:lang w:val="fr-FR"/>
        </w:rPr>
        <w:t>astien Lepage, Nancy</w:t>
      </w:r>
      <w:r w:rsidR="00C06A65" w:rsidRPr="00C06A65">
        <w:rPr>
          <w:rFonts w:asciiTheme="minorHAnsi" w:hAnsiTheme="minorHAnsi"/>
          <w:i/>
          <w:sz w:val="20"/>
          <w:lang w:val="fr-FR"/>
        </w:rPr>
        <w:t xml:space="preserve">, </w:t>
      </w:r>
      <w:r w:rsidR="006D2C63">
        <w:rPr>
          <w:rFonts w:asciiTheme="minorHAnsi" w:hAnsiTheme="minorHAnsi"/>
          <w:i/>
          <w:sz w:val="20"/>
          <w:lang w:val="fr-FR"/>
        </w:rPr>
        <w:t xml:space="preserve">France ; </w:t>
      </w:r>
      <w:r w:rsidR="00C06A65" w:rsidRPr="006D2C63">
        <w:rPr>
          <w:rFonts w:asciiTheme="minorHAnsi" w:hAnsiTheme="minorHAnsi"/>
          <w:i/>
          <w:sz w:val="20"/>
          <w:lang w:val="fr-FR"/>
        </w:rPr>
        <w:t xml:space="preserve">2 Grupo de </w:t>
      </w:r>
      <w:proofErr w:type="spellStart"/>
      <w:r w:rsidR="00C06A65" w:rsidRPr="006D2C63">
        <w:rPr>
          <w:rFonts w:asciiTheme="minorHAnsi" w:hAnsiTheme="minorHAnsi"/>
          <w:i/>
          <w:sz w:val="20"/>
          <w:lang w:val="fr-FR"/>
        </w:rPr>
        <w:t>Procesos</w:t>
      </w:r>
      <w:proofErr w:type="spellEnd"/>
      <w:r w:rsidR="00C06A65" w:rsidRPr="006D2C63">
        <w:rPr>
          <w:rFonts w:asciiTheme="minorHAnsi" w:hAnsiTheme="minorHAnsi"/>
          <w:i/>
          <w:sz w:val="20"/>
          <w:lang w:val="fr-FR"/>
        </w:rPr>
        <w:t xml:space="preserve"> </w:t>
      </w:r>
      <w:proofErr w:type="spellStart"/>
      <w:r w:rsidR="00C06A65" w:rsidRPr="006D2C63">
        <w:rPr>
          <w:rFonts w:asciiTheme="minorHAnsi" w:hAnsiTheme="minorHAnsi"/>
          <w:i/>
          <w:sz w:val="20"/>
          <w:lang w:val="fr-FR"/>
        </w:rPr>
        <w:t>Químicos</w:t>
      </w:r>
      <w:proofErr w:type="spellEnd"/>
      <w:r w:rsidR="00C06A65" w:rsidRPr="006D2C63">
        <w:rPr>
          <w:rFonts w:asciiTheme="minorHAnsi" w:hAnsiTheme="minorHAnsi"/>
          <w:i/>
          <w:sz w:val="20"/>
          <w:lang w:val="fr-FR"/>
        </w:rPr>
        <w:t xml:space="preserve"> y </w:t>
      </w:r>
      <w:proofErr w:type="spellStart"/>
      <w:r w:rsidR="00C06A65" w:rsidRPr="006D2C63">
        <w:rPr>
          <w:rFonts w:asciiTheme="minorHAnsi" w:hAnsiTheme="minorHAnsi"/>
          <w:i/>
          <w:sz w:val="20"/>
          <w:lang w:val="fr-FR"/>
        </w:rPr>
        <w:t>Bioquímicos</w:t>
      </w:r>
      <w:proofErr w:type="spellEnd"/>
      <w:r w:rsidR="00C06A65" w:rsidRPr="006D2C63">
        <w:rPr>
          <w:rFonts w:asciiTheme="minorHAnsi" w:hAnsiTheme="minorHAnsi"/>
          <w:i/>
          <w:sz w:val="20"/>
          <w:lang w:val="fr-FR"/>
        </w:rPr>
        <w:t xml:space="preserve">, </w:t>
      </w:r>
      <w:proofErr w:type="spellStart"/>
      <w:r w:rsidR="00C06A65" w:rsidRPr="006D2C63">
        <w:rPr>
          <w:rFonts w:asciiTheme="minorHAnsi" w:hAnsiTheme="minorHAnsi"/>
          <w:i/>
          <w:sz w:val="20"/>
          <w:lang w:val="fr-FR"/>
        </w:rPr>
        <w:t>Department</w:t>
      </w:r>
      <w:proofErr w:type="spellEnd"/>
      <w:r w:rsidR="00C06A65" w:rsidRPr="006D2C63">
        <w:rPr>
          <w:rFonts w:asciiTheme="minorHAnsi" w:hAnsiTheme="minorHAnsi"/>
          <w:i/>
          <w:sz w:val="20"/>
          <w:lang w:val="fr-FR"/>
        </w:rPr>
        <w:t xml:space="preserve"> of Chemical and </w:t>
      </w:r>
      <w:proofErr w:type="spellStart"/>
      <w:r w:rsidR="00C06A65" w:rsidRPr="006D2C63">
        <w:rPr>
          <w:rFonts w:asciiTheme="minorHAnsi" w:hAnsiTheme="minorHAnsi"/>
          <w:i/>
          <w:sz w:val="20"/>
          <w:lang w:val="fr-FR"/>
        </w:rPr>
        <w:t>Environmental</w:t>
      </w:r>
      <w:proofErr w:type="spellEnd"/>
      <w:r w:rsidR="00C06A65" w:rsidRPr="006D2C63">
        <w:rPr>
          <w:rFonts w:asciiTheme="minorHAnsi" w:hAnsiTheme="minorHAnsi"/>
          <w:i/>
          <w:sz w:val="20"/>
          <w:lang w:val="fr-FR"/>
        </w:rPr>
        <w:t xml:space="preserve"> Engineering, </w:t>
      </w:r>
      <w:proofErr w:type="spellStart"/>
      <w:r w:rsidR="00C06A65" w:rsidRPr="006D2C63">
        <w:rPr>
          <w:rFonts w:asciiTheme="minorHAnsi" w:hAnsiTheme="minorHAnsi"/>
          <w:i/>
          <w:sz w:val="20"/>
          <w:lang w:val="fr-FR"/>
        </w:rPr>
        <w:t>Universidad</w:t>
      </w:r>
      <w:proofErr w:type="spellEnd"/>
      <w:r w:rsidR="00C06A65" w:rsidRPr="006D2C63">
        <w:rPr>
          <w:rFonts w:asciiTheme="minorHAnsi" w:hAnsiTheme="minorHAnsi"/>
          <w:i/>
          <w:sz w:val="20"/>
          <w:lang w:val="fr-FR"/>
        </w:rPr>
        <w:t xml:space="preserve"> </w:t>
      </w:r>
      <w:proofErr w:type="spellStart"/>
      <w:r w:rsidR="00C06A65" w:rsidRPr="006D2C63">
        <w:rPr>
          <w:rFonts w:asciiTheme="minorHAnsi" w:hAnsiTheme="minorHAnsi"/>
          <w:i/>
          <w:sz w:val="20"/>
          <w:lang w:val="fr-FR"/>
        </w:rPr>
        <w:t>Na</w:t>
      </w:r>
      <w:r w:rsidR="006D2C63">
        <w:rPr>
          <w:rFonts w:asciiTheme="minorHAnsi" w:hAnsiTheme="minorHAnsi"/>
          <w:i/>
          <w:sz w:val="20"/>
          <w:lang w:val="fr-FR"/>
        </w:rPr>
        <w:t>cional</w:t>
      </w:r>
      <w:proofErr w:type="spellEnd"/>
      <w:r w:rsidR="006D2C63">
        <w:rPr>
          <w:rFonts w:asciiTheme="minorHAnsi" w:hAnsiTheme="minorHAnsi"/>
          <w:i/>
          <w:sz w:val="20"/>
          <w:lang w:val="fr-FR"/>
        </w:rPr>
        <w:t xml:space="preserve"> de </w:t>
      </w:r>
      <w:proofErr w:type="spellStart"/>
      <w:r w:rsidR="006D2C63">
        <w:rPr>
          <w:rFonts w:asciiTheme="minorHAnsi" w:hAnsiTheme="minorHAnsi"/>
          <w:i/>
          <w:sz w:val="20"/>
          <w:lang w:val="fr-FR"/>
        </w:rPr>
        <w:t>Colombia</w:t>
      </w:r>
      <w:proofErr w:type="spellEnd"/>
      <w:r w:rsidR="00C06A65" w:rsidRPr="006D2C63">
        <w:rPr>
          <w:rFonts w:asciiTheme="minorHAnsi" w:hAnsiTheme="minorHAnsi"/>
          <w:i/>
          <w:sz w:val="20"/>
          <w:lang w:val="fr-FR"/>
        </w:rPr>
        <w:t xml:space="preserve">, Carrera 30 45-03, Bogotá, </w:t>
      </w:r>
      <w:proofErr w:type="spellStart"/>
      <w:r w:rsidR="00C06A65" w:rsidRPr="006D2C63">
        <w:rPr>
          <w:rFonts w:asciiTheme="minorHAnsi" w:hAnsiTheme="minorHAnsi"/>
          <w:i/>
          <w:sz w:val="20"/>
          <w:lang w:val="fr-FR"/>
        </w:rPr>
        <w:t>Colombia</w:t>
      </w:r>
      <w:proofErr w:type="spellEnd"/>
      <w:r w:rsidR="006D2C63">
        <w:rPr>
          <w:rFonts w:asciiTheme="minorHAnsi" w:hAnsiTheme="minorHAnsi"/>
          <w:i/>
          <w:sz w:val="20"/>
          <w:lang w:val="fr-FR"/>
        </w:rPr>
        <w:t xml:space="preserve"> ; </w:t>
      </w:r>
      <w:r w:rsidR="00C06A65" w:rsidRPr="00C06A65">
        <w:rPr>
          <w:rFonts w:asciiTheme="minorHAnsi" w:hAnsiTheme="minorHAnsi"/>
          <w:i/>
          <w:sz w:val="20"/>
          <w:lang w:val="fr-FR"/>
        </w:rPr>
        <w:t xml:space="preserve">3 </w:t>
      </w:r>
      <w:r w:rsidR="00C06A65" w:rsidRPr="00C06A65">
        <w:rPr>
          <w:rFonts w:asciiTheme="minorHAnsi" w:hAnsiTheme="minorHAnsi"/>
          <w:i/>
          <w:sz w:val="20"/>
          <w:shd w:val="clear" w:color="auto" w:fill="FFFFFF"/>
          <w:lang w:val="fr-FR"/>
        </w:rPr>
        <w:t xml:space="preserve">Laboratoire Réactions et Génie des Procédés (LRGP), </w:t>
      </w:r>
      <w:r w:rsidR="00C06A65" w:rsidRPr="00C06A65">
        <w:rPr>
          <w:rFonts w:asciiTheme="minorHAnsi" w:hAnsiTheme="minorHAnsi"/>
          <w:i/>
          <w:sz w:val="20"/>
          <w:lang w:val="fr-FR"/>
        </w:rPr>
        <w:t>Université de Lorraine</w:t>
      </w:r>
      <w:r w:rsidR="00C06A65" w:rsidRPr="00C06A65">
        <w:rPr>
          <w:rFonts w:asciiTheme="minorHAnsi" w:hAnsiTheme="minorHAnsi"/>
          <w:i/>
          <w:sz w:val="20"/>
          <w:shd w:val="clear" w:color="auto" w:fill="FFFFFF"/>
          <w:lang w:val="fr-FR"/>
        </w:rPr>
        <w:t>, 1</w:t>
      </w:r>
      <w:r w:rsidR="006D2C63">
        <w:rPr>
          <w:rFonts w:asciiTheme="minorHAnsi" w:hAnsiTheme="minorHAnsi"/>
          <w:i/>
          <w:sz w:val="20"/>
          <w:shd w:val="clear" w:color="auto" w:fill="FFFFFF"/>
          <w:lang w:val="fr-FR"/>
        </w:rPr>
        <w:t xml:space="preserve"> rue Grandville, Nancy</w:t>
      </w:r>
      <w:r w:rsidR="00C06A65" w:rsidRPr="00C06A65">
        <w:rPr>
          <w:rFonts w:asciiTheme="minorHAnsi" w:hAnsiTheme="minorHAnsi"/>
          <w:i/>
          <w:sz w:val="20"/>
          <w:shd w:val="clear" w:color="auto" w:fill="FFFFFF"/>
          <w:lang w:val="fr-FR"/>
        </w:rPr>
        <w:t>, France</w:t>
      </w:r>
    </w:p>
    <w:p w:rsidR="00704BDF" w:rsidRPr="00C06A65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C06A65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C06A65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C06A65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C06A65" w:rsidRPr="00C06A65">
        <w:rPr>
          <w:rFonts w:asciiTheme="minorHAnsi" w:eastAsia="MS PGothic" w:hAnsiTheme="minorHAnsi"/>
          <w:bCs/>
          <w:i/>
          <w:iCs/>
          <w:sz w:val="20"/>
          <w:lang w:val="en-US"/>
        </w:rPr>
        <w:t>jdfonsecag@unal.edu.co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435419" w:rsidRPr="00435419" w:rsidRDefault="00435419" w:rsidP="00435419">
      <w:pPr>
        <w:pStyle w:val="Paragraphedeliste"/>
        <w:numPr>
          <w:ilvl w:val="0"/>
          <w:numId w:val="16"/>
        </w:numPr>
        <w:tabs>
          <w:tab w:val="clear" w:pos="7100"/>
        </w:tabs>
        <w:spacing w:after="200" w:line="276" w:lineRule="auto"/>
        <w:jc w:val="left"/>
        <w:rPr>
          <w:rFonts w:asciiTheme="minorHAnsi" w:hAnsiTheme="minorHAnsi"/>
          <w:b/>
          <w:sz w:val="20"/>
          <w:lang w:val="en-US"/>
        </w:rPr>
      </w:pPr>
      <w:r w:rsidRPr="00435419">
        <w:rPr>
          <w:rFonts w:asciiTheme="minorHAnsi" w:hAnsiTheme="minorHAnsi"/>
          <w:sz w:val="20"/>
          <w:lang w:val="en-US"/>
        </w:rPr>
        <w:t>Distributed energy systems including hydrogen as energy carrier were studied</w:t>
      </w:r>
    </w:p>
    <w:p w:rsidR="00435419" w:rsidRPr="00435419" w:rsidRDefault="00435419" w:rsidP="00435419">
      <w:pPr>
        <w:pStyle w:val="Paragraphedeliste"/>
        <w:numPr>
          <w:ilvl w:val="0"/>
          <w:numId w:val="16"/>
        </w:numPr>
        <w:tabs>
          <w:tab w:val="clear" w:pos="7100"/>
        </w:tabs>
        <w:spacing w:after="200" w:line="276" w:lineRule="auto"/>
        <w:jc w:val="left"/>
        <w:rPr>
          <w:rFonts w:asciiTheme="minorHAnsi" w:hAnsiTheme="minorHAnsi"/>
          <w:b/>
          <w:sz w:val="20"/>
          <w:lang w:val="en-US"/>
        </w:rPr>
      </w:pPr>
      <w:r w:rsidRPr="00435419">
        <w:rPr>
          <w:rFonts w:asciiTheme="minorHAnsi" w:hAnsiTheme="minorHAnsi"/>
          <w:sz w:val="20"/>
          <w:lang w:val="en-US"/>
        </w:rPr>
        <w:t xml:space="preserve">The design of DES including hydrogen </w:t>
      </w:r>
      <w:r>
        <w:rPr>
          <w:rFonts w:asciiTheme="minorHAnsi" w:hAnsiTheme="minorHAnsi"/>
          <w:sz w:val="20"/>
          <w:lang w:val="en-US"/>
        </w:rPr>
        <w:t>is</w:t>
      </w:r>
      <w:r w:rsidRPr="00435419">
        <w:rPr>
          <w:rFonts w:asciiTheme="minorHAnsi" w:hAnsiTheme="minorHAnsi"/>
          <w:sz w:val="20"/>
          <w:lang w:val="en-US"/>
        </w:rPr>
        <w:t xml:space="preserve"> focused on techno-economic issues</w:t>
      </w:r>
    </w:p>
    <w:p w:rsidR="00704BDF" w:rsidRPr="00435419" w:rsidRDefault="00435419" w:rsidP="00435419">
      <w:pPr>
        <w:pStyle w:val="Paragraphedeliste"/>
        <w:numPr>
          <w:ilvl w:val="0"/>
          <w:numId w:val="16"/>
        </w:numPr>
        <w:tabs>
          <w:tab w:val="clear" w:pos="7100"/>
        </w:tabs>
        <w:spacing w:after="200" w:line="276" w:lineRule="auto"/>
        <w:jc w:val="left"/>
        <w:rPr>
          <w:rFonts w:asciiTheme="minorHAnsi" w:hAnsiTheme="minorHAnsi"/>
          <w:b/>
          <w:sz w:val="20"/>
          <w:lang w:val="en-US"/>
        </w:rPr>
      </w:pPr>
      <w:r w:rsidRPr="00435419">
        <w:rPr>
          <w:rFonts w:asciiTheme="minorHAnsi" w:hAnsiTheme="minorHAnsi"/>
          <w:sz w:val="20"/>
          <w:lang w:val="en-US"/>
        </w:rPr>
        <w:t>There is a need of multi-dimensional approaches to evaluate this type of systems</w:t>
      </w:r>
    </w:p>
    <w:p w:rsidR="00061E3D" w:rsidRDefault="00704BDF" w:rsidP="00061E3D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85240" w:rsidRPr="00061E3D" w:rsidRDefault="002D1CBC" w:rsidP="000A1710">
      <w:pPr>
        <w:snapToGrid w:val="0"/>
        <w:spacing w:line="276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>
        <w:rPr>
          <w:rFonts w:asciiTheme="minorHAnsi" w:hAnsiTheme="minorHAnsi"/>
          <w:sz w:val="22"/>
          <w:szCs w:val="22"/>
          <w:lang w:val="en-US"/>
        </w:rPr>
        <w:t>T</w:t>
      </w:r>
      <w:r w:rsidRPr="002D1CBC">
        <w:rPr>
          <w:rFonts w:asciiTheme="minorHAnsi" w:hAnsiTheme="minorHAnsi"/>
          <w:sz w:val="22"/>
          <w:szCs w:val="22"/>
          <w:lang w:val="en-US"/>
        </w:rPr>
        <w:t xml:space="preserve">he constant expansion of world economy and population, as well as the concerns about climate change, represent new challenges for the energy sector </w:t>
      </w:r>
      <w:r w:rsidRPr="002D1CBC">
        <w:rPr>
          <w:rFonts w:asciiTheme="minorHAnsi" w:hAnsiTheme="minorHAnsi"/>
          <w:sz w:val="22"/>
          <w:szCs w:val="22"/>
          <w:lang w:val="en-US"/>
        </w:rPr>
        <w:fldChar w:fldCharType="begin" w:fldLock="1"/>
      </w:r>
      <w:r w:rsidRPr="002D1CBC">
        <w:rPr>
          <w:rFonts w:asciiTheme="minorHAnsi" w:hAnsiTheme="minorHAnsi"/>
          <w:sz w:val="22"/>
          <w:szCs w:val="22"/>
          <w:lang w:val="en-US"/>
        </w:rPr>
        <w:instrText>ADDIN CSL_CITATION { "citationItems" : [ { "id" : "ITEM-1", "itemData" : { "URL" : "https://www.iea.org/geco/", "accessed" : { "date-parts" : [ [ "2018", "4", "8" ] ] }, "author" : [ { "dropping-particle" : "", "family" : "International Energy Agency (IEA)", "given" : "", "non-dropping-particle" : "", "parse-names" : false, "suffix" : "" } ], "id" : "ITEM-1", "issued" : { "date-parts" : [ [ "2018" ] ] }, "title" : "Global Energy &amp; CO2 Status Report: The latest trends in energy and emissions in 2017", "type" : "webpage" }, "uris" : [ "http://www.mendeley.com/documents/?uuid=f003b889-96a1-44e1-8087-d23d4de57b0d" ] }, { "id" : "ITEM-2", "itemData" : { "URL" : "http://www.iea.org/weo2017/", "accessed" : { "date-parts" : [ [ "2018", "4", "8" ] ] }, "author" : [ { "dropping-particle" : "", "family" : "International Energy Agency (IEA)", "given" : "", "non-dropping-particle" : "", "parse-names" : false, "suffix" : "" } ], "id" : "ITEM-2", "issued" : { "date-parts" : [ [ "2017" ] ] }, "title" : "World Energy Outlook 2017", "type" : "webpage" }, "uris" : [ "http://www.mendeley.com/documents/?uuid=8905c23e-cd08-4916-8eb8-afacf4be1595" ] } ], "mendeley" : { "formattedCitation" : "[1,2]", "plainTextFormattedCitation" : "[1,2]", "previouslyFormattedCitation" : "[1,2]" }, "properties" : { "noteIndex" : 0 }, "schema" : "https://github.com/citation-style-language/schema/raw/master/csl-citation.json" }</w:instrText>
      </w:r>
      <w:r w:rsidRPr="002D1CBC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="00D732A7">
        <w:rPr>
          <w:rFonts w:asciiTheme="minorHAnsi" w:hAnsiTheme="minorHAnsi"/>
          <w:noProof/>
          <w:sz w:val="22"/>
          <w:szCs w:val="22"/>
          <w:lang w:val="en-US"/>
        </w:rPr>
        <w:t>[1</w:t>
      </w:r>
      <w:r w:rsidRPr="002D1CBC">
        <w:rPr>
          <w:rFonts w:asciiTheme="minorHAnsi" w:hAnsiTheme="minorHAnsi"/>
          <w:noProof/>
          <w:sz w:val="22"/>
          <w:szCs w:val="22"/>
          <w:lang w:val="en-US"/>
        </w:rPr>
        <w:t>]</w:t>
      </w:r>
      <w:r w:rsidRPr="002D1CBC">
        <w:rPr>
          <w:rFonts w:asciiTheme="minorHAnsi" w:hAnsiTheme="minorHAnsi"/>
          <w:sz w:val="22"/>
          <w:szCs w:val="22"/>
          <w:lang w:val="en-US"/>
        </w:rPr>
        <w:fldChar w:fldCharType="end"/>
      </w:r>
      <w:r>
        <w:rPr>
          <w:rFonts w:asciiTheme="minorHAnsi" w:hAnsiTheme="minorHAnsi"/>
          <w:sz w:val="22"/>
          <w:szCs w:val="22"/>
          <w:lang w:val="en-US"/>
        </w:rPr>
        <w:t xml:space="preserve">. </w:t>
      </w:r>
      <w:r w:rsidR="00E44760">
        <w:rPr>
          <w:rFonts w:asciiTheme="minorHAnsi" w:hAnsiTheme="minorHAnsi"/>
          <w:sz w:val="22"/>
          <w:szCs w:val="22"/>
          <w:lang w:val="en-US"/>
        </w:rPr>
        <w:t xml:space="preserve">In this line, the emergence of distributed energy systems (DES), and </w:t>
      </w:r>
      <w:r w:rsidR="00E44760" w:rsidRPr="00E44760">
        <w:rPr>
          <w:rFonts w:asciiTheme="minorHAnsi" w:hAnsiTheme="minorHAnsi"/>
          <w:sz w:val="22"/>
          <w:szCs w:val="22"/>
          <w:lang w:val="en-US"/>
        </w:rPr>
        <w:t>the integration of different energy networks by means of the combination of multiple energy sources, converters and carriers</w:t>
      </w:r>
      <w:r w:rsidR="00E44760">
        <w:rPr>
          <w:rFonts w:asciiTheme="minorHAnsi" w:hAnsiTheme="minorHAnsi"/>
          <w:sz w:val="22"/>
          <w:szCs w:val="22"/>
          <w:lang w:val="en-US"/>
        </w:rPr>
        <w:t xml:space="preserve"> have represented a shift in the energy framework</w:t>
      </w:r>
      <w:r w:rsidR="00D732A7">
        <w:rPr>
          <w:rFonts w:asciiTheme="minorHAnsi" w:hAnsiTheme="minorHAnsi"/>
          <w:sz w:val="22"/>
          <w:szCs w:val="22"/>
          <w:lang w:val="en-US"/>
        </w:rPr>
        <w:t xml:space="preserve"> [2]</w:t>
      </w:r>
      <w:r w:rsidR="00E44760">
        <w:rPr>
          <w:rFonts w:asciiTheme="minorHAnsi" w:hAnsiTheme="minorHAnsi"/>
          <w:sz w:val="22"/>
          <w:szCs w:val="22"/>
          <w:lang w:val="en-US"/>
        </w:rPr>
        <w:t>.</w:t>
      </w:r>
      <w:r w:rsidR="00B211A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601B11" w:rsidRPr="00601B11">
        <w:rPr>
          <w:rFonts w:asciiTheme="minorHAnsi" w:hAnsiTheme="minorHAnsi"/>
          <w:sz w:val="22"/>
          <w:szCs w:val="22"/>
          <w:lang w:val="en-US"/>
        </w:rPr>
        <w:t>Among energy carriers, hydrogen has</w:t>
      </w:r>
      <w:r w:rsidR="009103F1">
        <w:rPr>
          <w:rFonts w:asciiTheme="minorHAnsi" w:hAnsiTheme="minorHAnsi"/>
          <w:sz w:val="22"/>
          <w:szCs w:val="22"/>
          <w:lang w:val="en-US"/>
        </w:rPr>
        <w:t xml:space="preserve"> appeared as a promising alternative due to the large range of </w:t>
      </w:r>
      <w:r w:rsidR="006807C3">
        <w:rPr>
          <w:rFonts w:asciiTheme="minorHAnsi" w:hAnsiTheme="minorHAnsi"/>
          <w:sz w:val="22"/>
          <w:szCs w:val="22"/>
          <w:lang w:val="en-US"/>
        </w:rPr>
        <w:t xml:space="preserve">sources from it </w:t>
      </w:r>
      <w:proofErr w:type="gramStart"/>
      <w:r w:rsidR="006807C3">
        <w:rPr>
          <w:rFonts w:asciiTheme="minorHAnsi" w:hAnsiTheme="minorHAnsi"/>
          <w:sz w:val="22"/>
          <w:szCs w:val="22"/>
          <w:lang w:val="en-US"/>
        </w:rPr>
        <w:t>can be obtained</w:t>
      </w:r>
      <w:proofErr w:type="gramEnd"/>
      <w:r w:rsidR="006807C3">
        <w:rPr>
          <w:rFonts w:asciiTheme="minorHAnsi" w:hAnsiTheme="minorHAnsi"/>
          <w:sz w:val="22"/>
          <w:szCs w:val="22"/>
          <w:lang w:val="en-US"/>
        </w:rPr>
        <w:t>. Additionally</w:t>
      </w:r>
      <w:r w:rsidR="009103F1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6807C3">
        <w:rPr>
          <w:rFonts w:asciiTheme="minorHAnsi" w:hAnsiTheme="minorHAnsi"/>
          <w:sz w:val="22"/>
          <w:szCs w:val="22"/>
          <w:lang w:val="en-US"/>
        </w:rPr>
        <w:t xml:space="preserve">the possibility to use it as raw material, energy storage medium (power-to-gas) or as final energy </w:t>
      </w:r>
      <w:r w:rsidR="00763B0B">
        <w:rPr>
          <w:rFonts w:asciiTheme="minorHAnsi" w:hAnsiTheme="minorHAnsi"/>
          <w:sz w:val="22"/>
          <w:szCs w:val="22"/>
          <w:lang w:val="en-US"/>
        </w:rPr>
        <w:t xml:space="preserve">form emitting only steam and heat in its </w:t>
      </w:r>
      <w:r w:rsidR="00B211AE">
        <w:rPr>
          <w:rFonts w:asciiTheme="minorHAnsi" w:hAnsiTheme="minorHAnsi"/>
          <w:sz w:val="22"/>
          <w:szCs w:val="22"/>
          <w:lang w:val="en-US"/>
        </w:rPr>
        <w:t>combustion,</w:t>
      </w:r>
      <w:r w:rsidR="00A76ABF">
        <w:rPr>
          <w:rFonts w:asciiTheme="minorHAnsi" w:hAnsiTheme="minorHAnsi"/>
          <w:sz w:val="22"/>
          <w:szCs w:val="22"/>
          <w:lang w:val="en-US"/>
        </w:rPr>
        <w:t xml:space="preserve"> make</w:t>
      </w:r>
      <w:r w:rsidR="00763B0B">
        <w:rPr>
          <w:rFonts w:asciiTheme="minorHAnsi" w:hAnsiTheme="minorHAnsi"/>
          <w:sz w:val="22"/>
          <w:szCs w:val="22"/>
          <w:lang w:val="en-US"/>
        </w:rPr>
        <w:t xml:space="preserve"> hydrogen a promising energy vector to </w:t>
      </w:r>
      <w:proofErr w:type="gramStart"/>
      <w:r w:rsidR="00763B0B">
        <w:rPr>
          <w:rFonts w:asciiTheme="minorHAnsi" w:hAnsiTheme="minorHAnsi"/>
          <w:sz w:val="22"/>
          <w:szCs w:val="22"/>
          <w:lang w:val="en-US"/>
        </w:rPr>
        <w:t>be integrated</w:t>
      </w:r>
      <w:proofErr w:type="gramEnd"/>
      <w:r w:rsidR="00763B0B">
        <w:rPr>
          <w:rFonts w:asciiTheme="minorHAnsi" w:hAnsiTheme="minorHAnsi"/>
          <w:sz w:val="22"/>
          <w:szCs w:val="22"/>
          <w:lang w:val="en-US"/>
        </w:rPr>
        <w:t xml:space="preserve"> in energy systems</w:t>
      </w:r>
      <w:r w:rsidR="0088006D">
        <w:rPr>
          <w:rFonts w:asciiTheme="minorHAnsi" w:hAnsiTheme="minorHAnsi"/>
          <w:sz w:val="22"/>
          <w:szCs w:val="22"/>
          <w:lang w:val="en-US"/>
        </w:rPr>
        <w:t xml:space="preserve"> [3]</w:t>
      </w:r>
      <w:r w:rsidR="00763B0B">
        <w:rPr>
          <w:rFonts w:asciiTheme="minorHAnsi" w:hAnsiTheme="minorHAnsi"/>
          <w:sz w:val="22"/>
          <w:szCs w:val="22"/>
          <w:lang w:val="en-US"/>
        </w:rPr>
        <w:t>.</w:t>
      </w:r>
      <w:r w:rsidR="00DC518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61E3D">
        <w:rPr>
          <w:rFonts w:asciiTheme="minorHAnsi" w:hAnsiTheme="minorHAnsi"/>
          <w:sz w:val="22"/>
          <w:szCs w:val="22"/>
          <w:lang w:val="en-US"/>
        </w:rPr>
        <w:t xml:space="preserve"> However, d</w:t>
      </w:r>
      <w:r w:rsidR="00DC518A" w:rsidRPr="00DC518A">
        <w:rPr>
          <w:rFonts w:asciiTheme="minorHAnsi" w:hAnsiTheme="minorHAnsi"/>
          <w:sz w:val="22"/>
          <w:szCs w:val="22"/>
          <w:lang w:val="en-US"/>
        </w:rPr>
        <w:t xml:space="preserve">espite </w:t>
      </w:r>
      <w:r w:rsidR="005F31D5">
        <w:rPr>
          <w:rFonts w:asciiTheme="minorHAnsi" w:hAnsiTheme="minorHAnsi"/>
          <w:sz w:val="22"/>
          <w:szCs w:val="22"/>
          <w:lang w:val="en-US"/>
        </w:rPr>
        <w:t>their</w:t>
      </w:r>
      <w:r w:rsidR="00DC518A" w:rsidRPr="00DC518A">
        <w:rPr>
          <w:rFonts w:asciiTheme="minorHAnsi" w:hAnsiTheme="minorHAnsi"/>
          <w:sz w:val="22"/>
          <w:szCs w:val="22"/>
          <w:lang w:val="en-US"/>
        </w:rPr>
        <w:t xml:space="preserve"> potential capabilities, introducing hydrogen in the design of distributed energy systems (DES) is a complex problem due to the simultaneous </w:t>
      </w:r>
      <w:r w:rsidR="0088006D">
        <w:rPr>
          <w:rFonts w:asciiTheme="minorHAnsi" w:hAnsiTheme="minorHAnsi"/>
          <w:sz w:val="22"/>
          <w:szCs w:val="22"/>
          <w:lang w:val="en-US"/>
        </w:rPr>
        <w:t>dimensions</w:t>
      </w:r>
      <w:r w:rsidR="00DC518A" w:rsidRPr="00DC518A">
        <w:rPr>
          <w:rFonts w:asciiTheme="minorHAnsi" w:hAnsiTheme="minorHAnsi"/>
          <w:sz w:val="22"/>
          <w:szCs w:val="22"/>
          <w:lang w:val="en-US"/>
        </w:rPr>
        <w:t xml:space="preserve"> and constraints that need to </w:t>
      </w:r>
      <w:proofErr w:type="gramStart"/>
      <w:r w:rsidR="00DC518A" w:rsidRPr="00DC518A">
        <w:rPr>
          <w:rFonts w:asciiTheme="minorHAnsi" w:hAnsiTheme="minorHAnsi"/>
          <w:sz w:val="22"/>
          <w:szCs w:val="22"/>
          <w:lang w:val="en-US"/>
        </w:rPr>
        <w:t>be considered</w:t>
      </w:r>
      <w:proofErr w:type="gramEnd"/>
      <w:r w:rsidR="00DC518A" w:rsidRPr="00DC518A">
        <w:rPr>
          <w:rFonts w:asciiTheme="minorHAnsi" w:hAnsiTheme="minorHAnsi"/>
          <w:sz w:val="22"/>
          <w:szCs w:val="22"/>
          <w:lang w:val="en-US"/>
        </w:rPr>
        <w:t>, as well as to the high context dependence of this kind of projects</w:t>
      </w:r>
      <w:r w:rsidR="0088006D">
        <w:rPr>
          <w:rFonts w:asciiTheme="minorHAnsi" w:hAnsiTheme="minorHAnsi"/>
          <w:sz w:val="22"/>
          <w:szCs w:val="22"/>
          <w:lang w:val="en-US"/>
        </w:rPr>
        <w:t xml:space="preserve"> [4]</w:t>
      </w:r>
      <w:r w:rsidR="00DC518A">
        <w:rPr>
          <w:rFonts w:asciiTheme="minorHAnsi" w:hAnsiTheme="minorHAnsi"/>
          <w:sz w:val="22"/>
          <w:szCs w:val="22"/>
          <w:lang w:val="en-US"/>
        </w:rPr>
        <w:t>.</w:t>
      </w:r>
      <w:r w:rsidR="0062341F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785240">
        <w:rPr>
          <w:rFonts w:asciiTheme="minorHAnsi" w:hAnsiTheme="minorHAnsi"/>
          <w:sz w:val="22"/>
          <w:szCs w:val="22"/>
          <w:lang w:val="en-US"/>
        </w:rPr>
        <w:t xml:space="preserve">For these reasons, in this work a literature analysis is done with the aim to identify </w:t>
      </w:r>
      <w:r w:rsidR="00B71F5A">
        <w:rPr>
          <w:rFonts w:asciiTheme="minorHAnsi" w:hAnsiTheme="minorHAnsi"/>
          <w:sz w:val="22"/>
          <w:szCs w:val="22"/>
          <w:lang w:val="en-US"/>
        </w:rPr>
        <w:t xml:space="preserve">the </w:t>
      </w:r>
      <w:r w:rsidR="0088006D">
        <w:rPr>
          <w:rFonts w:asciiTheme="minorHAnsi" w:hAnsiTheme="minorHAnsi"/>
          <w:sz w:val="22"/>
          <w:szCs w:val="22"/>
          <w:lang w:val="en-US"/>
        </w:rPr>
        <w:t>objectives</w:t>
      </w:r>
      <w:r w:rsidR="00B71F5A">
        <w:rPr>
          <w:rFonts w:asciiTheme="minorHAnsi" w:hAnsiTheme="minorHAnsi"/>
          <w:sz w:val="22"/>
          <w:szCs w:val="22"/>
          <w:lang w:val="en-US"/>
        </w:rPr>
        <w:t xml:space="preserve"> (technical, economic, environmental and socio/political) and the specific evaluated </w:t>
      </w:r>
      <w:r w:rsidR="0088006D">
        <w:rPr>
          <w:rFonts w:asciiTheme="minorHAnsi" w:hAnsiTheme="minorHAnsi"/>
          <w:sz w:val="22"/>
          <w:szCs w:val="22"/>
          <w:lang w:val="en-US"/>
        </w:rPr>
        <w:t>criteria</w:t>
      </w:r>
      <w:r w:rsidR="00B71F5A">
        <w:rPr>
          <w:rFonts w:asciiTheme="minorHAnsi" w:hAnsiTheme="minorHAnsi"/>
          <w:sz w:val="22"/>
          <w:szCs w:val="22"/>
          <w:lang w:val="en-US"/>
        </w:rPr>
        <w:t xml:space="preserve"> (profit, NPV, efficiency, emissions, </w:t>
      </w:r>
      <w:proofErr w:type="spellStart"/>
      <w:r w:rsidR="00B71F5A">
        <w:rPr>
          <w:rFonts w:asciiTheme="minorHAnsi" w:hAnsiTheme="minorHAnsi"/>
          <w:sz w:val="22"/>
          <w:szCs w:val="22"/>
          <w:lang w:val="en-US"/>
        </w:rPr>
        <w:t>etc</w:t>
      </w:r>
      <w:proofErr w:type="spellEnd"/>
      <w:r w:rsidR="00B71F5A">
        <w:rPr>
          <w:rFonts w:asciiTheme="minorHAnsi" w:hAnsiTheme="minorHAnsi"/>
          <w:sz w:val="22"/>
          <w:szCs w:val="22"/>
          <w:lang w:val="en-US"/>
        </w:rPr>
        <w:t>) when DES including hydrogen are designed, planned or operated.</w:t>
      </w:r>
      <w:r w:rsidR="00B71F5A">
        <w:rPr>
          <w:rFonts w:asciiTheme="minorHAnsi" w:hAnsiTheme="minorHAnsi"/>
          <w:sz w:val="22"/>
          <w:szCs w:val="22"/>
          <w:lang w:val="en-US"/>
        </w:rPr>
        <w:tab/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Default="00C60588" w:rsidP="00061E3D">
      <w:pPr>
        <w:snapToGrid w:val="0"/>
        <w:spacing w:after="120" w:line="276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methodology </w:t>
      </w:r>
      <w:r w:rsidR="003C1D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consists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a bibliographic analysis </w:t>
      </w:r>
      <w:r w:rsidR="00B211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scientific research papers, by means of </w:t>
      </w:r>
      <w:r w:rsidR="00AE77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systematic literature review carried out </w:t>
      </w:r>
      <w:r w:rsidR="00483257">
        <w:rPr>
          <w:rFonts w:asciiTheme="minorHAnsi" w:eastAsia="MS PGothic" w:hAnsiTheme="minorHAnsi"/>
          <w:color w:val="000000"/>
          <w:sz w:val="22"/>
          <w:szCs w:val="22"/>
          <w:lang w:val="en-US"/>
        </w:rPr>
        <w:t>according to the parameters noted in Table 1.</w:t>
      </w:r>
      <w:r w:rsidR="00746C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46C74" w:rsidRPr="00746C74">
        <w:rPr>
          <w:rFonts w:asciiTheme="minorHAnsi" w:hAnsiTheme="minorHAnsi"/>
          <w:sz w:val="22"/>
          <w:szCs w:val="22"/>
          <w:lang w:val="en-US"/>
        </w:rPr>
        <w:t xml:space="preserve">Taking into account the great variety of terminology related with DES, </w:t>
      </w:r>
      <w:r w:rsidR="00746C74">
        <w:rPr>
          <w:rFonts w:asciiTheme="minorHAnsi" w:hAnsiTheme="minorHAnsi"/>
          <w:sz w:val="22"/>
          <w:szCs w:val="22"/>
          <w:lang w:val="en-US"/>
        </w:rPr>
        <w:t>the keyword field</w:t>
      </w:r>
      <w:r w:rsidR="00746C74" w:rsidRPr="00746C74">
        <w:rPr>
          <w:rFonts w:asciiTheme="minorHAnsi" w:hAnsiTheme="minorHAnsi"/>
          <w:sz w:val="22"/>
          <w:szCs w:val="22"/>
          <w:lang w:val="en-US"/>
        </w:rPr>
        <w:t xml:space="preserve"> is composed of a set of terms (e.g. energy hub, </w:t>
      </w:r>
      <w:proofErr w:type="spellStart"/>
      <w:r w:rsidR="00746C74" w:rsidRPr="00746C74">
        <w:rPr>
          <w:rFonts w:asciiTheme="minorHAnsi" w:hAnsiTheme="minorHAnsi"/>
          <w:sz w:val="22"/>
          <w:szCs w:val="22"/>
          <w:lang w:val="en-US"/>
        </w:rPr>
        <w:t>microgrid</w:t>
      </w:r>
      <w:proofErr w:type="spellEnd"/>
      <w:r w:rsidR="00746C74" w:rsidRPr="00746C74">
        <w:rPr>
          <w:rFonts w:asciiTheme="minorHAnsi" w:hAnsiTheme="minorHAnsi"/>
          <w:sz w:val="22"/>
          <w:szCs w:val="22"/>
          <w:lang w:val="en-US"/>
        </w:rPr>
        <w:t>, hybrid energy system)</w:t>
      </w:r>
      <w:r w:rsidR="00746C74">
        <w:rPr>
          <w:rFonts w:asciiTheme="minorHAnsi" w:hAnsiTheme="minorHAnsi"/>
          <w:sz w:val="22"/>
          <w:szCs w:val="22"/>
          <w:lang w:val="en-US"/>
        </w:rPr>
        <w:t>, besides to hydrogen and power-to-gas</w:t>
      </w:r>
      <w:r w:rsidR="00242DBD">
        <w:rPr>
          <w:rFonts w:asciiTheme="minorHAnsi" w:hAnsiTheme="minorHAnsi"/>
          <w:sz w:val="22"/>
          <w:szCs w:val="22"/>
          <w:lang w:val="en-US"/>
        </w:rPr>
        <w:t xml:space="preserve"> ones</w:t>
      </w:r>
      <w:r w:rsidR="00746C74">
        <w:rPr>
          <w:rFonts w:asciiTheme="minorHAnsi" w:hAnsiTheme="minorHAnsi"/>
          <w:sz w:val="22"/>
          <w:szCs w:val="22"/>
          <w:lang w:val="en-US"/>
        </w:rPr>
        <w:t>.</w:t>
      </w:r>
    </w:p>
    <w:p w:rsidR="00A0076A" w:rsidRDefault="00A0076A" w:rsidP="00061E3D">
      <w:pPr>
        <w:snapToGrid w:val="0"/>
        <w:spacing w:after="120" w:line="276" w:lineRule="auto"/>
        <w:rPr>
          <w:rFonts w:asciiTheme="minorHAnsi" w:hAnsiTheme="minorHAnsi"/>
          <w:sz w:val="22"/>
          <w:szCs w:val="22"/>
          <w:lang w:val="en-US"/>
        </w:rPr>
      </w:pPr>
    </w:p>
    <w:p w:rsidR="000A1710" w:rsidRDefault="000A1710" w:rsidP="00061E3D">
      <w:pPr>
        <w:snapToGrid w:val="0"/>
        <w:spacing w:after="120" w:line="276" w:lineRule="auto"/>
        <w:rPr>
          <w:rFonts w:asciiTheme="minorHAnsi" w:hAnsiTheme="minorHAnsi"/>
          <w:sz w:val="22"/>
          <w:szCs w:val="22"/>
          <w:lang w:val="en-US"/>
        </w:rPr>
      </w:pPr>
    </w:p>
    <w:p w:rsidR="00033FED" w:rsidRDefault="00746C74" w:rsidP="00704BDF">
      <w:pPr>
        <w:snapToGrid w:val="0"/>
        <w:spacing w:after="120"/>
        <w:rPr>
          <w:rFonts w:asciiTheme="minorHAnsi" w:hAnsiTheme="minorHAnsi"/>
          <w:szCs w:val="18"/>
          <w:lang w:val="en-US"/>
        </w:rPr>
      </w:pPr>
      <w:r w:rsidRPr="00033FED">
        <w:rPr>
          <w:rFonts w:asciiTheme="minorHAnsi" w:hAnsiTheme="minorHAnsi"/>
          <w:b/>
          <w:szCs w:val="18"/>
          <w:lang w:val="en-US"/>
        </w:rPr>
        <w:t>Table</w:t>
      </w:r>
      <w:r w:rsidR="00033FED" w:rsidRPr="00033FED">
        <w:rPr>
          <w:rFonts w:asciiTheme="minorHAnsi" w:hAnsiTheme="minorHAnsi"/>
          <w:b/>
          <w:szCs w:val="18"/>
          <w:lang w:val="en-US"/>
        </w:rPr>
        <w:t xml:space="preserve"> 1</w:t>
      </w:r>
      <w:r w:rsidRPr="00033FED">
        <w:rPr>
          <w:rFonts w:asciiTheme="minorHAnsi" w:hAnsiTheme="minorHAnsi"/>
          <w:b/>
          <w:szCs w:val="18"/>
          <w:lang w:val="en-US"/>
        </w:rPr>
        <w:t>.</w:t>
      </w:r>
      <w:r w:rsidRPr="00033FED">
        <w:rPr>
          <w:rFonts w:asciiTheme="minorHAnsi" w:hAnsiTheme="minorHAnsi"/>
          <w:szCs w:val="18"/>
          <w:lang w:val="en-US"/>
        </w:rPr>
        <w:t xml:space="preserve">  Search strategy parameters.</w:t>
      </w:r>
    </w:p>
    <w:tbl>
      <w:tblPr>
        <w:tblStyle w:val="Ombrageclair"/>
        <w:tblW w:w="9054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951"/>
        <w:gridCol w:w="7103"/>
      </w:tblGrid>
      <w:tr w:rsidR="00A0076A" w:rsidRPr="00033FED" w:rsidTr="006117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  <w:noWrap/>
            <w:vAlign w:val="center"/>
            <w:hideMark/>
          </w:tcPr>
          <w:p w:rsidR="00A0076A" w:rsidRPr="00033FED" w:rsidRDefault="00A0076A" w:rsidP="006117DB">
            <w:pPr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 w:rsidRPr="00033FED">
              <w:rPr>
                <w:rFonts w:asciiTheme="minorHAnsi" w:hAnsiTheme="minorHAnsi"/>
                <w:color w:val="000000"/>
                <w:szCs w:val="18"/>
                <w:lang w:val="en-US"/>
              </w:rPr>
              <w:t>Field</w:t>
            </w:r>
          </w:p>
        </w:tc>
        <w:tc>
          <w:tcPr>
            <w:tcW w:w="7103" w:type="dxa"/>
            <w:shd w:val="clear" w:color="auto" w:fill="FFFFFF" w:themeFill="background1"/>
            <w:noWrap/>
            <w:vAlign w:val="center"/>
            <w:hideMark/>
          </w:tcPr>
          <w:p w:rsidR="00A0076A" w:rsidRPr="00033FED" w:rsidRDefault="00A0076A" w:rsidP="00611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Cs w:val="18"/>
              </w:rPr>
            </w:pPr>
            <w:r w:rsidRPr="00033FED">
              <w:rPr>
                <w:rFonts w:asciiTheme="minorHAnsi" w:hAnsiTheme="minorHAnsi"/>
                <w:color w:val="000000"/>
                <w:szCs w:val="18"/>
                <w:lang w:val="en-US"/>
              </w:rPr>
              <w:t>Option Introduced</w:t>
            </w:r>
          </w:p>
        </w:tc>
      </w:tr>
      <w:tr w:rsidR="00A0076A" w:rsidRPr="00033FED" w:rsidTr="00611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  <w:noWrap/>
            <w:vAlign w:val="center"/>
            <w:hideMark/>
          </w:tcPr>
          <w:p w:rsidR="00A0076A" w:rsidRPr="00033FED" w:rsidRDefault="00A0076A" w:rsidP="006117DB">
            <w:pPr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 w:rsidRPr="00033FED">
              <w:rPr>
                <w:rFonts w:asciiTheme="minorHAnsi" w:hAnsiTheme="minorHAnsi"/>
                <w:color w:val="000000"/>
                <w:szCs w:val="18"/>
              </w:rPr>
              <w:t>Keywords</w:t>
            </w:r>
          </w:p>
        </w:tc>
        <w:tc>
          <w:tcPr>
            <w:tcW w:w="7103" w:type="dxa"/>
            <w:shd w:val="clear" w:color="auto" w:fill="FFFFFF" w:themeFill="background1"/>
            <w:noWrap/>
            <w:vAlign w:val="center"/>
            <w:hideMark/>
          </w:tcPr>
          <w:p w:rsidR="00A0076A" w:rsidRPr="00033FED" w:rsidRDefault="00A0076A" w:rsidP="00611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Cs w:val="18"/>
                <w:lang w:val="en-US"/>
              </w:rPr>
            </w:pPr>
            <w:r w:rsidRPr="00033FED">
              <w:rPr>
                <w:rFonts w:asciiTheme="minorHAnsi" w:hAnsiTheme="minorHAnsi"/>
                <w:color w:val="000000"/>
                <w:szCs w:val="18"/>
                <w:lang w:val="en-US"/>
              </w:rPr>
              <w:t xml:space="preserve">("energy hub" OR </w:t>
            </w:r>
            <w:proofErr w:type="spellStart"/>
            <w:r w:rsidRPr="00033FED">
              <w:rPr>
                <w:rFonts w:asciiTheme="minorHAnsi" w:hAnsiTheme="minorHAnsi"/>
                <w:color w:val="000000"/>
                <w:szCs w:val="18"/>
                <w:lang w:val="en-US"/>
              </w:rPr>
              <w:t>microgrid</w:t>
            </w:r>
            <w:proofErr w:type="spellEnd"/>
            <w:r w:rsidRPr="00033FED">
              <w:rPr>
                <w:rFonts w:asciiTheme="minorHAnsi" w:hAnsiTheme="minorHAnsi"/>
                <w:color w:val="000000"/>
                <w:szCs w:val="18"/>
                <w:lang w:val="en-US"/>
              </w:rPr>
              <w:t xml:space="preserve"> OR "integrated energy systems" OR "distributed energy system" OR "decentralized energy system" OR "multi energy system" OR "hybrid energy system" OR "</w:t>
            </w:r>
            <w:proofErr w:type="spellStart"/>
            <w:r w:rsidRPr="00033FED">
              <w:rPr>
                <w:rFonts w:asciiTheme="minorHAnsi" w:hAnsiTheme="minorHAnsi"/>
                <w:color w:val="000000"/>
                <w:szCs w:val="18"/>
                <w:lang w:val="en-US"/>
              </w:rPr>
              <w:t>polygeneration</w:t>
            </w:r>
            <w:proofErr w:type="spellEnd"/>
            <w:r w:rsidRPr="00033FED">
              <w:rPr>
                <w:rFonts w:asciiTheme="minorHAnsi" w:hAnsiTheme="minorHAnsi"/>
                <w:color w:val="000000"/>
                <w:szCs w:val="18"/>
                <w:lang w:val="en-US"/>
              </w:rPr>
              <w:t>") AND (hydrogen OR "power to gas")</w:t>
            </w:r>
          </w:p>
        </w:tc>
      </w:tr>
      <w:tr w:rsidR="00A0076A" w:rsidRPr="00033FED" w:rsidTr="006117D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  <w:noWrap/>
            <w:vAlign w:val="center"/>
            <w:hideMark/>
          </w:tcPr>
          <w:p w:rsidR="00A0076A" w:rsidRPr="00033FED" w:rsidRDefault="00A0076A" w:rsidP="006117DB">
            <w:pPr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 w:rsidRPr="00033FED">
              <w:rPr>
                <w:rFonts w:asciiTheme="minorHAnsi" w:hAnsiTheme="minorHAnsi"/>
                <w:color w:val="000000"/>
                <w:szCs w:val="18"/>
                <w:lang w:val="en-US"/>
              </w:rPr>
              <w:t>Search</w:t>
            </w:r>
            <w:r w:rsidRPr="00033FED">
              <w:rPr>
                <w:rFonts w:asciiTheme="minorHAnsi" w:hAnsiTheme="minorHAnsi"/>
                <w:color w:val="000000"/>
                <w:szCs w:val="18"/>
              </w:rPr>
              <w:t xml:space="preserve"> in</w:t>
            </w:r>
          </w:p>
        </w:tc>
        <w:tc>
          <w:tcPr>
            <w:tcW w:w="7103" w:type="dxa"/>
            <w:shd w:val="clear" w:color="auto" w:fill="FFFFFF" w:themeFill="background1"/>
            <w:noWrap/>
            <w:vAlign w:val="center"/>
            <w:hideMark/>
          </w:tcPr>
          <w:p w:rsidR="00A0076A" w:rsidRPr="00033FED" w:rsidRDefault="00A0076A" w:rsidP="00611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Cs w:val="18"/>
              </w:rPr>
            </w:pPr>
            <w:r w:rsidRPr="00033FED">
              <w:rPr>
                <w:rFonts w:asciiTheme="minorHAnsi" w:hAnsiTheme="minorHAnsi"/>
                <w:color w:val="000000"/>
                <w:szCs w:val="18"/>
              </w:rPr>
              <w:t>Title, abstract, keywords</w:t>
            </w:r>
          </w:p>
        </w:tc>
      </w:tr>
      <w:tr w:rsidR="00A0076A" w:rsidRPr="00033FED" w:rsidTr="00611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  <w:noWrap/>
            <w:vAlign w:val="center"/>
            <w:hideMark/>
          </w:tcPr>
          <w:p w:rsidR="00A0076A" w:rsidRPr="00033FED" w:rsidRDefault="00A0076A" w:rsidP="006117DB">
            <w:pPr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 w:rsidRPr="00033FED">
              <w:rPr>
                <w:rFonts w:asciiTheme="minorHAnsi" w:hAnsiTheme="minorHAnsi"/>
                <w:color w:val="000000"/>
                <w:szCs w:val="18"/>
              </w:rPr>
              <w:t>Period explored</w:t>
            </w:r>
          </w:p>
        </w:tc>
        <w:tc>
          <w:tcPr>
            <w:tcW w:w="7103" w:type="dxa"/>
            <w:shd w:val="clear" w:color="auto" w:fill="FFFFFF" w:themeFill="background1"/>
            <w:noWrap/>
            <w:vAlign w:val="center"/>
            <w:hideMark/>
          </w:tcPr>
          <w:p w:rsidR="00A0076A" w:rsidRPr="00033FED" w:rsidRDefault="00A0076A" w:rsidP="00611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Cs w:val="18"/>
              </w:rPr>
            </w:pPr>
            <w:r w:rsidRPr="00033FED">
              <w:rPr>
                <w:rFonts w:asciiTheme="minorHAnsi" w:hAnsiTheme="minorHAnsi"/>
                <w:color w:val="000000"/>
                <w:szCs w:val="18"/>
              </w:rPr>
              <w:t>2000 - 2018</w:t>
            </w:r>
          </w:p>
        </w:tc>
      </w:tr>
      <w:tr w:rsidR="00A0076A" w:rsidRPr="00033FED" w:rsidTr="006117D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  <w:noWrap/>
            <w:vAlign w:val="center"/>
            <w:hideMark/>
          </w:tcPr>
          <w:p w:rsidR="00A0076A" w:rsidRPr="00033FED" w:rsidRDefault="00A0076A" w:rsidP="006117DB">
            <w:pPr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 w:rsidRPr="00033FED">
              <w:rPr>
                <w:rFonts w:asciiTheme="minorHAnsi" w:hAnsiTheme="minorHAnsi"/>
                <w:color w:val="000000"/>
                <w:szCs w:val="18"/>
              </w:rPr>
              <w:t>Type of documents</w:t>
            </w:r>
          </w:p>
        </w:tc>
        <w:tc>
          <w:tcPr>
            <w:tcW w:w="7103" w:type="dxa"/>
            <w:shd w:val="clear" w:color="auto" w:fill="FFFFFF" w:themeFill="background1"/>
            <w:noWrap/>
            <w:vAlign w:val="center"/>
            <w:hideMark/>
          </w:tcPr>
          <w:p w:rsidR="00A0076A" w:rsidRPr="00033FED" w:rsidRDefault="00A0076A" w:rsidP="00611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Cs w:val="18"/>
              </w:rPr>
            </w:pPr>
            <w:r w:rsidRPr="00033FED">
              <w:rPr>
                <w:rFonts w:asciiTheme="minorHAnsi" w:hAnsiTheme="minorHAnsi"/>
                <w:color w:val="000000"/>
                <w:szCs w:val="18"/>
              </w:rPr>
              <w:t>Articles and conference papers</w:t>
            </w:r>
          </w:p>
        </w:tc>
      </w:tr>
    </w:tbl>
    <w:p w:rsidR="00A0076A" w:rsidRPr="00033FED" w:rsidRDefault="00A0076A" w:rsidP="00704BDF">
      <w:pPr>
        <w:snapToGrid w:val="0"/>
        <w:spacing w:after="120"/>
        <w:rPr>
          <w:rFonts w:asciiTheme="minorHAnsi" w:hAnsiTheme="minorHAnsi"/>
          <w:szCs w:val="18"/>
          <w:lang w:val="en-US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D21599" w:rsidRPr="00493E95" w:rsidRDefault="00493E95" w:rsidP="00087D4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 1</w:t>
      </w:r>
      <w:r w:rsidR="00D215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87D40" w:rsidRPr="00493E95">
        <w:rPr>
          <w:rFonts w:asciiTheme="minorHAnsi" w:hAnsiTheme="minorHAnsi"/>
          <w:sz w:val="22"/>
          <w:szCs w:val="22"/>
          <w:lang w:val="en-US"/>
        </w:rPr>
        <w:t>shows the distribution of</w:t>
      </w:r>
      <w:r w:rsidR="00F00DCF">
        <w:rPr>
          <w:rFonts w:asciiTheme="minorHAnsi" w:hAnsiTheme="minorHAnsi"/>
          <w:sz w:val="22"/>
          <w:szCs w:val="22"/>
          <w:lang w:val="en-US"/>
        </w:rPr>
        <w:t xml:space="preserve"> publications according to the</w:t>
      </w:r>
      <w:r w:rsidR="00087D40" w:rsidRPr="00493E95">
        <w:rPr>
          <w:rFonts w:asciiTheme="minorHAnsi" w:hAnsiTheme="minorHAnsi"/>
          <w:sz w:val="22"/>
          <w:szCs w:val="22"/>
          <w:lang w:val="en-US"/>
        </w:rPr>
        <w:t xml:space="preserve"> evaluated objective. It highlights the prevalence of economic issues, which are involved in almost 80% of studies. </w:t>
      </w:r>
      <w:r>
        <w:rPr>
          <w:rFonts w:asciiTheme="minorHAnsi" w:hAnsiTheme="minorHAnsi"/>
          <w:sz w:val="22"/>
          <w:szCs w:val="22"/>
          <w:lang w:val="en-US"/>
        </w:rPr>
        <w:t xml:space="preserve">Additionally, it appears </w:t>
      </w:r>
      <w:r w:rsidR="00087D40" w:rsidRPr="00493E95">
        <w:rPr>
          <w:rFonts w:asciiTheme="minorHAnsi" w:hAnsiTheme="minorHAnsi"/>
          <w:sz w:val="22"/>
          <w:szCs w:val="22"/>
          <w:lang w:val="en-US"/>
        </w:rPr>
        <w:t>that around 45% of documents include multi-objective</w:t>
      </w:r>
      <w:r>
        <w:rPr>
          <w:rFonts w:asciiTheme="minorHAnsi" w:hAnsiTheme="minorHAnsi"/>
          <w:sz w:val="22"/>
          <w:szCs w:val="22"/>
          <w:lang w:val="en-US"/>
        </w:rPr>
        <w:t xml:space="preserve"> analysis and </w:t>
      </w:r>
      <w:r w:rsidRPr="00493E95">
        <w:rPr>
          <w:rFonts w:asciiTheme="minorHAnsi" w:hAnsiTheme="minorHAnsi"/>
          <w:sz w:val="22"/>
          <w:szCs w:val="22"/>
          <w:lang w:val="en-US"/>
        </w:rPr>
        <w:t>nine</w:t>
      </w:r>
      <w:r w:rsidR="00087D40" w:rsidRPr="00493E95">
        <w:rPr>
          <w:rFonts w:asciiTheme="minorHAnsi" w:hAnsiTheme="minorHAnsi"/>
          <w:sz w:val="22"/>
          <w:szCs w:val="22"/>
          <w:lang w:val="en-US"/>
        </w:rPr>
        <w:t xml:space="preserve"> works address economic, technical and environmental goals simultaneously</w:t>
      </w:r>
      <w:r>
        <w:rPr>
          <w:rFonts w:asciiTheme="minorHAnsi" w:hAnsiTheme="minorHAnsi"/>
          <w:sz w:val="22"/>
          <w:szCs w:val="22"/>
          <w:lang w:val="en-US"/>
        </w:rPr>
        <w:t>.</w:t>
      </w:r>
    </w:p>
    <w:p w:rsidR="00704BDF" w:rsidRPr="00DE0019" w:rsidRDefault="00D21599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D21599">
        <w:rPr>
          <w:rFonts w:eastAsia="MS PGothic"/>
          <w:noProof/>
          <w:lang w:val="fr-FR" w:eastAsia="fr-FR"/>
        </w:rPr>
        <w:drawing>
          <wp:inline distT="0" distB="0" distL="0" distR="0">
            <wp:extent cx="2917330" cy="1904011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442" cy="192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DF" w:rsidRPr="00493E95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fr-FR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493E95">
        <w:rPr>
          <w:rFonts w:asciiTheme="minorHAnsi" w:eastAsia="MS PGothic" w:hAnsiTheme="minorHAnsi"/>
          <w:color w:val="000000"/>
          <w:szCs w:val="18"/>
          <w:lang w:val="en-US"/>
        </w:rPr>
        <w:t xml:space="preserve">Performance objectives evaluated in DES. </w:t>
      </w:r>
      <w:r w:rsidR="00493E95" w:rsidRPr="00493E95">
        <w:rPr>
          <w:rFonts w:asciiTheme="minorHAnsi" w:eastAsia="MS PGothic" w:hAnsiTheme="minorHAnsi"/>
          <w:color w:val="000000"/>
          <w:szCs w:val="18"/>
          <w:lang w:val="fr-FR"/>
        </w:rPr>
        <w:t>(</w:t>
      </w:r>
      <w:proofErr w:type="spellStart"/>
      <w:r w:rsidR="00493E95" w:rsidRPr="00493E95">
        <w:rPr>
          <w:rFonts w:asciiTheme="minorHAnsi" w:eastAsia="MS PGothic" w:hAnsiTheme="minorHAnsi"/>
          <w:color w:val="000000"/>
          <w:szCs w:val="18"/>
          <w:lang w:val="fr-FR"/>
        </w:rPr>
        <w:t>Ec-economic</w:t>
      </w:r>
      <w:proofErr w:type="spellEnd"/>
      <w:r w:rsidR="00493E95" w:rsidRPr="00493E95">
        <w:rPr>
          <w:rFonts w:asciiTheme="minorHAnsi" w:eastAsia="MS PGothic" w:hAnsiTheme="minorHAnsi"/>
          <w:color w:val="000000"/>
          <w:szCs w:val="18"/>
          <w:lang w:val="fr-FR"/>
        </w:rPr>
        <w:t>, Tec-</w:t>
      </w:r>
      <w:proofErr w:type="spellStart"/>
      <w:r w:rsidR="00493E95" w:rsidRPr="00493E95">
        <w:rPr>
          <w:rFonts w:asciiTheme="minorHAnsi" w:eastAsia="MS PGothic" w:hAnsiTheme="minorHAnsi"/>
          <w:color w:val="000000"/>
          <w:szCs w:val="18"/>
          <w:lang w:val="fr-FR"/>
        </w:rPr>
        <w:t>technical</w:t>
      </w:r>
      <w:proofErr w:type="spellEnd"/>
      <w:r w:rsidR="00493E95" w:rsidRPr="00493E95">
        <w:rPr>
          <w:rFonts w:asciiTheme="minorHAnsi" w:eastAsia="MS PGothic" w:hAnsiTheme="minorHAnsi"/>
          <w:color w:val="000000"/>
          <w:szCs w:val="18"/>
          <w:lang w:val="fr-FR"/>
        </w:rPr>
        <w:t xml:space="preserve">, </w:t>
      </w:r>
      <w:proofErr w:type="spellStart"/>
      <w:r w:rsidR="00493E95" w:rsidRPr="00493E95">
        <w:rPr>
          <w:rFonts w:asciiTheme="minorHAnsi" w:eastAsia="MS PGothic" w:hAnsiTheme="minorHAnsi"/>
          <w:color w:val="000000"/>
          <w:szCs w:val="18"/>
          <w:lang w:val="fr-FR"/>
        </w:rPr>
        <w:t>Env-environmental</w:t>
      </w:r>
      <w:proofErr w:type="spellEnd"/>
      <w:r w:rsidR="00493E95" w:rsidRPr="00493E95">
        <w:rPr>
          <w:rFonts w:asciiTheme="minorHAnsi" w:eastAsia="MS PGothic" w:hAnsiTheme="minorHAnsi"/>
          <w:color w:val="000000"/>
          <w:szCs w:val="18"/>
          <w:lang w:val="fr-FR"/>
        </w:rPr>
        <w:t>)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435419" w:rsidRDefault="006D2C6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354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Results </w:t>
      </w:r>
      <w:r w:rsidR="00435419" w:rsidRPr="0043541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indicate</w:t>
      </w:r>
      <w:r w:rsidRPr="00435419">
        <w:rPr>
          <w:rFonts w:asciiTheme="minorHAnsi" w:hAnsiTheme="minorHAnsi"/>
          <w:sz w:val="22"/>
          <w:szCs w:val="22"/>
          <w:lang w:val="en-US"/>
        </w:rPr>
        <w:t xml:space="preserve"> that the design and analysis of DES</w:t>
      </w:r>
      <w:bookmarkStart w:id="0" w:name="_GoBack"/>
      <w:bookmarkEnd w:id="0"/>
      <w:r w:rsidR="00F00DCF">
        <w:rPr>
          <w:rFonts w:asciiTheme="minorHAnsi" w:hAnsiTheme="minorHAnsi"/>
          <w:sz w:val="22"/>
          <w:szCs w:val="22"/>
          <w:lang w:val="en-US"/>
        </w:rPr>
        <w:t xml:space="preserve"> including hydrogen </w:t>
      </w:r>
      <w:proofErr w:type="gramStart"/>
      <w:r w:rsidRPr="00435419">
        <w:rPr>
          <w:rFonts w:asciiTheme="minorHAnsi" w:hAnsiTheme="minorHAnsi"/>
          <w:sz w:val="22"/>
          <w:szCs w:val="22"/>
          <w:lang w:val="en-US"/>
        </w:rPr>
        <w:t>have been predominantly focused</w:t>
      </w:r>
      <w:proofErr w:type="gramEnd"/>
      <w:r w:rsidRPr="00435419">
        <w:rPr>
          <w:rFonts w:asciiTheme="minorHAnsi" w:hAnsiTheme="minorHAnsi"/>
          <w:sz w:val="22"/>
          <w:szCs w:val="22"/>
          <w:lang w:val="en-US"/>
        </w:rPr>
        <w:t xml:space="preserve"> on techno-economic issues</w:t>
      </w:r>
      <w:r w:rsidR="00435419" w:rsidRPr="0043541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21599" w:rsidRPr="004354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435419">
        <w:rPr>
          <w:rFonts w:asciiTheme="minorHAnsi" w:hAnsiTheme="minorHAnsi"/>
          <w:sz w:val="22"/>
          <w:szCs w:val="22"/>
          <w:lang w:val="en-US"/>
        </w:rPr>
        <w:t xml:space="preserve">Hence, there is an opportunity for future work to include </w:t>
      </w:r>
      <w:r w:rsidR="00435419" w:rsidRPr="00435419">
        <w:rPr>
          <w:rFonts w:asciiTheme="minorHAnsi" w:hAnsiTheme="minorHAnsi"/>
          <w:sz w:val="22"/>
          <w:szCs w:val="22"/>
          <w:lang w:val="en-US"/>
        </w:rPr>
        <w:t>another dimensions (e.g. socio/political), and thus improve the decision-making process for planning this type of energy systems</w:t>
      </w:r>
      <w:r w:rsidR="00435419">
        <w:rPr>
          <w:rFonts w:asciiTheme="minorHAnsi" w:hAnsiTheme="minorHAnsi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704BDF" w:rsidRPr="00435419" w:rsidRDefault="00435419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435419">
        <w:rPr>
          <w:rFonts w:asciiTheme="minorHAnsi" w:hAnsiTheme="minorHAnsi"/>
          <w:noProof/>
        </w:rPr>
        <w:t>International Energy Agency (IEA). World Energy Outlook 2017 2017. http://www.iea.org/weo2017/ (accessed April 8, 2018).</w:t>
      </w:r>
    </w:p>
    <w:p w:rsidR="00D732A7" w:rsidRPr="00D732A7" w:rsidRDefault="00D732A7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lang w:eastAsia="zh-CN"/>
        </w:rPr>
      </w:pPr>
      <w:r w:rsidRPr="00D732A7">
        <w:rPr>
          <w:rFonts w:asciiTheme="minorHAnsi" w:hAnsiTheme="minorHAnsi"/>
          <w:noProof/>
        </w:rPr>
        <w:t>Adil AM, Ko Y. Socio-technical evolution of Decentralized Energy Systems: A critical review and implications for urban planning and policy. Renew Sustain Energy Rev 2016;57:1025–37. doi:10.1016/j.rser.2015.12.079.</w:t>
      </w:r>
    </w:p>
    <w:p w:rsidR="00804424" w:rsidRDefault="0088006D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lang w:eastAsia="zh-CN"/>
        </w:rPr>
      </w:pPr>
      <w:r w:rsidRPr="0088006D">
        <w:rPr>
          <w:rFonts w:asciiTheme="minorHAnsi" w:hAnsiTheme="minorHAnsi"/>
          <w:noProof/>
        </w:rPr>
        <w:t>Dincer I, Acar C. Smart energy solutions with hydrogen options. Int J Hydrogen Energy 2018:1–21. doi:10.1016/j.ijhydene.2018.03.120.</w:t>
      </w:r>
    </w:p>
    <w:p w:rsidR="00704BDF" w:rsidRPr="00804424" w:rsidRDefault="00804424" w:rsidP="00804424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jc w:val="left"/>
        <w:rPr>
          <w:rFonts w:asciiTheme="minorHAnsi" w:eastAsia="SimSun" w:hAnsiTheme="minorHAnsi"/>
          <w:lang w:eastAsia="zh-CN"/>
        </w:rPr>
      </w:pPr>
      <w:r w:rsidRPr="00804424">
        <w:rPr>
          <w:rFonts w:asciiTheme="minorHAnsi" w:hAnsiTheme="minorHAnsi"/>
          <w:noProof/>
        </w:rPr>
        <w:t>Eriksson ELV, Gray EMA. Optimization and integration of hybrid renewable energy hydr</w:t>
      </w:r>
      <w:r>
        <w:rPr>
          <w:rFonts w:asciiTheme="minorHAnsi" w:hAnsiTheme="minorHAnsi"/>
          <w:noProof/>
        </w:rPr>
        <w:t xml:space="preserve">ogen fuel cell energy systems – A </w:t>
      </w:r>
      <w:r w:rsidRPr="00804424">
        <w:rPr>
          <w:rFonts w:asciiTheme="minorHAnsi" w:hAnsiTheme="minorHAnsi"/>
          <w:noProof/>
        </w:rPr>
        <w:t>critical review. Appl Energy 2017;</w:t>
      </w:r>
      <w:r>
        <w:rPr>
          <w:rFonts w:asciiTheme="minorHAnsi" w:hAnsiTheme="minorHAnsi"/>
          <w:noProof/>
        </w:rPr>
        <w:t xml:space="preserve"> </w:t>
      </w:r>
      <w:r w:rsidRPr="00804424">
        <w:rPr>
          <w:rFonts w:asciiTheme="minorHAnsi" w:hAnsiTheme="minorHAnsi"/>
          <w:noProof/>
        </w:rPr>
        <w:t>202:</w:t>
      </w:r>
      <w:r>
        <w:rPr>
          <w:rFonts w:asciiTheme="minorHAnsi" w:hAnsiTheme="minorHAnsi"/>
          <w:noProof/>
        </w:rPr>
        <w:t xml:space="preserve"> 348–64. </w:t>
      </w:r>
      <w:r w:rsidRPr="00804424">
        <w:rPr>
          <w:rFonts w:asciiTheme="minorHAnsi" w:hAnsiTheme="minorHAnsi"/>
          <w:noProof/>
        </w:rPr>
        <w:t>doi:10.1016/j.apenergy.2017.03.132.</w:t>
      </w:r>
    </w:p>
    <w:sectPr w:rsidR="00704BDF" w:rsidRPr="00804424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26B" w:rsidRDefault="00A9626B" w:rsidP="004F5E36">
      <w:r>
        <w:separator/>
      </w:r>
    </w:p>
  </w:endnote>
  <w:endnote w:type="continuationSeparator" w:id="0">
    <w:p w:rsidR="00A9626B" w:rsidRDefault="00A9626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26B" w:rsidRDefault="00A9626B" w:rsidP="004F5E36">
      <w:r>
        <w:separator/>
      </w:r>
    </w:p>
  </w:footnote>
  <w:footnote w:type="continuationSeparator" w:id="0">
    <w:p w:rsidR="00A9626B" w:rsidRDefault="00A9626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-tte"/>
    </w:pPr>
  </w:p>
  <w:p w:rsidR="00704BDF" w:rsidRDefault="00704BD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F452713"/>
    <w:multiLevelType w:val="hybridMultilevel"/>
    <w:tmpl w:val="826A82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33FED"/>
    <w:rsid w:val="00061E3D"/>
    <w:rsid w:val="00062A9A"/>
    <w:rsid w:val="00087D40"/>
    <w:rsid w:val="000A03B2"/>
    <w:rsid w:val="000A1710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2DBD"/>
    <w:rsid w:val="002447EF"/>
    <w:rsid w:val="00251550"/>
    <w:rsid w:val="0027221A"/>
    <w:rsid w:val="00275B61"/>
    <w:rsid w:val="002D1CBC"/>
    <w:rsid w:val="002D1F12"/>
    <w:rsid w:val="003009B7"/>
    <w:rsid w:val="0030469C"/>
    <w:rsid w:val="003723D4"/>
    <w:rsid w:val="003A7D1C"/>
    <w:rsid w:val="003C0A67"/>
    <w:rsid w:val="003C1DBB"/>
    <w:rsid w:val="00435419"/>
    <w:rsid w:val="0046164A"/>
    <w:rsid w:val="00462DCD"/>
    <w:rsid w:val="00483257"/>
    <w:rsid w:val="00493E95"/>
    <w:rsid w:val="004D1162"/>
    <w:rsid w:val="004E4DD6"/>
    <w:rsid w:val="004F5E36"/>
    <w:rsid w:val="005119A5"/>
    <w:rsid w:val="005278B7"/>
    <w:rsid w:val="005346C8"/>
    <w:rsid w:val="005409D1"/>
    <w:rsid w:val="00544AD5"/>
    <w:rsid w:val="00594E9F"/>
    <w:rsid w:val="005B61E6"/>
    <w:rsid w:val="005C77E1"/>
    <w:rsid w:val="005D6A2F"/>
    <w:rsid w:val="005E1A82"/>
    <w:rsid w:val="005F0A28"/>
    <w:rsid w:val="005F0E5E"/>
    <w:rsid w:val="005F31D5"/>
    <w:rsid w:val="00601B11"/>
    <w:rsid w:val="00620DEE"/>
    <w:rsid w:val="0062341F"/>
    <w:rsid w:val="00625639"/>
    <w:rsid w:val="0064184D"/>
    <w:rsid w:val="00660E3E"/>
    <w:rsid w:val="00662E74"/>
    <w:rsid w:val="006807C3"/>
    <w:rsid w:val="006C5513"/>
    <w:rsid w:val="006C5579"/>
    <w:rsid w:val="006D2C63"/>
    <w:rsid w:val="00704BDF"/>
    <w:rsid w:val="00736B13"/>
    <w:rsid w:val="007447F3"/>
    <w:rsid w:val="00746C74"/>
    <w:rsid w:val="00763B0B"/>
    <w:rsid w:val="007661C8"/>
    <w:rsid w:val="00785240"/>
    <w:rsid w:val="007D52CD"/>
    <w:rsid w:val="007F6245"/>
    <w:rsid w:val="00804424"/>
    <w:rsid w:val="00813288"/>
    <w:rsid w:val="008168FC"/>
    <w:rsid w:val="008479A2"/>
    <w:rsid w:val="0085065F"/>
    <w:rsid w:val="0087637F"/>
    <w:rsid w:val="0088006D"/>
    <w:rsid w:val="008A1512"/>
    <w:rsid w:val="008D0BEB"/>
    <w:rsid w:val="008E566E"/>
    <w:rsid w:val="00901EB6"/>
    <w:rsid w:val="009103F1"/>
    <w:rsid w:val="009450CE"/>
    <w:rsid w:val="0095164B"/>
    <w:rsid w:val="00996483"/>
    <w:rsid w:val="009E788A"/>
    <w:rsid w:val="00A0076A"/>
    <w:rsid w:val="00A1763D"/>
    <w:rsid w:val="00A17CEC"/>
    <w:rsid w:val="00A27EF0"/>
    <w:rsid w:val="00A76ABF"/>
    <w:rsid w:val="00A76EFC"/>
    <w:rsid w:val="00A9626B"/>
    <w:rsid w:val="00A97F29"/>
    <w:rsid w:val="00AB0964"/>
    <w:rsid w:val="00AE377D"/>
    <w:rsid w:val="00AE775A"/>
    <w:rsid w:val="00B211AE"/>
    <w:rsid w:val="00B61DBF"/>
    <w:rsid w:val="00B71F5A"/>
    <w:rsid w:val="00BC30C9"/>
    <w:rsid w:val="00BE3E58"/>
    <w:rsid w:val="00C01616"/>
    <w:rsid w:val="00C0162B"/>
    <w:rsid w:val="00C06A65"/>
    <w:rsid w:val="00C345B1"/>
    <w:rsid w:val="00C40142"/>
    <w:rsid w:val="00C50164"/>
    <w:rsid w:val="00C57182"/>
    <w:rsid w:val="00C60588"/>
    <w:rsid w:val="00C655FD"/>
    <w:rsid w:val="00C94434"/>
    <w:rsid w:val="00CA1C95"/>
    <w:rsid w:val="00CA5A9C"/>
    <w:rsid w:val="00CD5FE2"/>
    <w:rsid w:val="00D02B4C"/>
    <w:rsid w:val="00D21599"/>
    <w:rsid w:val="00D61587"/>
    <w:rsid w:val="00D732A7"/>
    <w:rsid w:val="00D84576"/>
    <w:rsid w:val="00DC518A"/>
    <w:rsid w:val="00DE0019"/>
    <w:rsid w:val="00DE264A"/>
    <w:rsid w:val="00E041E7"/>
    <w:rsid w:val="00E23CA1"/>
    <w:rsid w:val="00E409A8"/>
    <w:rsid w:val="00E44760"/>
    <w:rsid w:val="00E7209D"/>
    <w:rsid w:val="00EA50E1"/>
    <w:rsid w:val="00EE0131"/>
    <w:rsid w:val="00F00DCF"/>
    <w:rsid w:val="00F30C64"/>
    <w:rsid w:val="00FB730C"/>
    <w:rsid w:val="00FC2695"/>
    <w:rsid w:val="00FC3E03"/>
    <w:rsid w:val="00FE6A2D"/>
    <w:rsid w:val="00FE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343EFC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table" w:styleId="Ombrageclair">
    <w:name w:val="Light Shading"/>
    <w:basedOn w:val="TableauNormal"/>
    <w:uiPriority w:val="60"/>
    <w:locked/>
    <w:rsid w:val="00746C74"/>
    <w:pPr>
      <w:spacing w:after="0" w:line="240" w:lineRule="auto"/>
    </w:pPr>
    <w:rPr>
      <w:rFonts w:eastAsiaTheme="minorEastAsia"/>
      <w:color w:val="000000" w:themeColor="text1" w:themeShade="BF"/>
      <w:lang w:val="es-CO" w:eastAsia="es-C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phedeliste">
    <w:name w:val="List Paragraph"/>
    <w:basedOn w:val="Normal"/>
    <w:uiPriority w:val="34"/>
    <w:qFormat/>
    <w:locked/>
    <w:rsid w:val="00061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591B9-BEDB-4F7F-AEC3-915F2EE0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Juan David Fonseca Gamboa</cp:lastModifiedBy>
  <cp:revision>2</cp:revision>
  <cp:lastPrinted>2015-05-12T18:31:00Z</cp:lastPrinted>
  <dcterms:created xsi:type="dcterms:W3CDTF">2019-01-15T15:16:00Z</dcterms:created>
  <dcterms:modified xsi:type="dcterms:W3CDTF">2019-01-15T15:16:00Z</dcterms:modified>
</cp:coreProperties>
</file>