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480C8"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166D6E26" w14:textId="4D2D323B" w:rsidR="00490BE6" w:rsidRPr="00490BE6" w:rsidRDefault="00490BE6" w:rsidP="00490BE6">
      <w:pPr>
        <w:rPr>
          <w:rFonts w:asciiTheme="minorHAnsi" w:hAnsiTheme="minorHAnsi"/>
          <w:b/>
          <w:sz w:val="28"/>
          <w:szCs w:val="28"/>
        </w:rPr>
      </w:pPr>
      <w:r w:rsidRPr="00490BE6">
        <w:rPr>
          <w:rFonts w:asciiTheme="minorHAnsi" w:hAnsiTheme="minorHAnsi"/>
          <w:b/>
          <w:sz w:val="28"/>
          <w:szCs w:val="28"/>
        </w:rPr>
        <w:lastRenderedPageBreak/>
        <w:t>Experimental Study of Inductive Heating-Assisted Catalytic Hydrocracking of Naphthalene and Tetralin as Model Compounds</w:t>
      </w:r>
      <w:r w:rsidR="00564BB2">
        <w:rPr>
          <w:rFonts w:asciiTheme="minorHAnsi" w:hAnsiTheme="minorHAnsi"/>
          <w:b/>
          <w:sz w:val="28"/>
          <w:szCs w:val="28"/>
        </w:rPr>
        <w:t xml:space="preserve"> of Heavy Oil</w:t>
      </w:r>
      <w:r w:rsidR="002D2782">
        <w:rPr>
          <w:rFonts w:asciiTheme="minorHAnsi" w:hAnsiTheme="minorHAnsi"/>
          <w:b/>
          <w:sz w:val="28"/>
          <w:szCs w:val="28"/>
        </w:rPr>
        <w:t>.</w:t>
      </w:r>
    </w:p>
    <w:p w14:paraId="7F275415" w14:textId="77777777" w:rsidR="00C40B2A" w:rsidRDefault="00C40B2A" w:rsidP="00C40B2A">
      <w:pPr>
        <w:spacing w:line="360" w:lineRule="auto"/>
        <w:jc w:val="center"/>
        <w:rPr>
          <w:sz w:val="16"/>
          <w:szCs w:val="16"/>
          <w:u w:val="single"/>
        </w:rPr>
      </w:pPr>
    </w:p>
    <w:p w14:paraId="22D1B73F" w14:textId="77777777" w:rsidR="00C40B2A" w:rsidRPr="00C40B2A" w:rsidRDefault="00C40B2A" w:rsidP="00C40B2A">
      <w:pPr>
        <w:spacing w:line="360" w:lineRule="auto"/>
        <w:jc w:val="center"/>
        <w:rPr>
          <w:rFonts w:asciiTheme="minorHAnsi" w:hAnsiTheme="minorHAnsi"/>
          <w:sz w:val="24"/>
          <w:szCs w:val="24"/>
        </w:rPr>
      </w:pPr>
      <w:proofErr w:type="spellStart"/>
      <w:r w:rsidRPr="00C40B2A">
        <w:rPr>
          <w:rFonts w:asciiTheme="minorHAnsi" w:hAnsiTheme="minorHAnsi"/>
          <w:sz w:val="24"/>
          <w:szCs w:val="24"/>
          <w:u w:val="single"/>
        </w:rPr>
        <w:t>Abarasi</w:t>
      </w:r>
      <w:proofErr w:type="spellEnd"/>
      <w:r w:rsidRPr="00C40B2A">
        <w:rPr>
          <w:rFonts w:asciiTheme="minorHAnsi" w:hAnsiTheme="minorHAnsi"/>
          <w:sz w:val="24"/>
          <w:szCs w:val="24"/>
          <w:u w:val="single"/>
        </w:rPr>
        <w:t xml:space="preserve"> Hart</w:t>
      </w:r>
      <w:r w:rsidRPr="00C40B2A">
        <w:rPr>
          <w:rFonts w:asciiTheme="minorHAnsi" w:hAnsiTheme="minorHAnsi"/>
          <w:sz w:val="24"/>
          <w:szCs w:val="24"/>
        </w:rPr>
        <w:t xml:space="preserve"> </w:t>
      </w:r>
      <w:r w:rsidRPr="00C40B2A">
        <w:rPr>
          <w:rFonts w:asciiTheme="minorHAnsi" w:hAnsiTheme="minorHAnsi"/>
          <w:sz w:val="24"/>
          <w:szCs w:val="24"/>
          <w:vertAlign w:val="superscript"/>
        </w:rPr>
        <w:t>1*</w:t>
      </w:r>
      <w:r w:rsidRPr="00C40B2A">
        <w:rPr>
          <w:rFonts w:asciiTheme="minorHAnsi" w:hAnsiTheme="minorHAnsi"/>
          <w:sz w:val="24"/>
          <w:szCs w:val="24"/>
        </w:rPr>
        <w:t xml:space="preserve">, Mohamed Adam </w:t>
      </w:r>
      <w:r w:rsidRPr="00C40B2A">
        <w:rPr>
          <w:rFonts w:asciiTheme="minorHAnsi" w:hAnsiTheme="minorHAnsi"/>
          <w:sz w:val="24"/>
          <w:szCs w:val="24"/>
          <w:vertAlign w:val="superscript"/>
        </w:rPr>
        <w:t>2</w:t>
      </w:r>
      <w:r w:rsidRPr="00C40B2A">
        <w:rPr>
          <w:rFonts w:asciiTheme="minorHAnsi" w:hAnsiTheme="minorHAnsi"/>
          <w:sz w:val="24"/>
          <w:szCs w:val="24"/>
        </w:rPr>
        <w:t xml:space="preserve">, John P. Robinson </w:t>
      </w:r>
      <w:r w:rsidRPr="00C40B2A">
        <w:rPr>
          <w:rFonts w:asciiTheme="minorHAnsi" w:hAnsiTheme="minorHAnsi"/>
          <w:sz w:val="24"/>
          <w:szCs w:val="24"/>
          <w:vertAlign w:val="superscript"/>
        </w:rPr>
        <w:t>2</w:t>
      </w:r>
      <w:r w:rsidRPr="00C40B2A">
        <w:rPr>
          <w:rFonts w:asciiTheme="minorHAnsi" w:hAnsiTheme="minorHAnsi"/>
          <w:sz w:val="24"/>
          <w:szCs w:val="24"/>
        </w:rPr>
        <w:t xml:space="preserve">, Sean P. Rigby </w:t>
      </w:r>
      <w:r w:rsidRPr="00C40B2A">
        <w:rPr>
          <w:rFonts w:asciiTheme="minorHAnsi" w:hAnsiTheme="minorHAnsi"/>
          <w:sz w:val="24"/>
          <w:szCs w:val="24"/>
          <w:vertAlign w:val="superscript"/>
        </w:rPr>
        <w:t>2</w:t>
      </w:r>
      <w:r w:rsidRPr="00C40B2A">
        <w:rPr>
          <w:rFonts w:asciiTheme="minorHAnsi" w:hAnsiTheme="minorHAnsi"/>
          <w:sz w:val="24"/>
          <w:szCs w:val="24"/>
        </w:rPr>
        <w:t xml:space="preserve"> and Joseph Wood </w:t>
      </w:r>
      <w:r w:rsidRPr="00C40B2A">
        <w:rPr>
          <w:rFonts w:asciiTheme="minorHAnsi" w:hAnsiTheme="minorHAnsi"/>
          <w:sz w:val="24"/>
          <w:szCs w:val="24"/>
          <w:vertAlign w:val="superscript"/>
        </w:rPr>
        <w:t>1</w:t>
      </w:r>
    </w:p>
    <w:p w14:paraId="626FAB0D" w14:textId="77777777" w:rsidR="00C40B2A" w:rsidRPr="00C40B2A" w:rsidRDefault="00C40B2A" w:rsidP="003A60EB">
      <w:pPr>
        <w:pStyle w:val="BCAuthorAddress"/>
        <w:spacing w:line="240" w:lineRule="auto"/>
        <w:contextualSpacing/>
        <w:rPr>
          <w:rFonts w:asciiTheme="minorHAnsi" w:hAnsiTheme="minorHAnsi"/>
          <w:i/>
          <w:color w:val="000000" w:themeColor="text1"/>
          <w:sz w:val="20"/>
          <w:lang w:val="en-GB"/>
        </w:rPr>
      </w:pPr>
      <w:r w:rsidRPr="00C40B2A">
        <w:rPr>
          <w:rFonts w:asciiTheme="minorHAnsi" w:hAnsiTheme="minorHAnsi"/>
          <w:i/>
          <w:color w:val="000000" w:themeColor="text1"/>
          <w:sz w:val="20"/>
          <w:vertAlign w:val="superscript"/>
          <w:lang w:val="en-GB"/>
        </w:rPr>
        <w:t xml:space="preserve">1 </w:t>
      </w:r>
      <w:r w:rsidRPr="00C40B2A">
        <w:rPr>
          <w:rFonts w:asciiTheme="minorHAnsi" w:hAnsiTheme="minorHAnsi"/>
          <w:i/>
          <w:color w:val="000000" w:themeColor="text1"/>
          <w:sz w:val="20"/>
          <w:lang w:val="en-GB"/>
        </w:rPr>
        <w:t>School of Chemical Engineering, University of Birmingham, Edgbaston, Birmingham B15 2TT, UK</w:t>
      </w:r>
    </w:p>
    <w:p w14:paraId="7128C121" w14:textId="43860C58" w:rsidR="002D2782" w:rsidRPr="002D2782" w:rsidRDefault="00C40B2A" w:rsidP="003A60EB">
      <w:pPr>
        <w:pStyle w:val="BCAuthorAddress"/>
        <w:spacing w:line="240" w:lineRule="auto"/>
        <w:contextualSpacing/>
        <w:rPr>
          <w:rFonts w:asciiTheme="minorHAnsi" w:hAnsiTheme="minorHAnsi"/>
          <w:i/>
          <w:sz w:val="20"/>
          <w:lang w:val="en-GB"/>
        </w:rPr>
      </w:pPr>
      <w:r w:rsidRPr="00C40B2A">
        <w:rPr>
          <w:rFonts w:asciiTheme="minorHAnsi" w:hAnsiTheme="minorHAnsi"/>
          <w:i/>
          <w:sz w:val="20"/>
          <w:vertAlign w:val="superscript"/>
          <w:lang w:val="en-GB"/>
        </w:rPr>
        <w:t xml:space="preserve">2 </w:t>
      </w:r>
      <w:r w:rsidRPr="00C40B2A">
        <w:rPr>
          <w:rFonts w:asciiTheme="minorHAnsi" w:hAnsiTheme="minorHAnsi"/>
          <w:i/>
          <w:sz w:val="20"/>
          <w:lang w:val="en-GB"/>
        </w:rPr>
        <w:t>Faculty of Engineering, University of Nottingham, Nottingham NG7 2RD, UK</w:t>
      </w:r>
    </w:p>
    <w:p w14:paraId="726BDCD6" w14:textId="6AF50CA6" w:rsidR="00C40B2A" w:rsidRPr="00C40B2A" w:rsidRDefault="00C40B2A" w:rsidP="003A60EB">
      <w:pPr>
        <w:pStyle w:val="BCAuthorAddress"/>
        <w:spacing w:line="360" w:lineRule="auto"/>
        <w:contextualSpacing/>
        <w:rPr>
          <w:rFonts w:asciiTheme="minorHAnsi" w:hAnsiTheme="minorHAnsi"/>
          <w:i/>
          <w:sz w:val="20"/>
          <w:lang w:val="en-GB"/>
        </w:rPr>
      </w:pPr>
      <w:r w:rsidRPr="00C40B2A">
        <w:rPr>
          <w:rFonts w:asciiTheme="minorHAnsi" w:hAnsiTheme="minorHAnsi"/>
          <w:i/>
          <w:sz w:val="20"/>
          <w:lang w:val="en-GB"/>
        </w:rPr>
        <w:t>* Corresponding author:</w:t>
      </w:r>
      <w:r w:rsidRPr="00C40B2A">
        <w:rPr>
          <w:rFonts w:asciiTheme="minorHAnsi" w:hAnsiTheme="minorHAnsi"/>
          <w:i/>
          <w:iCs/>
          <w:sz w:val="20"/>
          <w:lang w:val="en-GB"/>
        </w:rPr>
        <w:t>a.hart@bham.ac.uk</w:t>
      </w:r>
    </w:p>
    <w:p w14:paraId="2F03E020"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2B9F222" w14:textId="77777777" w:rsidR="00704BDF" w:rsidRPr="00EC66CC" w:rsidRDefault="00E47595" w:rsidP="00704BDF">
      <w:pPr>
        <w:pStyle w:val="AbstractBody"/>
        <w:numPr>
          <w:ilvl w:val="0"/>
          <w:numId w:val="16"/>
        </w:numPr>
        <w:rPr>
          <w:rFonts w:asciiTheme="minorHAnsi" w:hAnsiTheme="minorHAnsi"/>
        </w:rPr>
      </w:pPr>
      <w:r>
        <w:rPr>
          <w:rFonts w:asciiTheme="minorHAnsi" w:hAnsiTheme="minorHAnsi"/>
        </w:rPr>
        <w:t>Hydrogenation upgrades poly-aromatics into light hydrocarbon components.</w:t>
      </w:r>
    </w:p>
    <w:p w14:paraId="728AD944" w14:textId="7A7ADEFE" w:rsidR="00704BDF" w:rsidRPr="00EC66CC" w:rsidRDefault="00E47595" w:rsidP="00704BDF">
      <w:pPr>
        <w:pStyle w:val="AbstractBody"/>
        <w:numPr>
          <w:ilvl w:val="0"/>
          <w:numId w:val="16"/>
        </w:numPr>
        <w:rPr>
          <w:rFonts w:asciiTheme="minorHAnsi" w:hAnsiTheme="minorHAnsi"/>
        </w:rPr>
      </w:pPr>
      <w:r>
        <w:rPr>
          <w:rFonts w:asciiTheme="minorHAnsi" w:hAnsiTheme="minorHAnsi"/>
        </w:rPr>
        <w:t xml:space="preserve">Dehydrogenation causes condensation of poly-aromatics </w:t>
      </w:r>
      <w:r w:rsidR="00564BB2">
        <w:rPr>
          <w:rFonts w:asciiTheme="minorHAnsi" w:hAnsiTheme="minorHAnsi"/>
        </w:rPr>
        <w:t xml:space="preserve">exemplar of </w:t>
      </w:r>
      <w:r>
        <w:rPr>
          <w:rFonts w:asciiTheme="minorHAnsi" w:hAnsiTheme="minorHAnsi"/>
        </w:rPr>
        <w:t>heavy oil.</w:t>
      </w:r>
      <w:r w:rsidR="00704BDF" w:rsidRPr="00EC66CC">
        <w:rPr>
          <w:rFonts w:asciiTheme="minorHAnsi" w:hAnsiTheme="minorHAnsi"/>
        </w:rPr>
        <w:t xml:space="preserve"> </w:t>
      </w:r>
    </w:p>
    <w:p w14:paraId="53BDFA84" w14:textId="56C9BC8B" w:rsidR="00704BDF" w:rsidRPr="00EC66CC" w:rsidRDefault="009830D5" w:rsidP="00704BDF">
      <w:pPr>
        <w:pStyle w:val="AbstractBody"/>
        <w:numPr>
          <w:ilvl w:val="0"/>
          <w:numId w:val="16"/>
        </w:numPr>
        <w:rPr>
          <w:rFonts w:asciiTheme="minorHAnsi" w:hAnsiTheme="minorHAnsi"/>
        </w:rPr>
      </w:pPr>
      <w:r>
        <w:rPr>
          <w:rFonts w:asciiTheme="minorHAnsi" w:hAnsiTheme="minorHAnsi"/>
        </w:rPr>
        <w:t>Ni enhanced the hydrogenating</w:t>
      </w:r>
      <w:r w:rsidR="00E47595">
        <w:rPr>
          <w:rFonts w:asciiTheme="minorHAnsi" w:hAnsiTheme="minorHAnsi"/>
        </w:rPr>
        <w:t xml:space="preserve"> activity of the catalyst </w:t>
      </w:r>
      <w:r w:rsidR="00564BB2">
        <w:rPr>
          <w:rFonts w:asciiTheme="minorHAnsi" w:hAnsiTheme="minorHAnsi"/>
        </w:rPr>
        <w:t xml:space="preserve">compared with </w:t>
      </w:r>
      <w:r w:rsidR="00E47595">
        <w:rPr>
          <w:rFonts w:asciiTheme="minorHAnsi" w:hAnsiTheme="minorHAnsi"/>
        </w:rPr>
        <w:t>Co.</w:t>
      </w:r>
    </w:p>
    <w:p w14:paraId="3A407AB0" w14:textId="77777777" w:rsidR="00704BDF" w:rsidRPr="00EC66CC" w:rsidRDefault="00C106C4" w:rsidP="00704BDF">
      <w:pPr>
        <w:pStyle w:val="AbstractBody"/>
        <w:numPr>
          <w:ilvl w:val="0"/>
          <w:numId w:val="16"/>
        </w:numPr>
        <w:rPr>
          <w:rFonts w:asciiTheme="minorHAnsi" w:hAnsiTheme="minorHAnsi"/>
        </w:rPr>
      </w:pPr>
      <w:r>
        <w:rPr>
          <w:rFonts w:asciiTheme="minorHAnsi" w:hAnsiTheme="minorHAnsi"/>
        </w:rPr>
        <w:t xml:space="preserve">The rate of naphthalene </w:t>
      </w:r>
      <w:proofErr w:type="spellStart"/>
      <w:r>
        <w:rPr>
          <w:rFonts w:asciiTheme="minorHAnsi" w:hAnsiTheme="minorHAnsi"/>
        </w:rPr>
        <w:t>hydroconversion</w:t>
      </w:r>
      <w:proofErr w:type="spellEnd"/>
      <w:r>
        <w:rPr>
          <w:rFonts w:asciiTheme="minorHAnsi" w:hAnsiTheme="minorHAnsi"/>
        </w:rPr>
        <w:t xml:space="preserve"> is</w:t>
      </w:r>
      <w:r w:rsidR="00564BB2">
        <w:rPr>
          <w:rFonts w:asciiTheme="minorHAnsi" w:hAnsiTheme="minorHAnsi"/>
        </w:rPr>
        <w:t xml:space="preserve"> higher</w:t>
      </w:r>
      <w:r>
        <w:rPr>
          <w:rFonts w:asciiTheme="minorHAnsi" w:hAnsiTheme="minorHAnsi"/>
        </w:rPr>
        <w:t xml:space="preserve"> than tetralin.</w:t>
      </w:r>
    </w:p>
    <w:p w14:paraId="56AF7885" w14:textId="77777777" w:rsidR="00704BDF" w:rsidRPr="00C40B2A" w:rsidRDefault="00704BDF" w:rsidP="00704BDF">
      <w:pPr>
        <w:snapToGrid w:val="0"/>
        <w:spacing w:after="120"/>
        <w:jc w:val="center"/>
        <w:rPr>
          <w:rFonts w:eastAsia="SimSun"/>
          <w:bCs/>
          <w:i/>
          <w:iCs/>
          <w:color w:val="0000FF"/>
          <w:sz w:val="10"/>
          <w:lang w:val="en-US" w:eastAsia="zh-CN"/>
        </w:rPr>
      </w:pPr>
    </w:p>
    <w:p w14:paraId="24AF6434"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7A3E937" w14:textId="4162A75F" w:rsidR="00BB2A51" w:rsidRDefault="00BB2A51" w:rsidP="00490BE6">
      <w:pPr>
        <w:spacing w:line="240" w:lineRule="auto"/>
        <w:rPr>
          <w:rFonts w:ascii="Calibri" w:hAnsi="Calibri"/>
          <w:sz w:val="22"/>
          <w:szCs w:val="22"/>
        </w:rPr>
      </w:pPr>
      <w:r w:rsidRPr="00BB2A51">
        <w:rPr>
          <w:rFonts w:ascii="Calibri" w:hAnsi="Calibri"/>
          <w:sz w:val="22"/>
          <w:szCs w:val="22"/>
        </w:rPr>
        <w:t xml:space="preserve">The demand for transportation fuels is rising with the major source of supply being declining </w:t>
      </w:r>
      <w:r w:rsidR="00564BB2" w:rsidRPr="00BB2A51">
        <w:rPr>
          <w:rFonts w:ascii="Calibri" w:hAnsi="Calibri"/>
          <w:sz w:val="22"/>
          <w:szCs w:val="22"/>
        </w:rPr>
        <w:t xml:space="preserve">crude oil </w:t>
      </w:r>
      <w:r w:rsidRPr="00BB2A51">
        <w:rPr>
          <w:rFonts w:ascii="Calibri" w:hAnsi="Calibri"/>
          <w:sz w:val="22"/>
          <w:szCs w:val="22"/>
        </w:rPr>
        <w:t xml:space="preserve">reserves. To meet the demand-supply gap, the exploitation of </w:t>
      </w:r>
      <w:r w:rsidR="00564BB2" w:rsidRPr="00BB2A51">
        <w:rPr>
          <w:rFonts w:ascii="Calibri" w:hAnsi="Calibri"/>
          <w:sz w:val="22"/>
          <w:szCs w:val="22"/>
        </w:rPr>
        <w:t>l</w:t>
      </w:r>
      <w:r w:rsidR="00564BB2">
        <w:rPr>
          <w:rFonts w:ascii="Calibri" w:hAnsi="Calibri"/>
          <w:sz w:val="22"/>
          <w:szCs w:val="22"/>
        </w:rPr>
        <w:t>ower</w:t>
      </w:r>
      <w:r w:rsidR="00564BB2" w:rsidRPr="00BB2A51">
        <w:rPr>
          <w:rFonts w:ascii="Calibri" w:hAnsi="Calibri"/>
          <w:sz w:val="22"/>
          <w:szCs w:val="22"/>
        </w:rPr>
        <w:t xml:space="preserve"> </w:t>
      </w:r>
      <w:r w:rsidRPr="00BB2A51">
        <w:rPr>
          <w:rFonts w:ascii="Calibri" w:hAnsi="Calibri"/>
          <w:sz w:val="22"/>
          <w:szCs w:val="22"/>
        </w:rPr>
        <w:t>quality but abundant deposit</w:t>
      </w:r>
      <w:r w:rsidR="00564BB2">
        <w:rPr>
          <w:rFonts w:ascii="Calibri" w:hAnsi="Calibri"/>
          <w:sz w:val="22"/>
          <w:szCs w:val="22"/>
        </w:rPr>
        <w:t>s</w:t>
      </w:r>
      <w:r w:rsidRPr="00BB2A51">
        <w:rPr>
          <w:rFonts w:ascii="Calibri" w:hAnsi="Calibri"/>
          <w:sz w:val="22"/>
          <w:szCs w:val="22"/>
        </w:rPr>
        <w:t xml:space="preserve"> of heavy oil and bitumen is necessary</w:t>
      </w:r>
      <w:r w:rsidR="00564BB2">
        <w:rPr>
          <w:rFonts w:ascii="Calibri" w:hAnsi="Calibri"/>
          <w:sz w:val="22"/>
          <w:szCs w:val="22"/>
        </w:rPr>
        <w:t>,</w:t>
      </w:r>
      <w:r w:rsidRPr="00BB2A51">
        <w:rPr>
          <w:rFonts w:ascii="Calibri" w:hAnsi="Calibri"/>
          <w:sz w:val="22"/>
          <w:szCs w:val="22"/>
        </w:rPr>
        <w:t xml:space="preserve"> while waiting for the transition to renewable fuels. Partial upgrading of heavy oil can be achieved in situ through Toe-to-Heel Air Injection (THAI) and its catalytic variant CAPRI; however, to attain the </w:t>
      </w:r>
      <w:r w:rsidR="00564BB2">
        <w:rPr>
          <w:rFonts w:ascii="Calibri" w:hAnsi="Calibri"/>
          <w:sz w:val="22"/>
          <w:szCs w:val="22"/>
        </w:rPr>
        <w:t>required</w:t>
      </w:r>
      <w:r w:rsidR="00564BB2" w:rsidRPr="00BB2A51">
        <w:rPr>
          <w:rFonts w:ascii="Calibri" w:hAnsi="Calibri"/>
          <w:sz w:val="22"/>
          <w:szCs w:val="22"/>
        </w:rPr>
        <w:t xml:space="preserve"> </w:t>
      </w:r>
      <w:r w:rsidRPr="00BB2A51">
        <w:rPr>
          <w:rFonts w:ascii="Calibri" w:hAnsi="Calibri"/>
          <w:sz w:val="22"/>
          <w:szCs w:val="22"/>
        </w:rPr>
        <w:t>temperature in the catalytic zone necessitate</w:t>
      </w:r>
      <w:r w:rsidR="00564BB2">
        <w:rPr>
          <w:rFonts w:ascii="Calibri" w:hAnsi="Calibri"/>
          <w:sz w:val="22"/>
          <w:szCs w:val="22"/>
        </w:rPr>
        <w:t>s</w:t>
      </w:r>
      <w:r w:rsidRPr="00BB2A51">
        <w:rPr>
          <w:rFonts w:ascii="Calibri" w:hAnsi="Calibri"/>
          <w:sz w:val="22"/>
          <w:szCs w:val="22"/>
        </w:rPr>
        <w:t xml:space="preserve"> a rapid heat</w:t>
      </w:r>
      <w:r w:rsidR="00564BB2">
        <w:rPr>
          <w:rFonts w:ascii="Calibri" w:hAnsi="Calibri"/>
          <w:sz w:val="22"/>
          <w:szCs w:val="22"/>
        </w:rPr>
        <w:t>ing method</w:t>
      </w:r>
      <w:r w:rsidRPr="00BB2A51">
        <w:rPr>
          <w:rFonts w:ascii="Calibri" w:hAnsi="Calibri"/>
          <w:sz w:val="22"/>
          <w:szCs w:val="22"/>
        </w:rPr>
        <w:t xml:space="preserve"> such as inductive heating</w:t>
      </w:r>
      <w:r w:rsidR="007701A7">
        <w:rPr>
          <w:rFonts w:ascii="Calibri" w:hAnsi="Calibri"/>
          <w:sz w:val="22"/>
          <w:szCs w:val="22"/>
        </w:rPr>
        <w:t xml:space="preserve"> [1</w:t>
      </w:r>
      <w:r w:rsidR="00072BE6">
        <w:rPr>
          <w:rFonts w:ascii="Calibri" w:hAnsi="Calibri"/>
          <w:sz w:val="22"/>
          <w:szCs w:val="22"/>
        </w:rPr>
        <w:t>]</w:t>
      </w:r>
      <w:r w:rsidRPr="00BB2A51">
        <w:rPr>
          <w:rFonts w:ascii="Calibri" w:hAnsi="Calibri"/>
          <w:sz w:val="22"/>
          <w:szCs w:val="22"/>
        </w:rPr>
        <w:t xml:space="preserve">. </w:t>
      </w:r>
    </w:p>
    <w:p w14:paraId="6636EA60" w14:textId="77777777" w:rsidR="00BB2A51" w:rsidRPr="00BB2A51" w:rsidRDefault="00BB2A51" w:rsidP="00490BE6">
      <w:pPr>
        <w:spacing w:line="240" w:lineRule="auto"/>
        <w:rPr>
          <w:rFonts w:ascii="Calibri" w:hAnsi="Calibri"/>
          <w:sz w:val="4"/>
          <w:szCs w:val="22"/>
        </w:rPr>
      </w:pPr>
    </w:p>
    <w:p w14:paraId="63CA4767" w14:textId="77777777" w:rsidR="00BB2A51" w:rsidRDefault="00BB2A51" w:rsidP="00490BE6">
      <w:pPr>
        <w:spacing w:line="240" w:lineRule="auto"/>
        <w:rPr>
          <w:rFonts w:ascii="Calibri" w:hAnsi="Calibri"/>
          <w:sz w:val="22"/>
          <w:szCs w:val="22"/>
        </w:rPr>
      </w:pPr>
      <w:r w:rsidRPr="00BB2A51">
        <w:rPr>
          <w:rFonts w:ascii="Calibri" w:hAnsi="Calibri"/>
          <w:sz w:val="22"/>
          <w:szCs w:val="22"/>
        </w:rPr>
        <w:t>Poly-aromatic hydrocarbons account for remarkable portion of heavy oil and bitumen, and give them high viscosity and low American Petroleum Institute (API) gravity. In the process of catalytic upgrading, the poly-aromatics</w:t>
      </w:r>
      <w:r w:rsidR="00564BB2">
        <w:rPr>
          <w:rFonts w:ascii="Calibri" w:hAnsi="Calibri"/>
          <w:sz w:val="22"/>
          <w:szCs w:val="22"/>
        </w:rPr>
        <w:t xml:space="preserve"> are</w:t>
      </w:r>
      <w:r w:rsidRPr="00BB2A51">
        <w:rPr>
          <w:rFonts w:ascii="Calibri" w:hAnsi="Calibri"/>
          <w:sz w:val="22"/>
          <w:szCs w:val="22"/>
        </w:rPr>
        <w:t xml:space="preserve"> readily condensed to form coke</w:t>
      </w:r>
      <w:r w:rsidR="00564BB2">
        <w:rPr>
          <w:rFonts w:ascii="Calibri" w:hAnsi="Calibri"/>
          <w:sz w:val="22"/>
          <w:szCs w:val="22"/>
        </w:rPr>
        <w:t>,</w:t>
      </w:r>
      <w:r w:rsidRPr="00BB2A51">
        <w:rPr>
          <w:rFonts w:ascii="Calibri" w:hAnsi="Calibri"/>
          <w:sz w:val="22"/>
          <w:szCs w:val="22"/>
        </w:rPr>
        <w:t xml:space="preserve"> especially in a hydrogen limited environment which rapidly deactivate</w:t>
      </w:r>
      <w:r w:rsidR="00564BB2">
        <w:rPr>
          <w:rFonts w:ascii="Calibri" w:hAnsi="Calibri"/>
          <w:sz w:val="22"/>
          <w:szCs w:val="22"/>
        </w:rPr>
        <w:t>s</w:t>
      </w:r>
      <w:r w:rsidRPr="00BB2A51">
        <w:rPr>
          <w:rFonts w:ascii="Calibri" w:hAnsi="Calibri"/>
          <w:sz w:val="22"/>
          <w:szCs w:val="22"/>
        </w:rPr>
        <w:t xml:space="preserve"> and plug</w:t>
      </w:r>
      <w:r w:rsidR="00564BB2">
        <w:rPr>
          <w:rFonts w:ascii="Calibri" w:hAnsi="Calibri"/>
          <w:sz w:val="22"/>
          <w:szCs w:val="22"/>
        </w:rPr>
        <w:t>s</w:t>
      </w:r>
      <w:r w:rsidRPr="00BB2A51">
        <w:rPr>
          <w:rFonts w:ascii="Calibri" w:hAnsi="Calibri"/>
          <w:sz w:val="22"/>
          <w:szCs w:val="22"/>
        </w:rPr>
        <w:t xml:space="preserve"> the catalyst pores</w:t>
      </w:r>
      <w:r w:rsidR="007701A7">
        <w:rPr>
          <w:rFonts w:ascii="Calibri" w:hAnsi="Calibri"/>
          <w:sz w:val="22"/>
          <w:szCs w:val="22"/>
        </w:rPr>
        <w:t xml:space="preserve"> [1,2</w:t>
      </w:r>
      <w:r w:rsidR="00072BE6">
        <w:rPr>
          <w:rFonts w:ascii="Calibri" w:hAnsi="Calibri"/>
          <w:sz w:val="22"/>
          <w:szCs w:val="22"/>
        </w:rPr>
        <w:t>]</w:t>
      </w:r>
      <w:r w:rsidRPr="00BB2A51">
        <w:rPr>
          <w:rFonts w:ascii="Calibri" w:hAnsi="Calibri"/>
          <w:sz w:val="22"/>
          <w:szCs w:val="22"/>
        </w:rPr>
        <w:t xml:space="preserve">. </w:t>
      </w:r>
    </w:p>
    <w:p w14:paraId="62223526" w14:textId="77777777" w:rsidR="00BB2A51" w:rsidRPr="00BB2A51" w:rsidRDefault="00BB2A51" w:rsidP="00490BE6">
      <w:pPr>
        <w:spacing w:line="240" w:lineRule="auto"/>
        <w:rPr>
          <w:rFonts w:ascii="Calibri" w:hAnsi="Calibri"/>
          <w:sz w:val="4"/>
          <w:szCs w:val="22"/>
        </w:rPr>
      </w:pPr>
    </w:p>
    <w:p w14:paraId="555DE0E0" w14:textId="77777777" w:rsidR="00BB2A51" w:rsidRDefault="00A53510" w:rsidP="00490BE6">
      <w:pPr>
        <w:spacing w:line="240" w:lineRule="auto"/>
        <w:rPr>
          <w:rFonts w:ascii="Calibri" w:hAnsi="Calibri"/>
          <w:sz w:val="22"/>
          <w:szCs w:val="22"/>
        </w:rPr>
      </w:pPr>
      <w:r>
        <w:rPr>
          <w:rFonts w:ascii="Calibri" w:hAnsi="Calibri"/>
          <w:sz w:val="22"/>
          <w:szCs w:val="22"/>
        </w:rPr>
        <w:t xml:space="preserve">The hydrocracking of </w:t>
      </w:r>
      <w:r w:rsidR="00BB2A51" w:rsidRPr="00BB2A51">
        <w:rPr>
          <w:rFonts w:ascii="Calibri" w:hAnsi="Calibri"/>
          <w:sz w:val="22"/>
          <w:szCs w:val="22"/>
        </w:rPr>
        <w:t>poly-aromatics in heavy oils with inductive heating-</w:t>
      </w:r>
      <w:r>
        <w:rPr>
          <w:rFonts w:ascii="Calibri" w:hAnsi="Calibri"/>
          <w:sz w:val="22"/>
          <w:szCs w:val="22"/>
        </w:rPr>
        <w:t>assisted catalysis was studied</w:t>
      </w:r>
      <w:r w:rsidR="00BB2A51" w:rsidRPr="00BB2A51">
        <w:rPr>
          <w:rFonts w:ascii="Calibri" w:hAnsi="Calibri"/>
          <w:sz w:val="22"/>
          <w:szCs w:val="22"/>
        </w:rPr>
        <w:t xml:space="preserve">. Typical hydrotreating catalysts (e.g., </w:t>
      </w:r>
      <w:proofErr w:type="spellStart"/>
      <w:r w:rsidR="00BB2A51" w:rsidRPr="00BB2A51">
        <w:rPr>
          <w:rFonts w:ascii="Calibri" w:hAnsi="Calibri"/>
          <w:sz w:val="22"/>
          <w:szCs w:val="22"/>
        </w:rPr>
        <w:t>NiMo</w:t>
      </w:r>
      <w:proofErr w:type="spellEnd"/>
      <w:r w:rsidR="00BB2A51" w:rsidRPr="00BB2A51">
        <w:rPr>
          <w:rFonts w:ascii="Calibri" w:hAnsi="Calibri"/>
          <w:sz w:val="22"/>
          <w:szCs w:val="22"/>
        </w:rPr>
        <w:t>/Al</w:t>
      </w:r>
      <w:r w:rsidR="00BB2A51" w:rsidRPr="00BB2A51">
        <w:rPr>
          <w:rFonts w:ascii="Calibri" w:hAnsi="Calibri"/>
          <w:sz w:val="22"/>
          <w:szCs w:val="22"/>
          <w:vertAlign w:val="subscript"/>
        </w:rPr>
        <w:t>2</w:t>
      </w:r>
      <w:r w:rsidR="00BB2A51" w:rsidRPr="00BB2A51">
        <w:rPr>
          <w:rFonts w:ascii="Calibri" w:hAnsi="Calibri"/>
          <w:sz w:val="22"/>
          <w:szCs w:val="22"/>
        </w:rPr>
        <w:t>O</w:t>
      </w:r>
      <w:r w:rsidR="00BB2A51" w:rsidRPr="00BB2A51">
        <w:rPr>
          <w:rFonts w:ascii="Calibri" w:hAnsi="Calibri"/>
          <w:sz w:val="22"/>
          <w:szCs w:val="22"/>
          <w:vertAlign w:val="subscript"/>
        </w:rPr>
        <w:t>3</w:t>
      </w:r>
      <w:r w:rsidR="00BB2A51" w:rsidRPr="00BB2A51">
        <w:rPr>
          <w:rFonts w:ascii="Calibri" w:hAnsi="Calibri"/>
          <w:sz w:val="22"/>
          <w:szCs w:val="22"/>
        </w:rPr>
        <w:t xml:space="preserve"> and </w:t>
      </w:r>
      <w:proofErr w:type="spellStart"/>
      <w:r w:rsidR="00BB2A51" w:rsidRPr="00BB2A51">
        <w:rPr>
          <w:rFonts w:ascii="Calibri" w:hAnsi="Calibri"/>
          <w:sz w:val="22"/>
          <w:szCs w:val="22"/>
        </w:rPr>
        <w:t>CoMo</w:t>
      </w:r>
      <w:proofErr w:type="spellEnd"/>
      <w:r w:rsidR="00BB2A51" w:rsidRPr="00BB2A51">
        <w:rPr>
          <w:rFonts w:ascii="Calibri" w:hAnsi="Calibri"/>
          <w:sz w:val="22"/>
          <w:szCs w:val="22"/>
        </w:rPr>
        <w:t>/Al</w:t>
      </w:r>
      <w:r w:rsidR="00BB2A51" w:rsidRPr="00BB2A51">
        <w:rPr>
          <w:rFonts w:ascii="Calibri" w:hAnsi="Calibri"/>
          <w:sz w:val="22"/>
          <w:szCs w:val="22"/>
          <w:vertAlign w:val="subscript"/>
        </w:rPr>
        <w:t>2</w:t>
      </w:r>
      <w:r w:rsidR="00BB2A51" w:rsidRPr="00BB2A51">
        <w:rPr>
          <w:rFonts w:ascii="Calibri" w:hAnsi="Calibri"/>
          <w:sz w:val="22"/>
          <w:szCs w:val="22"/>
        </w:rPr>
        <w:t>O</w:t>
      </w:r>
      <w:r w:rsidR="00BB2A51" w:rsidRPr="00BB2A51">
        <w:rPr>
          <w:rFonts w:ascii="Calibri" w:hAnsi="Calibri"/>
          <w:sz w:val="22"/>
          <w:szCs w:val="22"/>
          <w:vertAlign w:val="subscript"/>
        </w:rPr>
        <w:t>3</w:t>
      </w:r>
      <w:r w:rsidR="00BB2A51" w:rsidRPr="00BB2A51">
        <w:rPr>
          <w:rFonts w:ascii="Calibri" w:hAnsi="Calibri"/>
          <w:sz w:val="22"/>
          <w:szCs w:val="22"/>
        </w:rPr>
        <w:t xml:space="preserve">) were evaluated for hydrocracking reactions. The formation of coke based on the number of aromatic rings was also studied using naphthalene and tetralin. This study is conducted as part of the evaluation of incorporating inductive heating to augment the temperatures in the vicinity of the catalyst zone in the THAI-CAPRI process in order maximise catalyst performance and increase upgrading. </w:t>
      </w:r>
    </w:p>
    <w:p w14:paraId="0D88C4B3" w14:textId="77777777" w:rsidR="00BB2A51" w:rsidRPr="00BB2A51" w:rsidRDefault="00BB2A51" w:rsidP="00BB2A51">
      <w:pPr>
        <w:rPr>
          <w:rFonts w:ascii="Calibri" w:hAnsi="Calibri"/>
          <w:sz w:val="22"/>
          <w:szCs w:val="22"/>
        </w:rPr>
      </w:pPr>
    </w:p>
    <w:p w14:paraId="52EEB9E7"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B5EB992" w14:textId="77777777" w:rsidR="00043537" w:rsidRDefault="00043537" w:rsidP="00043537">
      <w:pPr>
        <w:spacing w:line="240" w:lineRule="auto"/>
        <w:rPr>
          <w:rFonts w:asciiTheme="minorHAnsi" w:hAnsiTheme="minorHAnsi"/>
          <w:sz w:val="22"/>
          <w:szCs w:val="22"/>
        </w:rPr>
      </w:pPr>
      <w:r>
        <w:rPr>
          <w:sz w:val="16"/>
          <w:szCs w:val="16"/>
        </w:rPr>
        <w:tab/>
      </w:r>
      <w:r w:rsidRPr="00043537">
        <w:rPr>
          <w:rFonts w:asciiTheme="minorHAnsi" w:hAnsiTheme="minorHAnsi"/>
          <w:sz w:val="22"/>
          <w:szCs w:val="22"/>
        </w:rPr>
        <w:t xml:space="preserve">Commercial </w:t>
      </w:r>
      <w:r w:rsidR="008D1CC0">
        <w:rPr>
          <w:rFonts w:asciiTheme="minorHAnsi" w:hAnsiTheme="minorHAnsi"/>
          <w:sz w:val="22"/>
          <w:szCs w:val="22"/>
        </w:rPr>
        <w:t xml:space="preserve">catalysts </w:t>
      </w:r>
      <w:proofErr w:type="spellStart"/>
      <w:r w:rsidRPr="00043537">
        <w:rPr>
          <w:rFonts w:asciiTheme="minorHAnsi" w:hAnsiTheme="minorHAnsi"/>
          <w:sz w:val="22"/>
          <w:szCs w:val="22"/>
        </w:rPr>
        <w:t>NiMo</w:t>
      </w:r>
      <w:proofErr w:type="spellEnd"/>
      <w:r w:rsidRPr="00043537">
        <w:rPr>
          <w:rFonts w:asciiTheme="minorHAnsi" w:hAnsiTheme="minorHAnsi"/>
          <w:sz w:val="22"/>
          <w:szCs w:val="22"/>
        </w:rPr>
        <w:t>/Al</w:t>
      </w:r>
      <w:r w:rsidRPr="00043537">
        <w:rPr>
          <w:rFonts w:asciiTheme="minorHAnsi" w:hAnsiTheme="minorHAnsi"/>
          <w:sz w:val="22"/>
          <w:szCs w:val="22"/>
          <w:vertAlign w:val="subscript"/>
        </w:rPr>
        <w:t>2</w:t>
      </w:r>
      <w:r w:rsidRPr="00043537">
        <w:rPr>
          <w:rFonts w:asciiTheme="minorHAnsi" w:hAnsiTheme="minorHAnsi"/>
          <w:sz w:val="22"/>
          <w:szCs w:val="22"/>
        </w:rPr>
        <w:t>O</w:t>
      </w:r>
      <w:r w:rsidRPr="00043537">
        <w:rPr>
          <w:rFonts w:asciiTheme="minorHAnsi" w:hAnsiTheme="minorHAnsi"/>
          <w:sz w:val="22"/>
          <w:szCs w:val="22"/>
          <w:vertAlign w:val="subscript"/>
        </w:rPr>
        <w:t>3</w:t>
      </w:r>
      <w:r w:rsidRPr="00043537">
        <w:rPr>
          <w:rFonts w:asciiTheme="minorHAnsi" w:hAnsiTheme="minorHAnsi"/>
          <w:sz w:val="22"/>
          <w:szCs w:val="22"/>
        </w:rPr>
        <w:t xml:space="preserve"> and </w:t>
      </w:r>
      <w:proofErr w:type="spellStart"/>
      <w:r w:rsidRPr="00043537">
        <w:rPr>
          <w:rFonts w:asciiTheme="minorHAnsi" w:hAnsiTheme="minorHAnsi"/>
          <w:sz w:val="22"/>
          <w:szCs w:val="22"/>
        </w:rPr>
        <w:t>CoMo</w:t>
      </w:r>
      <w:proofErr w:type="spellEnd"/>
      <w:r w:rsidRPr="00043537">
        <w:rPr>
          <w:rFonts w:asciiTheme="minorHAnsi" w:hAnsiTheme="minorHAnsi"/>
          <w:sz w:val="22"/>
          <w:szCs w:val="22"/>
        </w:rPr>
        <w:t>/Al</w:t>
      </w:r>
      <w:r w:rsidRPr="00043537">
        <w:rPr>
          <w:rFonts w:asciiTheme="minorHAnsi" w:hAnsiTheme="minorHAnsi"/>
          <w:sz w:val="22"/>
          <w:szCs w:val="22"/>
          <w:vertAlign w:val="subscript"/>
        </w:rPr>
        <w:t>2</w:t>
      </w:r>
      <w:r w:rsidRPr="00043537">
        <w:rPr>
          <w:rFonts w:asciiTheme="minorHAnsi" w:hAnsiTheme="minorHAnsi"/>
          <w:sz w:val="22"/>
          <w:szCs w:val="22"/>
        </w:rPr>
        <w:t>O</w:t>
      </w:r>
      <w:r w:rsidRPr="00043537">
        <w:rPr>
          <w:rFonts w:asciiTheme="minorHAnsi" w:hAnsiTheme="minorHAnsi"/>
          <w:sz w:val="22"/>
          <w:szCs w:val="22"/>
          <w:vertAlign w:val="subscript"/>
        </w:rPr>
        <w:t>3</w:t>
      </w:r>
      <w:r w:rsidRPr="00043537">
        <w:rPr>
          <w:rFonts w:asciiTheme="minorHAnsi" w:hAnsiTheme="minorHAnsi"/>
          <w:sz w:val="22"/>
          <w:szCs w:val="22"/>
        </w:rPr>
        <w:t xml:space="preserve"> </w:t>
      </w:r>
      <w:proofErr w:type="spellStart"/>
      <w:r w:rsidRPr="00043537">
        <w:rPr>
          <w:rFonts w:asciiTheme="minorHAnsi" w:hAnsiTheme="minorHAnsi"/>
          <w:sz w:val="22"/>
          <w:szCs w:val="22"/>
        </w:rPr>
        <w:t>quadra</w:t>
      </w:r>
      <w:proofErr w:type="spellEnd"/>
      <w:r w:rsidRPr="00043537">
        <w:rPr>
          <w:rFonts w:asciiTheme="minorHAnsi" w:hAnsiTheme="minorHAnsi"/>
          <w:sz w:val="22"/>
          <w:szCs w:val="22"/>
        </w:rPr>
        <w:t xml:space="preserve">-lobe shaped (AkzoNobel) with dimensions (5 </w:t>
      </w:r>
      <w:r w:rsidR="008D1CC0">
        <w:rPr>
          <w:rFonts w:asciiTheme="minorHAnsi" w:hAnsiTheme="minorHAnsi"/>
          <w:sz w:val="22"/>
          <w:szCs w:val="22"/>
        </w:rPr>
        <w:t>± 2.1 mm × 1.4 mm × 1.21 mm) were</w:t>
      </w:r>
      <w:r w:rsidRPr="00043537">
        <w:rPr>
          <w:rFonts w:asciiTheme="minorHAnsi" w:hAnsiTheme="minorHAnsi"/>
          <w:sz w:val="22"/>
          <w:szCs w:val="22"/>
        </w:rPr>
        <w:t xml:space="preserve"> used. The feedstock was naphthalene (99+%, Alfa </w:t>
      </w:r>
      <w:proofErr w:type="spellStart"/>
      <w:r w:rsidRPr="00043537">
        <w:rPr>
          <w:rFonts w:asciiTheme="minorHAnsi" w:hAnsiTheme="minorHAnsi"/>
          <w:sz w:val="22"/>
          <w:szCs w:val="22"/>
        </w:rPr>
        <w:t>Aesar</w:t>
      </w:r>
      <w:proofErr w:type="spellEnd"/>
      <w:r w:rsidR="008D1CC0">
        <w:rPr>
          <w:rFonts w:asciiTheme="minorHAnsi" w:hAnsiTheme="minorHAnsi"/>
          <w:sz w:val="22"/>
          <w:szCs w:val="22"/>
        </w:rPr>
        <w:t xml:space="preserve">), </w:t>
      </w:r>
      <w:proofErr w:type="spellStart"/>
      <w:r w:rsidR="008D1CC0">
        <w:rPr>
          <w:rFonts w:asciiTheme="minorHAnsi" w:hAnsiTheme="minorHAnsi"/>
          <w:sz w:val="22"/>
          <w:szCs w:val="22"/>
        </w:rPr>
        <w:t>tetralin</w:t>
      </w:r>
      <w:proofErr w:type="spellEnd"/>
      <w:r w:rsidR="008D1CC0">
        <w:rPr>
          <w:rFonts w:asciiTheme="minorHAnsi" w:hAnsiTheme="minorHAnsi"/>
          <w:sz w:val="22"/>
          <w:szCs w:val="22"/>
        </w:rPr>
        <w:t xml:space="preserve"> (99.5%), solvent </w:t>
      </w:r>
      <w:r w:rsidRPr="00043537">
        <w:rPr>
          <w:rFonts w:asciiTheme="minorHAnsi" w:hAnsiTheme="minorHAnsi"/>
          <w:sz w:val="22"/>
          <w:szCs w:val="22"/>
        </w:rPr>
        <w:t xml:space="preserve">n-hexadecane (99%, Alfa </w:t>
      </w:r>
      <w:proofErr w:type="spellStart"/>
      <w:r w:rsidRPr="00043537">
        <w:rPr>
          <w:rFonts w:asciiTheme="minorHAnsi" w:hAnsiTheme="minorHAnsi"/>
          <w:sz w:val="22"/>
          <w:szCs w:val="22"/>
        </w:rPr>
        <w:t>Aesar</w:t>
      </w:r>
      <w:proofErr w:type="spellEnd"/>
      <w:r w:rsidRPr="00043537">
        <w:rPr>
          <w:rFonts w:asciiTheme="minorHAnsi" w:hAnsiTheme="minorHAnsi"/>
          <w:sz w:val="22"/>
          <w:szCs w:val="22"/>
        </w:rPr>
        <w:t>) and</w:t>
      </w:r>
      <w:r w:rsidR="008D1CC0">
        <w:rPr>
          <w:rFonts w:asciiTheme="minorHAnsi" w:hAnsiTheme="minorHAnsi"/>
          <w:sz w:val="22"/>
          <w:szCs w:val="22"/>
        </w:rPr>
        <w:t xml:space="preserve"> </w:t>
      </w:r>
      <w:r w:rsidRPr="00043537">
        <w:rPr>
          <w:rFonts w:asciiTheme="minorHAnsi" w:hAnsiTheme="minorHAnsi"/>
          <w:sz w:val="22"/>
          <w:szCs w:val="22"/>
        </w:rPr>
        <w:t>H</w:t>
      </w:r>
      <w:r w:rsidRPr="00043537">
        <w:rPr>
          <w:rFonts w:asciiTheme="minorHAnsi" w:hAnsiTheme="minorHAnsi"/>
          <w:sz w:val="22"/>
          <w:szCs w:val="22"/>
          <w:vertAlign w:val="subscript"/>
        </w:rPr>
        <w:t>2</w:t>
      </w:r>
      <w:r w:rsidR="008D1CC0">
        <w:rPr>
          <w:rFonts w:asciiTheme="minorHAnsi" w:hAnsiTheme="minorHAnsi"/>
          <w:sz w:val="22"/>
          <w:szCs w:val="22"/>
        </w:rPr>
        <w:t xml:space="preserve"> supplied by BOC, UK</w:t>
      </w:r>
      <w:r w:rsidRPr="00043537">
        <w:rPr>
          <w:rFonts w:asciiTheme="minorHAnsi" w:hAnsiTheme="minorHAnsi"/>
          <w:sz w:val="22"/>
          <w:szCs w:val="22"/>
        </w:rPr>
        <w:t xml:space="preserve">. </w:t>
      </w:r>
    </w:p>
    <w:p w14:paraId="6C01EA08" w14:textId="77777777" w:rsidR="00043537" w:rsidRPr="00043537" w:rsidRDefault="00043537" w:rsidP="00043537">
      <w:pPr>
        <w:spacing w:line="240" w:lineRule="auto"/>
        <w:rPr>
          <w:rFonts w:asciiTheme="minorHAnsi" w:hAnsiTheme="minorHAnsi"/>
          <w:sz w:val="8"/>
          <w:szCs w:val="22"/>
        </w:rPr>
      </w:pPr>
    </w:p>
    <w:p w14:paraId="207C2680" w14:textId="00BBC6AD" w:rsidR="00043537" w:rsidRPr="00043537" w:rsidRDefault="00043537" w:rsidP="00043537">
      <w:pPr>
        <w:snapToGrid w:val="0"/>
        <w:spacing w:after="120" w:line="240" w:lineRule="auto"/>
        <w:rPr>
          <w:rFonts w:asciiTheme="minorHAnsi" w:hAnsiTheme="minorHAnsi"/>
          <w:sz w:val="22"/>
          <w:szCs w:val="22"/>
        </w:rPr>
      </w:pPr>
      <w:r w:rsidRPr="00043537">
        <w:rPr>
          <w:rFonts w:asciiTheme="minorHAnsi" w:hAnsiTheme="minorHAnsi"/>
          <w:sz w:val="22"/>
          <w:szCs w:val="22"/>
        </w:rPr>
        <w:t xml:space="preserve">The inductive heating </w:t>
      </w:r>
      <w:r>
        <w:rPr>
          <w:rFonts w:asciiTheme="minorHAnsi" w:hAnsiTheme="minorHAnsi"/>
          <w:sz w:val="22"/>
          <w:szCs w:val="22"/>
        </w:rPr>
        <w:t>system comprises of a fixed bed reactor of</w:t>
      </w:r>
      <w:r w:rsidRPr="00043537">
        <w:rPr>
          <w:rFonts w:asciiTheme="minorHAnsi" w:hAnsiTheme="minorHAnsi"/>
          <w:sz w:val="22"/>
          <w:szCs w:val="22"/>
        </w:rPr>
        <w:t xml:space="preserve"> quartz glass tube (440 mm</w:t>
      </w:r>
      <w:r w:rsidR="0090525E">
        <w:rPr>
          <w:rFonts w:asciiTheme="minorHAnsi" w:hAnsiTheme="minorHAnsi"/>
          <w:sz w:val="22"/>
          <w:szCs w:val="22"/>
        </w:rPr>
        <w:t xml:space="preserve"> × 20 mm </w:t>
      </w:r>
      <w:proofErr w:type="spellStart"/>
      <w:r w:rsidR="0090525E">
        <w:rPr>
          <w:rFonts w:asciiTheme="minorHAnsi" w:hAnsiTheme="minorHAnsi"/>
          <w:sz w:val="22"/>
          <w:szCs w:val="22"/>
        </w:rPr>
        <w:t>i.d</w:t>
      </w:r>
      <w:proofErr w:type="spellEnd"/>
      <w:r w:rsidR="0090525E">
        <w:rPr>
          <w:rFonts w:asciiTheme="minorHAnsi" w:hAnsiTheme="minorHAnsi"/>
          <w:sz w:val="22"/>
          <w:szCs w:val="22"/>
        </w:rPr>
        <w:t xml:space="preserve"> × 40 mm </w:t>
      </w:r>
      <w:proofErr w:type="spellStart"/>
      <w:r w:rsidR="0090525E">
        <w:rPr>
          <w:rFonts w:asciiTheme="minorHAnsi" w:hAnsiTheme="minorHAnsi"/>
          <w:sz w:val="22"/>
          <w:szCs w:val="22"/>
        </w:rPr>
        <w:t>o.d</w:t>
      </w:r>
      <w:proofErr w:type="spellEnd"/>
      <w:r w:rsidR="0090525E">
        <w:rPr>
          <w:rFonts w:asciiTheme="minorHAnsi" w:hAnsiTheme="minorHAnsi"/>
          <w:sz w:val="22"/>
          <w:szCs w:val="22"/>
        </w:rPr>
        <w:t xml:space="preserve">) rated </w:t>
      </w:r>
      <w:r w:rsidRPr="00043537">
        <w:rPr>
          <w:rFonts w:asciiTheme="minorHAnsi" w:hAnsiTheme="minorHAnsi"/>
          <w:sz w:val="22"/>
          <w:szCs w:val="22"/>
        </w:rPr>
        <w:t>20 bar pressure</w:t>
      </w:r>
      <w:r>
        <w:rPr>
          <w:rFonts w:asciiTheme="minorHAnsi" w:hAnsiTheme="minorHAnsi"/>
          <w:sz w:val="22"/>
          <w:szCs w:val="22"/>
        </w:rPr>
        <w:t xml:space="preserve"> (</w:t>
      </w:r>
      <w:proofErr w:type="spellStart"/>
      <w:r>
        <w:rPr>
          <w:rFonts w:asciiTheme="minorHAnsi" w:hAnsiTheme="minorHAnsi"/>
          <w:sz w:val="22"/>
          <w:szCs w:val="22"/>
        </w:rPr>
        <w:t>Inductelec</w:t>
      </w:r>
      <w:proofErr w:type="spellEnd"/>
      <w:r>
        <w:rPr>
          <w:rFonts w:asciiTheme="minorHAnsi" w:hAnsiTheme="minorHAnsi"/>
          <w:sz w:val="22"/>
          <w:szCs w:val="22"/>
        </w:rPr>
        <w:t xml:space="preserve"> Ltd </w:t>
      </w:r>
      <w:r w:rsidRPr="00043537">
        <w:rPr>
          <w:rFonts w:asciiTheme="minorHAnsi" w:hAnsiTheme="minorHAnsi"/>
          <w:sz w:val="22"/>
          <w:szCs w:val="22"/>
        </w:rPr>
        <w:t>and assembled by C-Tech Innovation, UK</w:t>
      </w:r>
      <w:r>
        <w:rPr>
          <w:rFonts w:asciiTheme="minorHAnsi" w:hAnsiTheme="minorHAnsi"/>
          <w:sz w:val="22"/>
          <w:szCs w:val="22"/>
        </w:rPr>
        <w:t>)</w:t>
      </w:r>
      <w:r w:rsidRPr="00043537">
        <w:rPr>
          <w:rFonts w:asciiTheme="minorHAnsi" w:hAnsiTheme="minorHAnsi"/>
          <w:sz w:val="22"/>
          <w:szCs w:val="22"/>
        </w:rPr>
        <w:t xml:space="preserve">. The </w:t>
      </w:r>
      <w:r>
        <w:rPr>
          <w:rFonts w:asciiTheme="minorHAnsi" w:hAnsiTheme="minorHAnsi"/>
          <w:sz w:val="22"/>
          <w:szCs w:val="22"/>
        </w:rPr>
        <w:t>height</w:t>
      </w:r>
      <w:r w:rsidRPr="00043537">
        <w:rPr>
          <w:rFonts w:asciiTheme="minorHAnsi" w:hAnsiTheme="minorHAnsi"/>
          <w:sz w:val="22"/>
          <w:szCs w:val="22"/>
        </w:rPr>
        <w:t xml:space="preserve"> of the induction coil wound around the </w:t>
      </w:r>
      <w:r w:rsidR="00977399">
        <w:rPr>
          <w:rFonts w:asciiTheme="minorHAnsi" w:hAnsiTheme="minorHAnsi"/>
          <w:sz w:val="22"/>
          <w:szCs w:val="22"/>
        </w:rPr>
        <w:t>tube</w:t>
      </w:r>
      <w:r w:rsidRPr="00043537">
        <w:rPr>
          <w:rFonts w:asciiTheme="minorHAnsi" w:hAnsiTheme="minorHAnsi"/>
          <w:sz w:val="22"/>
          <w:szCs w:val="22"/>
        </w:rPr>
        <w:t xml:space="preserve"> is 230 mm, which also represent the cat</w:t>
      </w:r>
      <w:r w:rsidR="00977399">
        <w:rPr>
          <w:rFonts w:asciiTheme="minorHAnsi" w:hAnsiTheme="minorHAnsi"/>
          <w:sz w:val="22"/>
          <w:szCs w:val="22"/>
        </w:rPr>
        <w:t>alytic bed height. The catalyst</w:t>
      </w:r>
      <w:r w:rsidRPr="00043537">
        <w:rPr>
          <w:rFonts w:asciiTheme="minorHAnsi" w:hAnsiTheme="minorHAnsi"/>
          <w:sz w:val="22"/>
          <w:szCs w:val="22"/>
        </w:rPr>
        <w:t xml:space="preserve"> bed </w:t>
      </w:r>
      <w:r w:rsidR="00977399">
        <w:rPr>
          <w:rFonts w:asciiTheme="minorHAnsi" w:hAnsiTheme="minorHAnsi"/>
          <w:sz w:val="22"/>
          <w:szCs w:val="22"/>
        </w:rPr>
        <w:t>is heated inductively by</w:t>
      </w:r>
      <w:r w:rsidRPr="00043537">
        <w:rPr>
          <w:rFonts w:asciiTheme="minorHAnsi" w:hAnsiTheme="minorHAnsi"/>
          <w:sz w:val="22"/>
          <w:szCs w:val="22"/>
        </w:rPr>
        <w:t xml:space="preserve"> steel balls </w:t>
      </w:r>
      <w:r w:rsidR="00977399" w:rsidRPr="00043537">
        <w:rPr>
          <w:rFonts w:asciiTheme="minorHAnsi" w:hAnsiTheme="minorHAnsi"/>
          <w:sz w:val="22"/>
          <w:szCs w:val="22"/>
        </w:rPr>
        <w:t xml:space="preserve">susceptors </w:t>
      </w:r>
      <w:r w:rsidRPr="00043537">
        <w:rPr>
          <w:rFonts w:asciiTheme="minorHAnsi" w:hAnsiTheme="minorHAnsi"/>
          <w:sz w:val="22"/>
          <w:szCs w:val="22"/>
        </w:rPr>
        <w:t xml:space="preserve">of size 3 mm </w:t>
      </w:r>
      <w:r w:rsidR="00977399">
        <w:rPr>
          <w:rFonts w:asciiTheme="minorHAnsi" w:hAnsiTheme="minorHAnsi"/>
          <w:sz w:val="22"/>
          <w:szCs w:val="22"/>
        </w:rPr>
        <w:t xml:space="preserve">mixed the catalyst in a volume ratio of 70% (v/v). The steel balls </w:t>
      </w:r>
      <w:r w:rsidRPr="00043537">
        <w:rPr>
          <w:rFonts w:asciiTheme="minorHAnsi" w:hAnsiTheme="minorHAnsi"/>
          <w:sz w:val="22"/>
          <w:szCs w:val="22"/>
        </w:rPr>
        <w:t xml:space="preserve">convert </w:t>
      </w:r>
      <w:r w:rsidR="00977399">
        <w:rPr>
          <w:rFonts w:asciiTheme="minorHAnsi" w:hAnsiTheme="minorHAnsi"/>
          <w:sz w:val="22"/>
          <w:szCs w:val="22"/>
        </w:rPr>
        <w:t xml:space="preserve">the electromagnetic </w:t>
      </w:r>
      <w:r w:rsidRPr="00043537">
        <w:rPr>
          <w:rFonts w:asciiTheme="minorHAnsi" w:hAnsiTheme="minorHAnsi"/>
          <w:sz w:val="22"/>
          <w:szCs w:val="22"/>
        </w:rPr>
        <w:t>field into heat, to heat the catalyst bed</w:t>
      </w:r>
      <w:r w:rsidR="0090525E" w:rsidRPr="0090525E">
        <w:rPr>
          <w:rFonts w:asciiTheme="minorHAnsi" w:hAnsiTheme="minorHAnsi"/>
          <w:sz w:val="22"/>
          <w:szCs w:val="22"/>
        </w:rPr>
        <w:t xml:space="preserve"> </w:t>
      </w:r>
      <w:r w:rsidR="0090525E" w:rsidRPr="00043537">
        <w:rPr>
          <w:rFonts w:asciiTheme="minorHAnsi" w:hAnsiTheme="minorHAnsi"/>
          <w:sz w:val="22"/>
          <w:szCs w:val="22"/>
        </w:rPr>
        <w:t>volumetrically</w:t>
      </w:r>
      <w:r w:rsidRPr="00043537">
        <w:rPr>
          <w:rFonts w:asciiTheme="minorHAnsi" w:hAnsiTheme="minorHAnsi"/>
          <w:sz w:val="22"/>
          <w:szCs w:val="22"/>
        </w:rPr>
        <w:t xml:space="preserve">. The reactants were preheated to 200 </w:t>
      </w:r>
      <w:r w:rsidR="00564BB2">
        <w:rPr>
          <w:rFonts w:asciiTheme="minorHAnsi" w:hAnsiTheme="minorHAnsi"/>
          <w:sz w:val="22"/>
          <w:szCs w:val="22"/>
        </w:rPr>
        <w:sym w:font="Symbol" w:char="F0B0"/>
      </w:r>
      <w:r w:rsidRPr="00043537">
        <w:rPr>
          <w:rFonts w:asciiTheme="minorHAnsi" w:hAnsiTheme="minorHAnsi"/>
          <w:sz w:val="22"/>
          <w:szCs w:val="22"/>
        </w:rPr>
        <w:t xml:space="preserve">C with the aid of trace heater cable wrapped around the line and mixed with hydrogen prior to being </w:t>
      </w:r>
      <w:r w:rsidRPr="00043537">
        <w:rPr>
          <w:rFonts w:asciiTheme="minorHAnsi" w:hAnsiTheme="minorHAnsi"/>
          <w:sz w:val="22"/>
          <w:szCs w:val="22"/>
        </w:rPr>
        <w:lastRenderedPageBreak/>
        <w:t>delivered into the reactor from the top. A hydrogen flow rate of 200 mL.min</w:t>
      </w:r>
      <w:r w:rsidR="00C7111C" w:rsidRPr="00C7111C">
        <w:rPr>
          <w:rFonts w:asciiTheme="minorHAnsi" w:hAnsiTheme="minorHAnsi"/>
          <w:sz w:val="22"/>
          <w:szCs w:val="22"/>
          <w:vertAlign w:val="superscript"/>
        </w:rPr>
        <w:t>-1</w:t>
      </w:r>
      <w:r w:rsidR="00C7111C">
        <w:rPr>
          <w:rFonts w:asciiTheme="minorHAnsi" w:hAnsiTheme="minorHAnsi"/>
          <w:sz w:val="22"/>
          <w:szCs w:val="22"/>
        </w:rPr>
        <w:t xml:space="preserve">, temperature 300 </w:t>
      </w:r>
      <w:r w:rsidR="00C7111C">
        <w:rPr>
          <w:rFonts w:ascii="Times New Roman" w:hAnsi="Times New Roman"/>
          <w:sz w:val="22"/>
          <w:szCs w:val="22"/>
        </w:rPr>
        <w:t>º</w:t>
      </w:r>
      <w:r w:rsidR="00C7111C">
        <w:rPr>
          <w:rFonts w:asciiTheme="minorHAnsi" w:hAnsiTheme="minorHAnsi"/>
          <w:sz w:val="22"/>
          <w:szCs w:val="22"/>
        </w:rPr>
        <w:t xml:space="preserve">C, </w:t>
      </w:r>
      <w:r w:rsidR="00E47595">
        <w:rPr>
          <w:rFonts w:asciiTheme="minorHAnsi" w:hAnsiTheme="minorHAnsi"/>
          <w:sz w:val="22"/>
          <w:szCs w:val="22"/>
        </w:rPr>
        <w:t xml:space="preserve">catalyst-to-steel balls ratio </w:t>
      </w:r>
      <w:r w:rsidR="00EA3CCA">
        <w:rPr>
          <w:rFonts w:asciiTheme="minorHAnsi" w:hAnsiTheme="minorHAnsi"/>
          <w:sz w:val="22"/>
          <w:szCs w:val="22"/>
        </w:rPr>
        <w:t xml:space="preserve">(CTSBR) </w:t>
      </w:r>
      <w:r w:rsidR="00337DA8">
        <w:rPr>
          <w:rFonts w:asciiTheme="minorHAnsi" w:hAnsiTheme="minorHAnsi"/>
          <w:sz w:val="22"/>
          <w:szCs w:val="22"/>
        </w:rPr>
        <w:t xml:space="preserve">70% (v/v), </w:t>
      </w:r>
      <w:r w:rsidR="00C7111C">
        <w:rPr>
          <w:rFonts w:asciiTheme="minorHAnsi" w:hAnsiTheme="minorHAnsi"/>
          <w:sz w:val="22"/>
          <w:szCs w:val="22"/>
        </w:rPr>
        <w:t xml:space="preserve">pressure 18 </w:t>
      </w:r>
      <w:proofErr w:type="spellStart"/>
      <w:r w:rsidR="00C7111C">
        <w:rPr>
          <w:rFonts w:asciiTheme="minorHAnsi" w:hAnsiTheme="minorHAnsi"/>
          <w:sz w:val="22"/>
          <w:szCs w:val="22"/>
        </w:rPr>
        <w:t>barg</w:t>
      </w:r>
      <w:proofErr w:type="spellEnd"/>
      <w:r w:rsidR="00C7111C">
        <w:rPr>
          <w:rFonts w:asciiTheme="minorHAnsi" w:hAnsiTheme="minorHAnsi"/>
          <w:sz w:val="22"/>
          <w:szCs w:val="22"/>
        </w:rPr>
        <w:t>, and LHSV 0.75 h</w:t>
      </w:r>
      <w:r w:rsidR="00C7111C" w:rsidRPr="00C7111C">
        <w:rPr>
          <w:rFonts w:asciiTheme="minorHAnsi" w:hAnsiTheme="minorHAnsi"/>
          <w:sz w:val="22"/>
          <w:szCs w:val="22"/>
          <w:vertAlign w:val="superscript"/>
        </w:rPr>
        <w:t>-1</w:t>
      </w:r>
      <w:r w:rsidR="00C7111C">
        <w:rPr>
          <w:rFonts w:asciiTheme="minorHAnsi" w:hAnsiTheme="minorHAnsi"/>
          <w:sz w:val="22"/>
          <w:szCs w:val="22"/>
        </w:rPr>
        <w:t xml:space="preserve"> condition</w:t>
      </w:r>
      <w:r w:rsidR="00337DA8">
        <w:rPr>
          <w:rFonts w:asciiTheme="minorHAnsi" w:hAnsiTheme="minorHAnsi"/>
          <w:sz w:val="22"/>
          <w:szCs w:val="22"/>
        </w:rPr>
        <w:t xml:space="preserve"> obtained from</w:t>
      </w:r>
      <w:r w:rsidR="00C7111C">
        <w:rPr>
          <w:rFonts w:asciiTheme="minorHAnsi" w:hAnsiTheme="minorHAnsi"/>
          <w:sz w:val="22"/>
          <w:szCs w:val="22"/>
        </w:rPr>
        <w:t xml:space="preserve"> optimisatio</w:t>
      </w:r>
      <w:r w:rsidR="008D056D">
        <w:rPr>
          <w:rFonts w:asciiTheme="minorHAnsi" w:hAnsiTheme="minorHAnsi"/>
          <w:sz w:val="22"/>
          <w:szCs w:val="22"/>
        </w:rPr>
        <w:t xml:space="preserve">n were used in the experiment. </w:t>
      </w:r>
    </w:p>
    <w:p w14:paraId="55DDBE10" w14:textId="77777777" w:rsidR="00043537" w:rsidRPr="00043537" w:rsidRDefault="00C7111C" w:rsidP="00043537">
      <w:pPr>
        <w:spacing w:line="240" w:lineRule="auto"/>
        <w:rPr>
          <w:rFonts w:asciiTheme="minorHAnsi" w:hAnsiTheme="minorHAnsi"/>
          <w:sz w:val="22"/>
          <w:szCs w:val="22"/>
        </w:rPr>
      </w:pPr>
      <w:r>
        <w:rPr>
          <w:rFonts w:asciiTheme="minorHAnsi" w:hAnsiTheme="minorHAnsi"/>
          <w:sz w:val="22"/>
          <w:szCs w:val="22"/>
        </w:rPr>
        <w:t>The liquid product was analysed using a</w:t>
      </w:r>
      <w:r w:rsidR="00043537" w:rsidRPr="00043537">
        <w:rPr>
          <w:rFonts w:asciiTheme="minorHAnsi" w:hAnsiTheme="minorHAnsi"/>
          <w:sz w:val="22"/>
          <w:szCs w:val="22"/>
        </w:rPr>
        <w:t xml:space="preserve">n </w:t>
      </w:r>
      <w:r>
        <w:rPr>
          <w:rFonts w:asciiTheme="minorHAnsi" w:hAnsiTheme="minorHAnsi"/>
          <w:sz w:val="22"/>
          <w:szCs w:val="22"/>
        </w:rPr>
        <w:t xml:space="preserve">Agilent 6890N </w:t>
      </w:r>
      <w:r w:rsidR="00043537" w:rsidRPr="00043537">
        <w:rPr>
          <w:rFonts w:asciiTheme="minorHAnsi" w:hAnsiTheme="minorHAnsi"/>
          <w:sz w:val="22"/>
          <w:szCs w:val="22"/>
        </w:rPr>
        <w:t xml:space="preserve">GC equipped with a capillary column HP-5 (30 m × 0.320 mm × 0.25 </w:t>
      </w:r>
      <w:proofErr w:type="spellStart"/>
      <w:r w:rsidR="00043537" w:rsidRPr="00043537">
        <w:rPr>
          <w:rFonts w:asciiTheme="minorHAnsi" w:hAnsiTheme="minorHAnsi"/>
          <w:sz w:val="22"/>
          <w:szCs w:val="22"/>
        </w:rPr>
        <w:t>μm</w:t>
      </w:r>
      <w:proofErr w:type="spellEnd"/>
      <w:r w:rsidR="00043537" w:rsidRPr="00043537">
        <w:rPr>
          <w:rFonts w:asciiTheme="minorHAnsi" w:hAnsiTheme="minorHAnsi"/>
          <w:sz w:val="22"/>
          <w:szCs w:val="22"/>
        </w:rPr>
        <w:t>)</w:t>
      </w:r>
      <w:r>
        <w:rPr>
          <w:rFonts w:asciiTheme="minorHAnsi" w:hAnsiTheme="minorHAnsi"/>
          <w:sz w:val="22"/>
          <w:szCs w:val="22"/>
        </w:rPr>
        <w:t>,</w:t>
      </w:r>
      <w:r w:rsidR="00043537" w:rsidRPr="00043537">
        <w:rPr>
          <w:rFonts w:asciiTheme="minorHAnsi" w:eastAsia="SimSun" w:hAnsiTheme="minorHAnsi"/>
          <w:sz w:val="22"/>
          <w:szCs w:val="22"/>
          <w:lang w:eastAsia="en-GB"/>
        </w:rPr>
        <w:t xml:space="preserve"> and a </w:t>
      </w:r>
      <w:proofErr w:type="spellStart"/>
      <w:r w:rsidR="00043537" w:rsidRPr="00043537">
        <w:rPr>
          <w:rFonts w:asciiTheme="minorHAnsi" w:hAnsiTheme="minorHAnsi"/>
          <w:sz w:val="22"/>
          <w:szCs w:val="22"/>
        </w:rPr>
        <w:t>thermogravimetric</w:t>
      </w:r>
      <w:proofErr w:type="spellEnd"/>
      <w:r w:rsidR="00043537" w:rsidRPr="00043537">
        <w:rPr>
          <w:rFonts w:asciiTheme="minorHAnsi" w:hAnsiTheme="minorHAnsi"/>
          <w:sz w:val="22"/>
          <w:szCs w:val="22"/>
        </w:rPr>
        <w:t xml:space="preserve"> analyser, TGA (TG 209 F1 Iris</w:t>
      </w:r>
      <w:r w:rsidR="00043537" w:rsidRPr="00043537">
        <w:rPr>
          <w:rFonts w:asciiTheme="minorHAnsi" w:hAnsiTheme="minorHAnsi"/>
          <w:sz w:val="22"/>
          <w:szCs w:val="22"/>
          <w:vertAlign w:val="superscript"/>
        </w:rPr>
        <w:t>®</w:t>
      </w:r>
      <w:r w:rsidR="00043537" w:rsidRPr="00043537">
        <w:rPr>
          <w:rFonts w:asciiTheme="minorHAnsi" w:hAnsiTheme="minorHAnsi"/>
          <w:sz w:val="22"/>
          <w:szCs w:val="22"/>
        </w:rPr>
        <w:t xml:space="preserve"> instrument, NETZSCH-</w:t>
      </w:r>
      <w:proofErr w:type="spellStart"/>
      <w:r w:rsidR="00043537" w:rsidRPr="00043537">
        <w:rPr>
          <w:rFonts w:asciiTheme="minorHAnsi" w:hAnsiTheme="minorHAnsi"/>
          <w:sz w:val="22"/>
          <w:szCs w:val="22"/>
        </w:rPr>
        <w:t>Geratebau</w:t>
      </w:r>
      <w:proofErr w:type="spellEnd"/>
      <w:r w:rsidR="00043537" w:rsidRPr="00043537">
        <w:rPr>
          <w:rFonts w:asciiTheme="minorHAnsi" w:hAnsiTheme="minorHAnsi"/>
          <w:sz w:val="22"/>
          <w:szCs w:val="22"/>
        </w:rPr>
        <w:t xml:space="preserve"> GmbH) was used to </w:t>
      </w:r>
      <w:r>
        <w:rPr>
          <w:rFonts w:asciiTheme="minorHAnsi" w:hAnsiTheme="minorHAnsi"/>
          <w:sz w:val="22"/>
          <w:szCs w:val="22"/>
        </w:rPr>
        <w:t xml:space="preserve">determine </w:t>
      </w:r>
      <w:r w:rsidR="00043537" w:rsidRPr="00043537">
        <w:rPr>
          <w:rFonts w:asciiTheme="minorHAnsi" w:hAnsiTheme="minorHAnsi"/>
          <w:sz w:val="22"/>
          <w:szCs w:val="22"/>
        </w:rPr>
        <w:t>the</w:t>
      </w:r>
      <w:r>
        <w:rPr>
          <w:rFonts w:asciiTheme="minorHAnsi" w:hAnsiTheme="minorHAnsi"/>
          <w:sz w:val="22"/>
          <w:szCs w:val="22"/>
        </w:rPr>
        <w:t xml:space="preserve"> amount of</w:t>
      </w:r>
      <w:r w:rsidR="00043537" w:rsidRPr="00043537">
        <w:rPr>
          <w:rFonts w:asciiTheme="minorHAnsi" w:hAnsiTheme="minorHAnsi"/>
          <w:sz w:val="22"/>
          <w:szCs w:val="22"/>
        </w:rPr>
        <w:t xml:space="preserve"> coke on the catalyst.</w:t>
      </w:r>
    </w:p>
    <w:p w14:paraId="36D1432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49BF243" w14:textId="3E69C434" w:rsidR="00B96256" w:rsidRDefault="00564BB2" w:rsidP="00B96256">
      <w:r>
        <w:rPr>
          <w:rFonts w:asciiTheme="minorHAnsi" w:hAnsiTheme="minorHAnsi"/>
          <w:sz w:val="22"/>
          <w:szCs w:val="22"/>
        </w:rPr>
        <w:t>Induction heating provided an effective means of heating the catalyst bed, with 70 %v/v CTSBR the bed could be heated to 250</w:t>
      </w:r>
      <w:r>
        <w:rPr>
          <w:rFonts w:asciiTheme="minorHAnsi" w:hAnsiTheme="minorHAnsi"/>
          <w:sz w:val="22"/>
          <w:szCs w:val="22"/>
        </w:rPr>
        <w:sym w:font="Symbol" w:char="F0B0"/>
      </w:r>
      <w:r>
        <w:rPr>
          <w:rFonts w:asciiTheme="minorHAnsi" w:hAnsiTheme="minorHAnsi"/>
          <w:sz w:val="22"/>
          <w:szCs w:val="22"/>
        </w:rPr>
        <w:t xml:space="preserve">C within about 3 minutes. </w:t>
      </w:r>
      <w:r w:rsidR="00423F39">
        <w:rPr>
          <w:rFonts w:asciiTheme="minorHAnsi" w:hAnsiTheme="minorHAnsi"/>
          <w:sz w:val="22"/>
          <w:szCs w:val="22"/>
        </w:rPr>
        <w:t xml:space="preserve">In previous study with </w:t>
      </w:r>
      <w:proofErr w:type="spellStart"/>
      <w:r w:rsidR="00423F39">
        <w:rPr>
          <w:rFonts w:asciiTheme="minorHAnsi" w:hAnsiTheme="minorHAnsi"/>
          <w:sz w:val="22"/>
          <w:szCs w:val="22"/>
        </w:rPr>
        <w:t>NiMo</w:t>
      </w:r>
      <w:proofErr w:type="spellEnd"/>
      <w:r w:rsidR="00423F39">
        <w:rPr>
          <w:rFonts w:asciiTheme="minorHAnsi" w:hAnsiTheme="minorHAnsi"/>
          <w:sz w:val="22"/>
          <w:szCs w:val="22"/>
        </w:rPr>
        <w:t>/Al</w:t>
      </w:r>
      <w:r w:rsidR="00423F39" w:rsidRPr="00196A77">
        <w:rPr>
          <w:rFonts w:asciiTheme="minorHAnsi" w:hAnsiTheme="minorHAnsi"/>
          <w:sz w:val="22"/>
          <w:szCs w:val="22"/>
          <w:vertAlign w:val="subscript"/>
        </w:rPr>
        <w:t>2</w:t>
      </w:r>
      <w:r w:rsidR="00423F39">
        <w:rPr>
          <w:rFonts w:asciiTheme="minorHAnsi" w:hAnsiTheme="minorHAnsi"/>
          <w:sz w:val="22"/>
          <w:szCs w:val="22"/>
        </w:rPr>
        <w:t>O</w:t>
      </w:r>
      <w:r w:rsidR="00423F39" w:rsidRPr="00196A77">
        <w:rPr>
          <w:rFonts w:asciiTheme="minorHAnsi" w:hAnsiTheme="minorHAnsi"/>
          <w:sz w:val="22"/>
          <w:szCs w:val="22"/>
          <w:vertAlign w:val="subscript"/>
        </w:rPr>
        <w:t>3</w:t>
      </w:r>
      <w:r w:rsidR="00423F39">
        <w:rPr>
          <w:rFonts w:asciiTheme="minorHAnsi" w:hAnsiTheme="minorHAnsi"/>
          <w:sz w:val="22"/>
          <w:szCs w:val="22"/>
        </w:rPr>
        <w:t xml:space="preserve"> alone, we found that with induction heating the catalytic activity was enhanced and the spent catalyst coke content was lower when compared to conventional heating.</w:t>
      </w:r>
      <w:r>
        <w:rPr>
          <w:rFonts w:asciiTheme="minorHAnsi" w:hAnsiTheme="minorHAnsi"/>
          <w:sz w:val="22"/>
          <w:szCs w:val="22"/>
        </w:rPr>
        <w:t xml:space="preserve"> </w:t>
      </w:r>
      <w:r w:rsidR="00EA3CCA" w:rsidRPr="00EA3CCA">
        <w:rPr>
          <w:rFonts w:asciiTheme="minorHAnsi" w:eastAsia="MS PGothic" w:hAnsiTheme="minorHAnsi"/>
          <w:color w:val="000000"/>
          <w:sz w:val="22"/>
          <w:szCs w:val="22"/>
          <w:lang w:val="en-US"/>
        </w:rPr>
        <w:t>Figure 1 shows hydrogenation of naphthalene and tetralin.</w:t>
      </w:r>
      <w:r w:rsidR="00EA3CCA" w:rsidRPr="00EA3CCA">
        <w:rPr>
          <w:rFonts w:asciiTheme="minorHAnsi" w:hAnsiTheme="minorHAnsi"/>
          <w:sz w:val="22"/>
          <w:szCs w:val="22"/>
        </w:rPr>
        <w:t xml:space="preserve"> </w:t>
      </w:r>
      <w:r w:rsidR="00B96256" w:rsidRPr="00196A77">
        <w:rPr>
          <w:rFonts w:asciiTheme="minorHAnsi" w:hAnsiTheme="minorHAnsi"/>
          <w:sz w:val="22"/>
          <w:szCs w:val="22"/>
        </w:rPr>
        <w:t xml:space="preserve">The </w:t>
      </w:r>
      <w:proofErr w:type="spellStart"/>
      <w:r w:rsidR="00B96256" w:rsidRPr="00196A77">
        <w:rPr>
          <w:rFonts w:asciiTheme="minorHAnsi" w:hAnsiTheme="minorHAnsi"/>
          <w:sz w:val="22"/>
          <w:szCs w:val="22"/>
        </w:rPr>
        <w:t>NiMo</w:t>
      </w:r>
      <w:proofErr w:type="spellEnd"/>
      <w:r w:rsidR="00B96256" w:rsidRPr="00196A77">
        <w:rPr>
          <w:rFonts w:asciiTheme="minorHAnsi" w:hAnsiTheme="minorHAnsi"/>
          <w:sz w:val="22"/>
          <w:szCs w:val="22"/>
        </w:rPr>
        <w:t>/Al</w:t>
      </w:r>
      <w:r w:rsidR="00B96256" w:rsidRPr="00196A77">
        <w:rPr>
          <w:rFonts w:asciiTheme="minorHAnsi" w:hAnsiTheme="minorHAnsi"/>
          <w:sz w:val="22"/>
          <w:szCs w:val="22"/>
          <w:vertAlign w:val="subscript"/>
        </w:rPr>
        <w:t>2</w:t>
      </w:r>
      <w:r w:rsidR="00B96256" w:rsidRPr="00196A77">
        <w:rPr>
          <w:rFonts w:asciiTheme="minorHAnsi" w:hAnsiTheme="minorHAnsi"/>
          <w:sz w:val="22"/>
          <w:szCs w:val="22"/>
        </w:rPr>
        <w:t>O</w:t>
      </w:r>
      <w:r w:rsidR="00B96256" w:rsidRPr="00196A77">
        <w:rPr>
          <w:rFonts w:asciiTheme="minorHAnsi" w:hAnsiTheme="minorHAnsi"/>
          <w:sz w:val="22"/>
          <w:szCs w:val="22"/>
          <w:vertAlign w:val="subscript"/>
        </w:rPr>
        <w:t>3</w:t>
      </w:r>
      <w:r w:rsidR="00B96256" w:rsidRPr="00196A77">
        <w:rPr>
          <w:rFonts w:asciiTheme="minorHAnsi" w:hAnsiTheme="minorHAnsi"/>
          <w:sz w:val="22"/>
          <w:szCs w:val="22"/>
        </w:rPr>
        <w:t xml:space="preserve"> exhibited a superior hydrogenating activity than </w:t>
      </w:r>
      <w:proofErr w:type="spellStart"/>
      <w:r w:rsidR="00B96256" w:rsidRPr="00196A77">
        <w:rPr>
          <w:rFonts w:asciiTheme="minorHAnsi" w:hAnsiTheme="minorHAnsi"/>
          <w:sz w:val="22"/>
          <w:szCs w:val="22"/>
        </w:rPr>
        <w:t>CoMo</w:t>
      </w:r>
      <w:proofErr w:type="spellEnd"/>
      <w:r w:rsidR="00B96256" w:rsidRPr="00196A77">
        <w:rPr>
          <w:rFonts w:asciiTheme="minorHAnsi" w:hAnsiTheme="minorHAnsi"/>
          <w:sz w:val="22"/>
          <w:szCs w:val="22"/>
        </w:rPr>
        <w:t>/Al</w:t>
      </w:r>
      <w:r w:rsidR="00B96256" w:rsidRPr="00196A77">
        <w:rPr>
          <w:rFonts w:asciiTheme="minorHAnsi" w:hAnsiTheme="minorHAnsi"/>
          <w:sz w:val="22"/>
          <w:szCs w:val="22"/>
          <w:vertAlign w:val="subscript"/>
        </w:rPr>
        <w:t>2</w:t>
      </w:r>
      <w:r w:rsidR="00B96256" w:rsidRPr="00196A77">
        <w:rPr>
          <w:rFonts w:asciiTheme="minorHAnsi" w:hAnsiTheme="minorHAnsi"/>
          <w:sz w:val="22"/>
          <w:szCs w:val="22"/>
        </w:rPr>
        <w:t>O</w:t>
      </w:r>
      <w:r w:rsidR="00B96256" w:rsidRPr="00196A77">
        <w:rPr>
          <w:rFonts w:asciiTheme="minorHAnsi" w:hAnsiTheme="minorHAnsi"/>
          <w:sz w:val="22"/>
          <w:szCs w:val="22"/>
          <w:vertAlign w:val="subscript"/>
        </w:rPr>
        <w:t>3</w:t>
      </w:r>
      <w:r w:rsidR="00B96256" w:rsidRPr="00196A77">
        <w:rPr>
          <w:rFonts w:asciiTheme="minorHAnsi" w:hAnsiTheme="minorHAnsi"/>
          <w:sz w:val="22"/>
          <w:szCs w:val="22"/>
        </w:rPr>
        <w:t>, which promoted further hydrogenation from tetralin to (</w:t>
      </w:r>
      <w:r w:rsidR="00B96256" w:rsidRPr="00855582">
        <w:rPr>
          <w:rFonts w:asciiTheme="minorHAnsi" w:hAnsiTheme="minorHAnsi"/>
          <w:i/>
          <w:sz w:val="22"/>
          <w:szCs w:val="22"/>
        </w:rPr>
        <w:t>trans</w:t>
      </w:r>
      <w:r w:rsidR="00B96256" w:rsidRPr="00196A77">
        <w:rPr>
          <w:rFonts w:asciiTheme="minorHAnsi" w:hAnsiTheme="minorHAnsi"/>
          <w:sz w:val="22"/>
          <w:szCs w:val="22"/>
        </w:rPr>
        <w:t>/</w:t>
      </w:r>
      <w:r w:rsidR="00B96256" w:rsidRPr="00855582">
        <w:rPr>
          <w:rFonts w:asciiTheme="minorHAnsi" w:hAnsiTheme="minorHAnsi"/>
          <w:i/>
          <w:sz w:val="22"/>
          <w:szCs w:val="22"/>
        </w:rPr>
        <w:t>cis</w:t>
      </w:r>
      <w:r w:rsidR="00B96256" w:rsidRPr="00196A77">
        <w:rPr>
          <w:rFonts w:asciiTheme="minorHAnsi" w:hAnsiTheme="minorHAnsi"/>
          <w:sz w:val="22"/>
          <w:szCs w:val="22"/>
        </w:rPr>
        <w:t>) decalins and thus significantly improved the selectivity to decalins (Figure 1a).</w:t>
      </w:r>
    </w:p>
    <w:p w14:paraId="6415E19A" w14:textId="77777777" w:rsidR="00704BDF" w:rsidRPr="00DE0019" w:rsidRDefault="009F28BA"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it-IT" w:eastAsia="it-IT"/>
        </w:rPr>
        <w:drawing>
          <wp:inline distT="0" distB="0" distL="0" distR="0" wp14:anchorId="68452356" wp14:editId="3F699041">
            <wp:extent cx="5695950" cy="1590675"/>
            <wp:effectExtent l="0" t="0" r="0" b="9525"/>
            <wp:docPr id="1" name="Picture 1" descr="\\adf.bham.ac.uk\eps\home06\h\harta\Desktop\Induction_Study\Model_Compound\Experiments\Figures\T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bham.ac.uk\eps\home06\h\harta\Desktop\Induction_Study\Model_Compound\Experiments\Figures\TN.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006" cy="1590132"/>
                    </a:xfrm>
                    <a:prstGeom prst="rect">
                      <a:avLst/>
                    </a:prstGeom>
                    <a:noFill/>
                    <a:ln>
                      <a:noFill/>
                    </a:ln>
                  </pic:spPr>
                </pic:pic>
              </a:graphicData>
            </a:graphic>
          </wp:inline>
        </w:drawing>
      </w:r>
    </w:p>
    <w:p w14:paraId="367CB92C" w14:textId="77777777" w:rsidR="00EA3CCA" w:rsidRDefault="00704BDF" w:rsidP="008D1CC0">
      <w:pPr>
        <w:snapToGrid w:val="0"/>
        <w:spacing w:after="120"/>
        <w:jc w:val="cente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9F28BA">
        <w:rPr>
          <w:rFonts w:asciiTheme="minorHAnsi" w:hAnsiTheme="minorHAnsi"/>
          <w:lang w:val="en-US"/>
        </w:rPr>
        <w:t xml:space="preserve">The hydrogenation of (a) naphthalene with </w:t>
      </w:r>
      <w:proofErr w:type="spellStart"/>
      <w:r w:rsidR="009F28BA">
        <w:rPr>
          <w:rFonts w:asciiTheme="minorHAnsi" w:hAnsiTheme="minorHAnsi"/>
          <w:lang w:val="en-US"/>
        </w:rPr>
        <w:t>NiMo</w:t>
      </w:r>
      <w:proofErr w:type="spellEnd"/>
      <w:r w:rsidR="009F28BA">
        <w:rPr>
          <w:rFonts w:asciiTheme="minorHAnsi" w:hAnsiTheme="minorHAnsi"/>
          <w:lang w:val="en-US"/>
        </w:rPr>
        <w:t>/Al</w:t>
      </w:r>
      <w:r w:rsidR="009F28BA" w:rsidRPr="00EA3CCA">
        <w:rPr>
          <w:rFonts w:asciiTheme="minorHAnsi" w:hAnsiTheme="minorHAnsi"/>
          <w:vertAlign w:val="subscript"/>
          <w:lang w:val="en-US"/>
        </w:rPr>
        <w:t>2</w:t>
      </w:r>
      <w:r w:rsidR="009F28BA">
        <w:rPr>
          <w:rFonts w:asciiTheme="minorHAnsi" w:hAnsiTheme="minorHAnsi"/>
          <w:lang w:val="en-US"/>
        </w:rPr>
        <w:t>O</w:t>
      </w:r>
      <w:r w:rsidR="009F28BA" w:rsidRPr="00EA3CCA">
        <w:rPr>
          <w:rFonts w:asciiTheme="minorHAnsi" w:hAnsiTheme="minorHAnsi"/>
          <w:vertAlign w:val="subscript"/>
          <w:lang w:val="en-US"/>
        </w:rPr>
        <w:t>3</w:t>
      </w:r>
      <w:r w:rsidR="009F28BA">
        <w:rPr>
          <w:rFonts w:asciiTheme="minorHAnsi" w:hAnsiTheme="minorHAnsi"/>
          <w:lang w:val="en-US"/>
        </w:rPr>
        <w:t xml:space="preserve"> and </w:t>
      </w:r>
      <w:proofErr w:type="spellStart"/>
      <w:r w:rsidR="009F28BA">
        <w:rPr>
          <w:rFonts w:asciiTheme="minorHAnsi" w:hAnsiTheme="minorHAnsi"/>
          <w:lang w:val="en-US"/>
        </w:rPr>
        <w:t>CoMo</w:t>
      </w:r>
      <w:proofErr w:type="spellEnd"/>
      <w:r w:rsidR="009F28BA">
        <w:rPr>
          <w:rFonts w:asciiTheme="minorHAnsi" w:hAnsiTheme="minorHAnsi"/>
          <w:lang w:val="en-US"/>
        </w:rPr>
        <w:t>/Al</w:t>
      </w:r>
      <w:r w:rsidR="009F28BA" w:rsidRPr="00EA3CCA">
        <w:rPr>
          <w:rFonts w:asciiTheme="minorHAnsi" w:hAnsiTheme="minorHAnsi"/>
          <w:vertAlign w:val="subscript"/>
          <w:lang w:val="en-US"/>
        </w:rPr>
        <w:t>2</w:t>
      </w:r>
      <w:r w:rsidR="009F28BA">
        <w:rPr>
          <w:rFonts w:asciiTheme="minorHAnsi" w:hAnsiTheme="minorHAnsi"/>
          <w:lang w:val="en-US"/>
        </w:rPr>
        <w:t>O</w:t>
      </w:r>
      <w:r w:rsidR="009F28BA" w:rsidRPr="00EA3CCA">
        <w:rPr>
          <w:rFonts w:asciiTheme="minorHAnsi" w:hAnsiTheme="minorHAnsi"/>
          <w:vertAlign w:val="subscript"/>
          <w:lang w:val="en-US"/>
        </w:rPr>
        <w:t>3</w:t>
      </w:r>
      <w:r w:rsidR="009F28BA">
        <w:rPr>
          <w:rFonts w:asciiTheme="minorHAnsi" w:hAnsiTheme="minorHAnsi"/>
          <w:lang w:val="en-US"/>
        </w:rPr>
        <w:t xml:space="preserve"> and (b) </w:t>
      </w:r>
      <w:proofErr w:type="spellStart"/>
      <w:r w:rsidR="009F28BA">
        <w:rPr>
          <w:rFonts w:asciiTheme="minorHAnsi" w:hAnsiTheme="minorHAnsi"/>
          <w:lang w:val="en-US"/>
        </w:rPr>
        <w:t>tetralin</w:t>
      </w:r>
      <w:proofErr w:type="spellEnd"/>
      <w:r w:rsidR="009F28BA">
        <w:rPr>
          <w:rFonts w:asciiTheme="minorHAnsi" w:hAnsiTheme="minorHAnsi"/>
          <w:lang w:val="en-US"/>
        </w:rPr>
        <w:t xml:space="preserve"> with </w:t>
      </w:r>
      <w:proofErr w:type="spellStart"/>
      <w:r w:rsidR="009F28BA">
        <w:rPr>
          <w:rFonts w:asciiTheme="minorHAnsi" w:hAnsiTheme="minorHAnsi"/>
          <w:lang w:val="en-US"/>
        </w:rPr>
        <w:t>NiMo</w:t>
      </w:r>
      <w:proofErr w:type="spellEnd"/>
      <w:r w:rsidR="009F28BA">
        <w:rPr>
          <w:rFonts w:asciiTheme="minorHAnsi" w:hAnsiTheme="minorHAnsi"/>
          <w:lang w:val="en-US"/>
        </w:rPr>
        <w:t>/Al</w:t>
      </w:r>
      <w:r w:rsidR="009F28BA" w:rsidRPr="00EA3CCA">
        <w:rPr>
          <w:rFonts w:asciiTheme="minorHAnsi" w:hAnsiTheme="minorHAnsi"/>
          <w:vertAlign w:val="subscript"/>
          <w:lang w:val="en-US"/>
        </w:rPr>
        <w:t>2</w:t>
      </w:r>
      <w:r w:rsidR="009F28BA">
        <w:rPr>
          <w:rFonts w:asciiTheme="minorHAnsi" w:hAnsiTheme="minorHAnsi"/>
          <w:lang w:val="en-US"/>
        </w:rPr>
        <w:t>O</w:t>
      </w:r>
      <w:r w:rsidR="009F28BA" w:rsidRPr="00EA3CCA">
        <w:rPr>
          <w:rFonts w:asciiTheme="minorHAnsi" w:hAnsiTheme="minorHAnsi"/>
          <w:vertAlign w:val="subscript"/>
          <w:lang w:val="en-US"/>
        </w:rPr>
        <w:t>3</w:t>
      </w:r>
      <w:r w:rsidR="009F28BA">
        <w:rPr>
          <w:rFonts w:asciiTheme="minorHAnsi" w:hAnsiTheme="minorHAnsi"/>
          <w:lang w:val="en-US"/>
        </w:rPr>
        <w:t xml:space="preserve"> at </w:t>
      </w:r>
      <w:r w:rsidR="00EA3CCA">
        <w:rPr>
          <w:rFonts w:asciiTheme="minorHAnsi" w:hAnsiTheme="minorHAnsi"/>
          <w:lang w:val="en-US"/>
        </w:rPr>
        <w:t xml:space="preserve">300 </w:t>
      </w:r>
      <w:r w:rsidR="00EA3CCA">
        <w:rPr>
          <w:rFonts w:ascii="Times New Roman" w:hAnsi="Times New Roman"/>
          <w:lang w:val="en-US"/>
        </w:rPr>
        <w:t>º</w:t>
      </w:r>
      <w:r w:rsidR="00EA3CCA">
        <w:rPr>
          <w:rFonts w:asciiTheme="minorHAnsi" w:hAnsiTheme="minorHAnsi"/>
          <w:lang w:val="en-US"/>
        </w:rPr>
        <w:t>C, 18 bar, 0.75 h-1 and CTSBR 70% (v/v)</w:t>
      </w:r>
      <w:r w:rsidRPr="00DE0019">
        <w:rPr>
          <w:rFonts w:asciiTheme="minorHAnsi" w:eastAsia="MS PGothic" w:hAnsiTheme="minorHAnsi"/>
          <w:color w:val="000000"/>
          <w:szCs w:val="18"/>
          <w:lang w:val="en-US"/>
        </w:rPr>
        <w:t>.</w:t>
      </w:r>
    </w:p>
    <w:p w14:paraId="69D899DC" w14:textId="26B3558A" w:rsidR="00EA3CCA" w:rsidRPr="008D1CC0" w:rsidRDefault="00855582" w:rsidP="00BB2A51">
      <w:pPr>
        <w:snapToGrid w:val="0"/>
        <w:spacing w:after="120"/>
        <w:rPr>
          <w:rFonts w:asciiTheme="minorHAnsi" w:hAnsiTheme="minorHAnsi"/>
          <w:sz w:val="22"/>
          <w:szCs w:val="22"/>
        </w:rPr>
      </w:pPr>
      <w:r>
        <w:rPr>
          <w:rFonts w:asciiTheme="minorHAnsi" w:hAnsiTheme="minorHAnsi"/>
          <w:sz w:val="22"/>
          <w:szCs w:val="22"/>
        </w:rPr>
        <w:t>T</w:t>
      </w:r>
      <w:r w:rsidR="00B96256" w:rsidRPr="00196A77">
        <w:rPr>
          <w:rFonts w:asciiTheme="minorHAnsi" w:hAnsiTheme="minorHAnsi"/>
          <w:sz w:val="22"/>
          <w:szCs w:val="22"/>
        </w:rPr>
        <w:t xml:space="preserve">he sequential reaction scheme shown in Figure 2, </w:t>
      </w:r>
      <w:r>
        <w:rPr>
          <w:rFonts w:asciiTheme="minorHAnsi" w:hAnsiTheme="minorHAnsi"/>
          <w:sz w:val="22"/>
          <w:szCs w:val="22"/>
        </w:rPr>
        <w:t xml:space="preserve">can be </w:t>
      </w:r>
      <w:r w:rsidR="00196A77">
        <w:rPr>
          <w:rFonts w:asciiTheme="minorHAnsi" w:hAnsiTheme="minorHAnsi"/>
          <w:sz w:val="22"/>
          <w:szCs w:val="22"/>
        </w:rPr>
        <w:t xml:space="preserve">confirmed in Figures 1a and b, </w:t>
      </w:r>
      <w:r w:rsidR="00B96256" w:rsidRPr="00196A77">
        <w:rPr>
          <w:rFonts w:asciiTheme="minorHAnsi" w:hAnsiTheme="minorHAnsi"/>
          <w:sz w:val="22"/>
          <w:szCs w:val="22"/>
        </w:rPr>
        <w:t>the intermediate tetralin can either undergo further hydrogenation to (</w:t>
      </w:r>
      <w:r w:rsidR="00B96256" w:rsidRPr="00855582">
        <w:rPr>
          <w:rFonts w:asciiTheme="minorHAnsi" w:hAnsiTheme="minorHAnsi"/>
          <w:i/>
          <w:sz w:val="22"/>
          <w:szCs w:val="22"/>
        </w:rPr>
        <w:t>trans</w:t>
      </w:r>
      <w:r w:rsidR="00B96256" w:rsidRPr="00196A77">
        <w:rPr>
          <w:rFonts w:asciiTheme="minorHAnsi" w:hAnsiTheme="minorHAnsi"/>
          <w:sz w:val="22"/>
          <w:szCs w:val="22"/>
        </w:rPr>
        <w:t>/</w:t>
      </w:r>
      <w:r w:rsidR="00B96256" w:rsidRPr="00855582">
        <w:rPr>
          <w:rFonts w:asciiTheme="minorHAnsi" w:hAnsiTheme="minorHAnsi"/>
          <w:i/>
          <w:sz w:val="22"/>
          <w:szCs w:val="22"/>
        </w:rPr>
        <w:t>cis</w:t>
      </w:r>
      <w:r w:rsidR="00B96256" w:rsidRPr="00196A77">
        <w:rPr>
          <w:rFonts w:asciiTheme="minorHAnsi" w:hAnsiTheme="minorHAnsi"/>
          <w:sz w:val="22"/>
          <w:szCs w:val="22"/>
        </w:rPr>
        <w:t xml:space="preserve">) decalins or dehydrogenation to naphthalene. </w:t>
      </w:r>
      <w:r w:rsidR="00196A77">
        <w:rPr>
          <w:rFonts w:asciiTheme="minorHAnsi" w:hAnsiTheme="minorHAnsi"/>
          <w:sz w:val="22"/>
          <w:szCs w:val="22"/>
        </w:rPr>
        <w:t>H</w:t>
      </w:r>
      <w:r w:rsidR="00B96256" w:rsidRPr="00196A77">
        <w:rPr>
          <w:rFonts w:asciiTheme="minorHAnsi" w:hAnsiTheme="minorHAnsi"/>
          <w:sz w:val="22"/>
          <w:szCs w:val="22"/>
        </w:rPr>
        <w:t xml:space="preserve">owever, the </w:t>
      </w:r>
      <w:r w:rsidR="00196A77" w:rsidRPr="00196A77">
        <w:rPr>
          <w:rFonts w:asciiTheme="minorHAnsi" w:hAnsiTheme="minorHAnsi"/>
          <w:sz w:val="22"/>
          <w:szCs w:val="22"/>
        </w:rPr>
        <w:t xml:space="preserve">direction </w:t>
      </w:r>
      <w:r w:rsidR="00196A77">
        <w:rPr>
          <w:rFonts w:asciiTheme="minorHAnsi" w:hAnsiTheme="minorHAnsi"/>
          <w:sz w:val="22"/>
          <w:szCs w:val="22"/>
        </w:rPr>
        <w:t xml:space="preserve">of the reaction </w:t>
      </w:r>
      <w:r>
        <w:rPr>
          <w:rFonts w:asciiTheme="minorHAnsi" w:hAnsiTheme="minorHAnsi"/>
          <w:sz w:val="22"/>
          <w:szCs w:val="22"/>
        </w:rPr>
        <w:t xml:space="preserve">is </w:t>
      </w:r>
      <w:r w:rsidR="00196A77" w:rsidRPr="00196A77">
        <w:rPr>
          <w:rFonts w:asciiTheme="minorHAnsi" w:hAnsiTheme="minorHAnsi"/>
          <w:sz w:val="22"/>
          <w:szCs w:val="22"/>
        </w:rPr>
        <w:t>largely depend</w:t>
      </w:r>
      <w:r>
        <w:rPr>
          <w:rFonts w:asciiTheme="minorHAnsi" w:hAnsiTheme="minorHAnsi"/>
          <w:sz w:val="22"/>
          <w:szCs w:val="22"/>
        </w:rPr>
        <w:t>ent</w:t>
      </w:r>
      <w:r w:rsidR="00B96256" w:rsidRPr="00196A77">
        <w:rPr>
          <w:rFonts w:asciiTheme="minorHAnsi" w:hAnsiTheme="minorHAnsi"/>
          <w:sz w:val="22"/>
          <w:szCs w:val="22"/>
        </w:rPr>
        <w:t xml:space="preserve"> on </w:t>
      </w:r>
      <w:r>
        <w:rPr>
          <w:rFonts w:asciiTheme="minorHAnsi" w:hAnsiTheme="minorHAnsi"/>
          <w:sz w:val="22"/>
          <w:szCs w:val="22"/>
        </w:rPr>
        <w:t xml:space="preserve">the </w:t>
      </w:r>
      <w:r w:rsidR="00B96256" w:rsidRPr="00196A77">
        <w:rPr>
          <w:rFonts w:asciiTheme="minorHAnsi" w:hAnsiTheme="minorHAnsi"/>
          <w:sz w:val="22"/>
          <w:szCs w:val="22"/>
        </w:rPr>
        <w:t xml:space="preserve">catalyst </w:t>
      </w:r>
      <w:r w:rsidR="00196A77">
        <w:rPr>
          <w:rFonts w:asciiTheme="minorHAnsi" w:hAnsiTheme="minorHAnsi"/>
          <w:sz w:val="22"/>
          <w:szCs w:val="22"/>
        </w:rPr>
        <w:t xml:space="preserve">type </w:t>
      </w:r>
      <w:r w:rsidR="00B96256" w:rsidRPr="00196A77">
        <w:rPr>
          <w:rFonts w:asciiTheme="minorHAnsi" w:hAnsiTheme="minorHAnsi"/>
          <w:sz w:val="22"/>
          <w:szCs w:val="22"/>
        </w:rPr>
        <w:t xml:space="preserve">and </w:t>
      </w:r>
      <w:r w:rsidR="00196A77">
        <w:rPr>
          <w:rFonts w:asciiTheme="minorHAnsi" w:hAnsiTheme="minorHAnsi"/>
          <w:sz w:val="22"/>
          <w:szCs w:val="22"/>
        </w:rPr>
        <w:t xml:space="preserve">the </w:t>
      </w:r>
      <w:r w:rsidR="00B96256" w:rsidRPr="00196A77">
        <w:rPr>
          <w:rFonts w:asciiTheme="minorHAnsi" w:hAnsiTheme="minorHAnsi"/>
          <w:sz w:val="22"/>
          <w:szCs w:val="22"/>
        </w:rPr>
        <w:t>process conditions.</w:t>
      </w:r>
    </w:p>
    <w:p w14:paraId="359374B3" w14:textId="77777777" w:rsidR="00EA3CCA" w:rsidRDefault="008D1CC0" w:rsidP="008D1CC0">
      <w:pPr>
        <w:snapToGrid w:val="0"/>
        <w:spacing w:after="120"/>
        <w:jc w:val="center"/>
      </w:pPr>
      <w:r>
        <w:rPr>
          <w:noProof/>
          <w:lang w:val="it-IT" w:eastAsia="it-IT"/>
        </w:rPr>
        <w:drawing>
          <wp:inline distT="0" distB="0" distL="0" distR="0" wp14:anchorId="4FCFEAAC" wp14:editId="766AB940">
            <wp:extent cx="2230967" cy="609165"/>
            <wp:effectExtent l="0" t="0" r="0" b="635"/>
            <wp:docPr id="19" name="Picture 19" descr="\\adf.bham.ac.uk\eps\home06\h\harta\Desktop\Induction_Study\Model_Compound\Experiments\Figures\Reaction_Schem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f.bham.ac.uk\eps\home06\h\harta\Desktop\Induction_Study\Model_Compound\Experiments\Figures\Reaction_Scheme.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876" cy="616239"/>
                    </a:xfrm>
                    <a:prstGeom prst="rect">
                      <a:avLst/>
                    </a:prstGeom>
                    <a:noFill/>
                    <a:ln>
                      <a:noFill/>
                    </a:ln>
                  </pic:spPr>
                </pic:pic>
              </a:graphicData>
            </a:graphic>
          </wp:inline>
        </w:drawing>
      </w:r>
    </w:p>
    <w:p w14:paraId="74F0C074" w14:textId="77777777" w:rsidR="008D1CC0" w:rsidRPr="008D1CC0" w:rsidRDefault="008D1CC0" w:rsidP="008D1CC0">
      <w:pPr>
        <w:snapToGrid w:val="0"/>
        <w:spacing w:after="120"/>
        <w:jc w:val="center"/>
        <w:rPr>
          <w:rFonts w:asciiTheme="minorHAnsi" w:hAnsiTheme="minorHAnsi"/>
          <w:szCs w:val="18"/>
        </w:rPr>
      </w:pPr>
      <w:r w:rsidRPr="008D1CC0">
        <w:rPr>
          <w:rFonts w:asciiTheme="minorHAnsi" w:hAnsiTheme="minorHAnsi"/>
          <w:b/>
          <w:szCs w:val="18"/>
        </w:rPr>
        <w:t>Figure 2</w:t>
      </w:r>
      <w:r w:rsidRPr="008D1CC0">
        <w:rPr>
          <w:rFonts w:asciiTheme="minorHAnsi" w:hAnsiTheme="minorHAnsi"/>
          <w:szCs w:val="18"/>
        </w:rPr>
        <w:t>. Reaction scheme</w:t>
      </w:r>
    </w:p>
    <w:p w14:paraId="531422A4"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681DB33" w14:textId="4DCFAC7D" w:rsidR="00704BDF" w:rsidRPr="008D0BEB" w:rsidRDefault="0085558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Induction heating of catalytic bed was studied for </w:t>
      </w:r>
      <w:r w:rsidR="008D056D">
        <w:rPr>
          <w:rFonts w:asciiTheme="minorHAnsi" w:eastAsia="MS PGothic" w:hAnsiTheme="minorHAnsi"/>
          <w:color w:val="000000"/>
          <w:sz w:val="22"/>
          <w:szCs w:val="22"/>
          <w:lang w:val="en-US"/>
        </w:rPr>
        <w:t>hydrogenation and hydrocracking of typical poly-aromatics found in heavy oil</w:t>
      </w:r>
      <w:r>
        <w:rPr>
          <w:rFonts w:asciiTheme="minorHAnsi" w:eastAsia="MS PGothic" w:hAnsiTheme="minorHAnsi"/>
          <w:color w:val="000000"/>
          <w:sz w:val="22"/>
          <w:szCs w:val="22"/>
          <w:lang w:val="en-US"/>
        </w:rPr>
        <w:t xml:space="preserve">. Alumina supported </w:t>
      </w:r>
      <w:proofErr w:type="spellStart"/>
      <w:r>
        <w:rPr>
          <w:rFonts w:asciiTheme="minorHAnsi" w:eastAsia="MS PGothic" w:hAnsiTheme="minorHAnsi"/>
          <w:color w:val="000000"/>
          <w:sz w:val="22"/>
          <w:szCs w:val="22"/>
          <w:lang w:val="en-US"/>
        </w:rPr>
        <w:t>NiMo</w:t>
      </w:r>
      <w:proofErr w:type="spellEnd"/>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CoMo</w:t>
      </w:r>
      <w:proofErr w:type="spellEnd"/>
      <w:r>
        <w:rPr>
          <w:rFonts w:asciiTheme="minorHAnsi" w:eastAsia="MS PGothic" w:hAnsiTheme="minorHAnsi"/>
          <w:color w:val="000000"/>
          <w:sz w:val="22"/>
          <w:szCs w:val="22"/>
          <w:lang w:val="en-US"/>
        </w:rPr>
        <w:t xml:space="preserve"> catalysts were investigated, w</w:t>
      </w:r>
      <w:r w:rsidR="00C106C4">
        <w:rPr>
          <w:rFonts w:asciiTheme="minorHAnsi" w:eastAsia="MS PGothic" w:hAnsiTheme="minorHAnsi"/>
          <w:color w:val="000000"/>
          <w:sz w:val="22"/>
          <w:szCs w:val="22"/>
          <w:lang w:val="en-US"/>
        </w:rPr>
        <w:t xml:space="preserve">hile Ni increased the production of </w:t>
      </w:r>
      <w:r w:rsidR="00C106C4" w:rsidRPr="00C106C4">
        <w:rPr>
          <w:rFonts w:asciiTheme="minorHAnsi" w:eastAsia="MS PGothic" w:hAnsiTheme="minorHAnsi"/>
          <w:i/>
          <w:color w:val="000000"/>
          <w:sz w:val="22"/>
          <w:szCs w:val="22"/>
          <w:lang w:val="en-US"/>
        </w:rPr>
        <w:t>trans</w:t>
      </w:r>
      <w:r w:rsidR="00C106C4">
        <w:rPr>
          <w:rFonts w:asciiTheme="minorHAnsi" w:eastAsia="MS PGothic" w:hAnsiTheme="minorHAnsi"/>
          <w:color w:val="000000"/>
          <w:sz w:val="22"/>
          <w:szCs w:val="22"/>
          <w:lang w:val="en-US"/>
        </w:rPr>
        <w:t xml:space="preserve">- and </w:t>
      </w:r>
      <w:r w:rsidR="00C106C4" w:rsidRPr="00C106C4">
        <w:rPr>
          <w:rFonts w:asciiTheme="minorHAnsi" w:eastAsia="MS PGothic" w:hAnsiTheme="minorHAnsi"/>
          <w:i/>
          <w:color w:val="000000"/>
          <w:sz w:val="22"/>
          <w:szCs w:val="22"/>
          <w:lang w:val="en-US"/>
        </w:rPr>
        <w:t>cis</w:t>
      </w:r>
      <w:r w:rsidR="00C106C4">
        <w:rPr>
          <w:rFonts w:asciiTheme="minorHAnsi" w:eastAsia="MS PGothic" w:hAnsiTheme="minorHAnsi"/>
          <w:color w:val="000000"/>
          <w:sz w:val="22"/>
          <w:szCs w:val="22"/>
          <w:lang w:val="en-US"/>
        </w:rPr>
        <w:t xml:space="preserve">-decalins than Co, the rate of naphthalene </w:t>
      </w:r>
      <w:proofErr w:type="spellStart"/>
      <w:r w:rsidR="00C106C4">
        <w:rPr>
          <w:rFonts w:asciiTheme="minorHAnsi" w:eastAsia="MS PGothic" w:hAnsiTheme="minorHAnsi"/>
          <w:color w:val="000000"/>
          <w:sz w:val="22"/>
          <w:szCs w:val="22"/>
          <w:lang w:val="en-US"/>
        </w:rPr>
        <w:t>hydroconversion</w:t>
      </w:r>
      <w:proofErr w:type="spellEnd"/>
      <w:r w:rsidR="00C106C4">
        <w:rPr>
          <w:rFonts w:asciiTheme="minorHAnsi" w:eastAsia="MS PGothic" w:hAnsiTheme="minorHAnsi"/>
          <w:color w:val="000000"/>
          <w:sz w:val="22"/>
          <w:szCs w:val="22"/>
          <w:lang w:val="en-US"/>
        </w:rPr>
        <w:t xml:space="preserve"> was higher than </w:t>
      </w:r>
      <w:proofErr w:type="spellStart"/>
      <w:r w:rsidR="00C106C4">
        <w:rPr>
          <w:rFonts w:asciiTheme="minorHAnsi" w:eastAsia="MS PGothic" w:hAnsiTheme="minorHAnsi"/>
          <w:color w:val="000000"/>
          <w:sz w:val="22"/>
          <w:szCs w:val="22"/>
          <w:lang w:val="en-US"/>
        </w:rPr>
        <w:t>tetralin</w:t>
      </w:r>
      <w:proofErr w:type="spellEnd"/>
      <w:r w:rsidR="00C106C4">
        <w:rPr>
          <w:rFonts w:asciiTheme="minorHAnsi" w:eastAsia="MS PGothic" w:hAnsiTheme="minorHAnsi"/>
          <w:color w:val="000000"/>
          <w:sz w:val="22"/>
          <w:szCs w:val="22"/>
          <w:lang w:val="en-US"/>
        </w:rPr>
        <w:t xml:space="preserve"> for </w:t>
      </w:r>
      <w:proofErr w:type="spellStart"/>
      <w:r w:rsidR="00C106C4">
        <w:rPr>
          <w:rFonts w:asciiTheme="minorHAnsi" w:eastAsia="MS PGothic" w:hAnsiTheme="minorHAnsi"/>
          <w:color w:val="000000"/>
          <w:sz w:val="22"/>
          <w:szCs w:val="22"/>
          <w:lang w:val="en-US"/>
        </w:rPr>
        <w:t>NiMo</w:t>
      </w:r>
      <w:proofErr w:type="spellEnd"/>
      <w:r w:rsidR="00C106C4">
        <w:rPr>
          <w:rFonts w:asciiTheme="minorHAnsi" w:eastAsia="MS PGothic" w:hAnsiTheme="minorHAnsi"/>
          <w:color w:val="000000"/>
          <w:sz w:val="22"/>
          <w:szCs w:val="22"/>
          <w:lang w:val="en-US"/>
        </w:rPr>
        <w:t>/Al</w:t>
      </w:r>
      <w:r w:rsidR="00C106C4" w:rsidRPr="00C106C4">
        <w:rPr>
          <w:rFonts w:asciiTheme="minorHAnsi" w:eastAsia="MS PGothic" w:hAnsiTheme="minorHAnsi"/>
          <w:color w:val="000000"/>
          <w:sz w:val="22"/>
          <w:szCs w:val="22"/>
          <w:vertAlign w:val="subscript"/>
          <w:lang w:val="en-US"/>
        </w:rPr>
        <w:t>2</w:t>
      </w:r>
      <w:r w:rsidR="00C106C4">
        <w:rPr>
          <w:rFonts w:asciiTheme="minorHAnsi" w:eastAsia="MS PGothic" w:hAnsiTheme="minorHAnsi"/>
          <w:color w:val="000000"/>
          <w:sz w:val="22"/>
          <w:szCs w:val="22"/>
          <w:lang w:val="en-US"/>
        </w:rPr>
        <w:t>O</w:t>
      </w:r>
      <w:r w:rsidR="00C106C4" w:rsidRPr="00C106C4">
        <w:rPr>
          <w:rFonts w:asciiTheme="minorHAnsi" w:eastAsia="MS PGothic" w:hAnsiTheme="minorHAnsi"/>
          <w:color w:val="000000"/>
          <w:sz w:val="22"/>
          <w:szCs w:val="22"/>
          <w:vertAlign w:val="subscript"/>
          <w:lang w:val="en-US"/>
        </w:rPr>
        <w:t>3</w:t>
      </w:r>
      <w:r w:rsidR="00C106C4">
        <w:rPr>
          <w:rFonts w:asciiTheme="minorHAnsi" w:eastAsia="MS PGothic" w:hAnsiTheme="minorHAnsi"/>
          <w:color w:val="000000"/>
          <w:sz w:val="22"/>
          <w:szCs w:val="22"/>
          <w:lang w:val="en-US"/>
        </w:rPr>
        <w:t xml:space="preserve"> catalyst.</w:t>
      </w:r>
      <w:r>
        <w:rPr>
          <w:rFonts w:asciiTheme="minorHAnsi" w:eastAsia="MS PGothic" w:hAnsiTheme="minorHAnsi"/>
          <w:color w:val="000000"/>
          <w:sz w:val="22"/>
          <w:szCs w:val="22"/>
          <w:lang w:val="en-US"/>
        </w:rPr>
        <w:t xml:space="preserve"> </w:t>
      </w:r>
    </w:p>
    <w:p w14:paraId="7EC30366"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1A665206" w14:textId="77777777" w:rsidR="00704BDF" w:rsidRPr="008D0BEB" w:rsidRDefault="00C106C4"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A. Hart</w:t>
      </w:r>
      <w:r w:rsidR="00704BDF" w:rsidRPr="008D0BEB">
        <w:rPr>
          <w:rFonts w:asciiTheme="minorHAnsi" w:hAnsiTheme="minorHAnsi"/>
          <w:color w:val="000000"/>
        </w:rPr>
        <w:t xml:space="preserve">, </w:t>
      </w:r>
      <w:r>
        <w:rPr>
          <w:rFonts w:asciiTheme="minorHAnsi" w:hAnsiTheme="minorHAnsi"/>
          <w:color w:val="000000"/>
        </w:rPr>
        <w:t>J. Wood</w:t>
      </w:r>
      <w:r w:rsidR="00704BDF" w:rsidRPr="008D0BEB">
        <w:rPr>
          <w:rFonts w:asciiTheme="minorHAnsi" w:hAnsiTheme="minorHAnsi"/>
          <w:color w:val="000000"/>
        </w:rPr>
        <w:t xml:space="preserve">, </w:t>
      </w:r>
      <w:r>
        <w:rPr>
          <w:rFonts w:asciiTheme="minorHAnsi" w:hAnsiTheme="minorHAnsi"/>
          <w:color w:val="000000"/>
        </w:rPr>
        <w:t>Energies</w:t>
      </w:r>
      <w:r w:rsidR="00704BDF" w:rsidRPr="008D0BEB">
        <w:rPr>
          <w:rFonts w:asciiTheme="minorHAnsi" w:hAnsiTheme="minorHAnsi"/>
          <w:color w:val="000000"/>
        </w:rPr>
        <w:t>. 1</w:t>
      </w:r>
      <w:r>
        <w:rPr>
          <w:rFonts w:asciiTheme="minorHAnsi" w:hAnsiTheme="minorHAnsi"/>
          <w:color w:val="000000"/>
        </w:rPr>
        <w:t>1</w:t>
      </w:r>
      <w:r w:rsidR="00704BDF" w:rsidRPr="008D0BEB">
        <w:rPr>
          <w:rFonts w:asciiTheme="minorHAnsi" w:hAnsiTheme="minorHAnsi"/>
          <w:color w:val="000000"/>
        </w:rPr>
        <w:t xml:space="preserve"> (201</w:t>
      </w:r>
      <w:r>
        <w:rPr>
          <w:rFonts w:asciiTheme="minorHAnsi" w:hAnsiTheme="minorHAnsi"/>
          <w:color w:val="000000"/>
        </w:rPr>
        <w:t>8</w:t>
      </w:r>
      <w:r w:rsidR="00704BDF" w:rsidRPr="008D0BEB">
        <w:rPr>
          <w:rFonts w:asciiTheme="minorHAnsi" w:hAnsiTheme="minorHAnsi"/>
          <w:color w:val="000000"/>
        </w:rPr>
        <w:t xml:space="preserve">) </w:t>
      </w:r>
      <w:r>
        <w:rPr>
          <w:rFonts w:asciiTheme="minorHAnsi" w:hAnsiTheme="minorHAnsi"/>
          <w:color w:val="000000"/>
        </w:rPr>
        <w:t>636</w:t>
      </w:r>
      <w:r w:rsidR="00704BDF" w:rsidRPr="008D0BEB">
        <w:rPr>
          <w:rFonts w:asciiTheme="minorHAnsi" w:hAnsiTheme="minorHAnsi"/>
          <w:color w:val="000000"/>
        </w:rPr>
        <w:t>.</w:t>
      </w:r>
    </w:p>
    <w:p w14:paraId="62656E4B" w14:textId="77777777" w:rsidR="00704BDF" w:rsidRPr="008D0BEB" w:rsidRDefault="000953EC"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P.A. </w:t>
      </w:r>
      <w:proofErr w:type="spellStart"/>
      <w:r>
        <w:rPr>
          <w:rFonts w:asciiTheme="minorHAnsi" w:hAnsiTheme="minorHAnsi"/>
          <w:color w:val="000000"/>
        </w:rPr>
        <w:t>Rautanen</w:t>
      </w:r>
      <w:proofErr w:type="spellEnd"/>
      <w:r>
        <w:rPr>
          <w:rFonts w:asciiTheme="minorHAnsi" w:hAnsiTheme="minorHAnsi"/>
          <w:color w:val="000000"/>
        </w:rPr>
        <w:t xml:space="preserve">, M.S. </w:t>
      </w:r>
      <w:proofErr w:type="spellStart"/>
      <w:r>
        <w:rPr>
          <w:rFonts w:asciiTheme="minorHAnsi" w:hAnsiTheme="minorHAnsi"/>
          <w:color w:val="000000"/>
        </w:rPr>
        <w:t>Lylykangas</w:t>
      </w:r>
      <w:proofErr w:type="spellEnd"/>
      <w:r>
        <w:rPr>
          <w:rFonts w:asciiTheme="minorHAnsi" w:hAnsiTheme="minorHAnsi"/>
          <w:color w:val="000000"/>
        </w:rPr>
        <w:t xml:space="preserve">, J.R. </w:t>
      </w:r>
      <w:proofErr w:type="spellStart"/>
      <w:r>
        <w:rPr>
          <w:rFonts w:asciiTheme="minorHAnsi" w:hAnsiTheme="minorHAnsi"/>
          <w:color w:val="000000"/>
        </w:rPr>
        <w:t>Aittamaa</w:t>
      </w:r>
      <w:proofErr w:type="spellEnd"/>
      <w:r>
        <w:rPr>
          <w:rFonts w:asciiTheme="minorHAnsi" w:hAnsiTheme="minorHAnsi"/>
          <w:color w:val="000000"/>
        </w:rPr>
        <w:t>, A.O.I. Krause, Ind. Eng. Chem. Res. 41 (2002) 5966-75.</w:t>
      </w:r>
    </w:p>
    <w:sectPr w:rsidR="00704BDF"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403B5" w14:textId="77777777" w:rsidR="000E49C6" w:rsidRDefault="000E49C6" w:rsidP="004F5E36">
      <w:r>
        <w:separator/>
      </w:r>
    </w:p>
  </w:endnote>
  <w:endnote w:type="continuationSeparator" w:id="0">
    <w:p w14:paraId="0260C40E" w14:textId="77777777" w:rsidR="000E49C6" w:rsidRDefault="000E49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9DEA" w14:textId="77777777" w:rsidR="000E49C6" w:rsidRDefault="000E49C6" w:rsidP="004F5E36">
      <w:r>
        <w:separator/>
      </w:r>
    </w:p>
  </w:footnote>
  <w:footnote w:type="continuationSeparator" w:id="0">
    <w:p w14:paraId="03FA2247" w14:textId="77777777" w:rsidR="000E49C6" w:rsidRDefault="000E49C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B1B89"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590C044A" wp14:editId="3D0D78A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F4387F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8DA7C7A" wp14:editId="00E63E0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F3A99"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1BE71127" wp14:editId="0A89C0E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9C7F4EB" w14:textId="77777777" w:rsidR="00704BDF" w:rsidRDefault="00704BDF">
    <w:pPr>
      <w:pStyle w:val="Intestazione"/>
    </w:pPr>
  </w:p>
  <w:p w14:paraId="670BC671"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61B9A0E3" wp14:editId="295E138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5F104CA"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0751F"/>
    <w:rsid w:val="000117CB"/>
    <w:rsid w:val="0003148D"/>
    <w:rsid w:val="00043537"/>
    <w:rsid w:val="00062A9A"/>
    <w:rsid w:val="00072BE6"/>
    <w:rsid w:val="000953EC"/>
    <w:rsid w:val="000A03B2"/>
    <w:rsid w:val="000D34BE"/>
    <w:rsid w:val="000E36F1"/>
    <w:rsid w:val="000E3A73"/>
    <w:rsid w:val="000E414A"/>
    <w:rsid w:val="000E49C6"/>
    <w:rsid w:val="0013121F"/>
    <w:rsid w:val="00134DE4"/>
    <w:rsid w:val="00150E59"/>
    <w:rsid w:val="00184AD6"/>
    <w:rsid w:val="00196A77"/>
    <w:rsid w:val="001B65C1"/>
    <w:rsid w:val="001C684B"/>
    <w:rsid w:val="001D53FC"/>
    <w:rsid w:val="001F2EC7"/>
    <w:rsid w:val="002065DB"/>
    <w:rsid w:val="00212BE6"/>
    <w:rsid w:val="002447EF"/>
    <w:rsid w:val="00251550"/>
    <w:rsid w:val="0027221A"/>
    <w:rsid w:val="00275B61"/>
    <w:rsid w:val="002D1F12"/>
    <w:rsid w:val="002D2782"/>
    <w:rsid w:val="003009B7"/>
    <w:rsid w:val="0030469C"/>
    <w:rsid w:val="00337DA8"/>
    <w:rsid w:val="003723D4"/>
    <w:rsid w:val="003A60EB"/>
    <w:rsid w:val="003A7D1C"/>
    <w:rsid w:val="00423F39"/>
    <w:rsid w:val="0046164A"/>
    <w:rsid w:val="00462DCD"/>
    <w:rsid w:val="00490BE6"/>
    <w:rsid w:val="004B5A26"/>
    <w:rsid w:val="004D1162"/>
    <w:rsid w:val="004E4DD6"/>
    <w:rsid w:val="004F5E36"/>
    <w:rsid w:val="005119A5"/>
    <w:rsid w:val="005278B7"/>
    <w:rsid w:val="005346C8"/>
    <w:rsid w:val="00564BB2"/>
    <w:rsid w:val="00594E9F"/>
    <w:rsid w:val="005B61E6"/>
    <w:rsid w:val="005C77E1"/>
    <w:rsid w:val="005D6A2F"/>
    <w:rsid w:val="005E1A82"/>
    <w:rsid w:val="005F0A28"/>
    <w:rsid w:val="005F0E5E"/>
    <w:rsid w:val="00602408"/>
    <w:rsid w:val="00620DEE"/>
    <w:rsid w:val="00625639"/>
    <w:rsid w:val="0064184D"/>
    <w:rsid w:val="00660E3E"/>
    <w:rsid w:val="00662E74"/>
    <w:rsid w:val="006A58D2"/>
    <w:rsid w:val="006C5579"/>
    <w:rsid w:val="00704BDF"/>
    <w:rsid w:val="00736B13"/>
    <w:rsid w:val="007447F3"/>
    <w:rsid w:val="007569E2"/>
    <w:rsid w:val="007661C8"/>
    <w:rsid w:val="007701A7"/>
    <w:rsid w:val="007D52CD"/>
    <w:rsid w:val="00813288"/>
    <w:rsid w:val="008168FC"/>
    <w:rsid w:val="008479A2"/>
    <w:rsid w:val="00855582"/>
    <w:rsid w:val="0087637F"/>
    <w:rsid w:val="008A1512"/>
    <w:rsid w:val="008D056D"/>
    <w:rsid w:val="008D0BEB"/>
    <w:rsid w:val="008D1CC0"/>
    <w:rsid w:val="008E566E"/>
    <w:rsid w:val="00901EB6"/>
    <w:rsid w:val="0090525E"/>
    <w:rsid w:val="009450CE"/>
    <w:rsid w:val="0095164B"/>
    <w:rsid w:val="00977399"/>
    <w:rsid w:val="009830D5"/>
    <w:rsid w:val="00996483"/>
    <w:rsid w:val="009E788A"/>
    <w:rsid w:val="009F28BA"/>
    <w:rsid w:val="00A1763D"/>
    <w:rsid w:val="00A17CEC"/>
    <w:rsid w:val="00A27EF0"/>
    <w:rsid w:val="00A47530"/>
    <w:rsid w:val="00A53510"/>
    <w:rsid w:val="00A76EFC"/>
    <w:rsid w:val="00A9626B"/>
    <w:rsid w:val="00A97F29"/>
    <w:rsid w:val="00AB0964"/>
    <w:rsid w:val="00AE377D"/>
    <w:rsid w:val="00B61DBF"/>
    <w:rsid w:val="00B96256"/>
    <w:rsid w:val="00BB2A51"/>
    <w:rsid w:val="00BC30C9"/>
    <w:rsid w:val="00BE3E58"/>
    <w:rsid w:val="00C01616"/>
    <w:rsid w:val="00C0162B"/>
    <w:rsid w:val="00C106C4"/>
    <w:rsid w:val="00C345B1"/>
    <w:rsid w:val="00C40142"/>
    <w:rsid w:val="00C40B2A"/>
    <w:rsid w:val="00C57182"/>
    <w:rsid w:val="00C655FD"/>
    <w:rsid w:val="00C7111C"/>
    <w:rsid w:val="00C867B1"/>
    <w:rsid w:val="00C94434"/>
    <w:rsid w:val="00CA1C95"/>
    <w:rsid w:val="00CA5A9C"/>
    <w:rsid w:val="00CD5FE2"/>
    <w:rsid w:val="00D02B4C"/>
    <w:rsid w:val="00D84576"/>
    <w:rsid w:val="00DE0019"/>
    <w:rsid w:val="00DE264A"/>
    <w:rsid w:val="00E041E7"/>
    <w:rsid w:val="00E23CA1"/>
    <w:rsid w:val="00E409A8"/>
    <w:rsid w:val="00E47595"/>
    <w:rsid w:val="00E7209D"/>
    <w:rsid w:val="00EA3CCA"/>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E820F"/>
  <w15:docId w15:val="{4EE6658B-9F23-4811-88C4-EC11511F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BCAuthorAddress">
    <w:name w:val="BC_Author_Address"/>
    <w:basedOn w:val="Normale"/>
    <w:next w:val="Normale"/>
    <w:rsid w:val="00C40B2A"/>
    <w:pPr>
      <w:tabs>
        <w:tab w:val="clear" w:pos="7100"/>
      </w:tabs>
      <w:spacing w:after="240" w:line="480" w:lineRule="auto"/>
      <w:jc w:val="center"/>
    </w:pPr>
    <w:rPr>
      <w:rFonts w:ascii="Times" w:eastAsiaTheme="minorEastAsia" w:hAnsi="Times"/>
      <w:sz w:val="24"/>
      <w:lang w:val="en-US"/>
    </w:rPr>
  </w:style>
  <w:style w:type="paragraph" w:customStyle="1" w:styleId="TFReferencesSection">
    <w:name w:val="TF_References_Section"/>
    <w:basedOn w:val="Normale"/>
    <w:rsid w:val="000953EC"/>
    <w:pPr>
      <w:tabs>
        <w:tab w:val="clear" w:pos="7100"/>
      </w:tabs>
      <w:spacing w:after="200" w:line="480" w:lineRule="auto"/>
      <w:ind w:firstLine="187"/>
    </w:pPr>
    <w:rPr>
      <w:rFonts w:ascii="Times" w:hAnsi="Times"/>
      <w:sz w:val="24"/>
      <w:lang w:val="en-US"/>
    </w:rPr>
  </w:style>
  <w:style w:type="character" w:styleId="Rimandocommento">
    <w:name w:val="annotation reference"/>
    <w:basedOn w:val="Carpredefinitoparagrafo"/>
    <w:uiPriority w:val="99"/>
    <w:semiHidden/>
    <w:unhideWhenUsed/>
    <w:locked/>
    <w:rsid w:val="00564B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240D-C62A-4752-BB3B-8E6E8C4A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809</Words>
  <Characters>4613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26</cp:revision>
  <cp:lastPrinted>2015-05-12T18:31:00Z</cp:lastPrinted>
  <dcterms:created xsi:type="dcterms:W3CDTF">2018-05-26T08:49:00Z</dcterms:created>
  <dcterms:modified xsi:type="dcterms:W3CDTF">2019-08-24T07:48:00Z</dcterms:modified>
</cp:coreProperties>
</file>