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ED157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781CE45" w14:textId="2BF531BB" w:rsidR="00704BDF" w:rsidRPr="00DE0019" w:rsidRDefault="002D4B0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Application </w:t>
      </w:r>
      <w:r w:rsidR="00432C2C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of Online Measurement Tools for the Prediction of Residual Substrate Concentration in </w:t>
      </w:r>
      <w:r w:rsidR="008B0F6F" w:rsidRPr="002D4B09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Ustilago </w:t>
      </w:r>
      <w:r w:rsidR="00432C2C" w:rsidRPr="002D4B09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Maydis</w:t>
      </w:r>
      <w:r w:rsidR="00432C2C" w:rsidRPr="008B0F6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432C2C">
        <w:rPr>
          <w:rFonts w:asciiTheme="minorHAnsi" w:eastAsia="MS PGothic" w:hAnsiTheme="minorHAnsi"/>
          <w:b/>
          <w:bCs/>
          <w:sz w:val="28"/>
          <w:szCs w:val="28"/>
          <w:lang w:val="en-US"/>
        </w:rPr>
        <w:t>Mixed Cultures o</w:t>
      </w:r>
      <w:bookmarkStart w:id="0" w:name="_GoBack"/>
      <w:bookmarkEnd w:id="0"/>
      <w:r w:rsidR="00432C2C" w:rsidRPr="008B0F6F">
        <w:rPr>
          <w:rFonts w:asciiTheme="minorHAnsi" w:eastAsia="MS PGothic" w:hAnsiTheme="minorHAnsi"/>
          <w:b/>
          <w:bCs/>
          <w:sz w:val="28"/>
          <w:szCs w:val="28"/>
          <w:lang w:val="en-US"/>
        </w:rPr>
        <w:t>n Pectin</w:t>
      </w:r>
      <w:r w:rsidR="00432C2C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29D31AD7" w14:textId="77777777" w:rsidR="00DE0019" w:rsidRPr="002D4B09" w:rsidRDefault="002D4B09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</w:pPr>
      <w:r w:rsidRPr="002D4B09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Markus Müller</w:t>
      </w:r>
      <w:r w:rsidR="00704BDF" w:rsidRPr="002D4B0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="00736B13" w:rsidRPr="002D4B0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Sarah Stachurski</w:t>
      </w:r>
      <w:r w:rsidRPr="002D4B0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2D4B0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Peter Stoffels</w:t>
      </w:r>
      <w:r w:rsidR="00704BDF" w:rsidRPr="002D4B0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Pr="002D4B0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Kerstin Schipper</w:t>
      </w:r>
      <w:r w:rsidRPr="002D4B0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Pr="002D4B0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Michael Feldbrügge</w:t>
      </w:r>
      <w:r w:rsidRPr="002D4B0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Pr="002D4B0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Jochen Büchs</w:t>
      </w:r>
      <w:r w:rsidRPr="002D4B0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*</w:t>
      </w:r>
      <w:r w:rsidR="00DE0019" w:rsidRPr="002D4B0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</w:t>
      </w:r>
    </w:p>
    <w:p w14:paraId="22B9618E" w14:textId="77777777" w:rsidR="002D4B09" w:rsidRDefault="002D4B09" w:rsidP="002D4B09">
      <w:pPr>
        <w:autoSpaceDE w:val="0"/>
        <w:autoSpaceDN w:val="0"/>
        <w:adjustRightInd w:val="0"/>
        <w:spacing w:line="240" w:lineRule="auto"/>
        <w:ind w:left="709" w:right="709"/>
        <w:jc w:val="center"/>
        <w:rPr>
          <w:rFonts w:asciiTheme="minorHAnsi" w:eastAsia="Calibri" w:hAnsiTheme="minorHAnsi"/>
          <w:bCs/>
          <w:i/>
          <w:iCs/>
          <w:sz w:val="20"/>
          <w:lang w:val="de-DE"/>
        </w:rPr>
      </w:pPr>
      <w:r w:rsidRPr="002D4B09">
        <w:rPr>
          <w:rFonts w:asciiTheme="minorHAnsi" w:eastAsia="Calibri" w:hAnsiTheme="minorHAnsi"/>
          <w:bCs/>
          <w:i/>
          <w:iCs/>
          <w:sz w:val="20"/>
          <w:vertAlign w:val="superscript"/>
          <w:lang w:val="de-DE"/>
        </w:rPr>
        <w:t>1</w:t>
      </w:r>
      <w:r w:rsidRPr="002D4B09">
        <w:rPr>
          <w:rFonts w:asciiTheme="minorHAnsi" w:eastAsia="Calibri" w:hAnsiTheme="minorHAnsi"/>
          <w:bCs/>
          <w:i/>
          <w:iCs/>
          <w:sz w:val="20"/>
          <w:lang w:val="de-DE"/>
        </w:rPr>
        <w:t xml:space="preserve"> Aachener Verfahrenstechnik – Biochemical Engineering,</w:t>
      </w:r>
      <w:r>
        <w:rPr>
          <w:rFonts w:asciiTheme="minorHAnsi" w:eastAsia="Calibri" w:hAnsiTheme="minorHAnsi"/>
          <w:bCs/>
          <w:i/>
          <w:iCs/>
          <w:sz w:val="20"/>
          <w:lang w:val="de-DE"/>
        </w:rPr>
        <w:t xml:space="preserve"> </w:t>
      </w:r>
      <w:r w:rsidRPr="002D4B09">
        <w:rPr>
          <w:rFonts w:asciiTheme="minorHAnsi" w:eastAsia="Calibri" w:hAnsiTheme="minorHAnsi"/>
          <w:bCs/>
          <w:i/>
          <w:iCs/>
          <w:sz w:val="20"/>
          <w:lang w:val="de-DE"/>
        </w:rPr>
        <w:t>RWTH Aachen University, Forckenbeckstraße. 51, 52074 Aachen, Germany</w:t>
      </w:r>
    </w:p>
    <w:p w14:paraId="3CE047F2" w14:textId="77777777" w:rsidR="002D4B09" w:rsidRPr="002D4B09" w:rsidRDefault="002D4B09" w:rsidP="002D4B09">
      <w:pPr>
        <w:autoSpaceDE w:val="0"/>
        <w:autoSpaceDN w:val="0"/>
        <w:adjustRightInd w:val="0"/>
        <w:spacing w:line="240" w:lineRule="auto"/>
        <w:ind w:left="709" w:right="709"/>
        <w:jc w:val="center"/>
        <w:rPr>
          <w:rFonts w:asciiTheme="minorHAnsi" w:eastAsia="Calibri" w:hAnsiTheme="minorHAnsi"/>
          <w:bCs/>
          <w:i/>
          <w:iCs/>
          <w:sz w:val="20"/>
          <w:lang w:val="de-DE"/>
        </w:rPr>
      </w:pPr>
      <w:r w:rsidRPr="002D4B09">
        <w:rPr>
          <w:rFonts w:asciiTheme="minorHAnsi" w:eastAsia="Calibri" w:hAnsiTheme="minorHAnsi"/>
          <w:bCs/>
          <w:i/>
          <w:iCs/>
          <w:sz w:val="20"/>
          <w:vertAlign w:val="superscript"/>
          <w:lang w:val="de-DE"/>
        </w:rPr>
        <w:t>2</w:t>
      </w:r>
      <w:r>
        <w:rPr>
          <w:rFonts w:asciiTheme="minorHAnsi" w:eastAsia="Calibri" w:hAnsiTheme="minorHAnsi"/>
          <w:bCs/>
          <w:i/>
          <w:iCs/>
          <w:sz w:val="20"/>
          <w:lang w:val="de-DE"/>
        </w:rPr>
        <w:t xml:space="preserve"> </w:t>
      </w:r>
      <w:r w:rsidRPr="002D4B09">
        <w:rPr>
          <w:rFonts w:asciiTheme="minorHAnsi" w:eastAsia="Calibri" w:hAnsiTheme="minorHAnsi"/>
          <w:bCs/>
          <w:i/>
          <w:iCs/>
          <w:sz w:val="20"/>
          <w:lang w:val="de-DE"/>
        </w:rPr>
        <w:t>Institute for Microbiology, Heinrich-Heine-University Düsseldorf, Universitätsstraße 1, 40225 Düsseldorf, Germany</w:t>
      </w:r>
    </w:p>
    <w:p w14:paraId="0334F412" w14:textId="77777777" w:rsidR="002D4B09" w:rsidRPr="006A12F7" w:rsidRDefault="002D4B09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de-DE"/>
        </w:rPr>
      </w:pPr>
    </w:p>
    <w:p w14:paraId="21841242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D4B09">
        <w:rPr>
          <w:rFonts w:asciiTheme="minorHAnsi" w:eastAsia="MS PGothic" w:hAnsiTheme="minorHAnsi"/>
          <w:bCs/>
          <w:i/>
          <w:iCs/>
          <w:sz w:val="20"/>
          <w:lang w:val="en-US"/>
        </w:rPr>
        <w:t>jochen.buechs@avt.rwth-aachen.de</w:t>
      </w:r>
    </w:p>
    <w:p w14:paraId="62BD3EE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122F4FE" w14:textId="77777777" w:rsidR="00D07496" w:rsidRDefault="00D0749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Prediction of residual substrate concentration without offline sampling</w:t>
      </w:r>
    </w:p>
    <w:p w14:paraId="051D7C49" w14:textId="77777777" w:rsidR="002D4B09" w:rsidRDefault="00D0749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Determination of the pectinolytic activity of </w:t>
      </w:r>
      <w:r w:rsidRPr="00D07496">
        <w:rPr>
          <w:rFonts w:asciiTheme="minorHAnsi" w:hAnsiTheme="minorHAnsi"/>
          <w:i/>
        </w:rPr>
        <w:t>U. maydis</w:t>
      </w:r>
      <w:r>
        <w:rPr>
          <w:rFonts w:asciiTheme="minorHAnsi" w:hAnsiTheme="minorHAnsi"/>
        </w:rPr>
        <w:t xml:space="preserve"> on </w:t>
      </w:r>
      <w:r w:rsidR="008B0F6F">
        <w:rPr>
          <w:rFonts w:asciiTheme="minorHAnsi" w:hAnsiTheme="minorHAnsi"/>
        </w:rPr>
        <w:t>polygalacturonic acid</w:t>
      </w:r>
    </w:p>
    <w:p w14:paraId="57359EFC" w14:textId="77777777" w:rsidR="008B0F6F" w:rsidRPr="008B0F6F" w:rsidRDefault="00D07496" w:rsidP="008B0F6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Mixed cultures </w:t>
      </w:r>
      <w:r w:rsidR="008B0F6F">
        <w:rPr>
          <w:rFonts w:asciiTheme="minorHAnsi" w:hAnsiTheme="minorHAnsi"/>
        </w:rPr>
        <w:t>increase</w:t>
      </w:r>
      <w:r>
        <w:rPr>
          <w:rFonts w:asciiTheme="minorHAnsi" w:hAnsiTheme="minorHAnsi"/>
        </w:rPr>
        <w:t xml:space="preserve"> metabolization rate of complex substrates</w:t>
      </w:r>
    </w:p>
    <w:p w14:paraId="3F2118AA" w14:textId="77777777" w:rsidR="00704BDF" w:rsidRPr="00D07496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14:paraId="73BC19E8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23AC58E" w14:textId="77777777" w:rsidR="002F4B9E" w:rsidRDefault="002F4B9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quantification of residual substrate is a major challenge during the microbial conversion of industrial </w:t>
      </w:r>
      <w:r w:rsidR="004039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organic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waste streams. </w:t>
      </w:r>
      <w:r w:rsidR="00F26D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pectin fraction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biomass</w:t>
      </w:r>
      <w:r w:rsidR="00F26D29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like sugar beet pulp </w:t>
      </w:r>
      <w:r w:rsidRPr="00F26D29">
        <w:rPr>
          <w:rFonts w:asciiTheme="minorHAnsi" w:eastAsia="MS PGothic" w:hAnsiTheme="minorHAnsi"/>
          <w:sz w:val="22"/>
          <w:szCs w:val="22"/>
          <w:lang w:val="en-US"/>
        </w:rPr>
        <w:t xml:space="preserve">is robust to </w:t>
      </w:r>
      <w:r w:rsidR="00F26D29" w:rsidRPr="00F26D29">
        <w:rPr>
          <w:rFonts w:asciiTheme="minorHAnsi" w:eastAsia="MS PGothic" w:hAnsiTheme="minorHAnsi"/>
          <w:sz w:val="22"/>
          <w:szCs w:val="22"/>
          <w:lang w:val="en-US"/>
        </w:rPr>
        <w:t>acid</w:t>
      </w:r>
      <w:r w:rsidRPr="00F26D29">
        <w:rPr>
          <w:rFonts w:asciiTheme="minorHAnsi" w:eastAsia="MS PGothic" w:hAnsiTheme="minorHAnsi"/>
          <w:sz w:val="22"/>
          <w:szCs w:val="22"/>
          <w:lang w:val="en-US"/>
        </w:rPr>
        <w:t xml:space="preserve"> hydrolysis. Enzymat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ic hydrolysis during microbial fermentations could thus help to convert complex s</w:t>
      </w:r>
      <w:r w:rsidR="00403976">
        <w:rPr>
          <w:rFonts w:asciiTheme="minorHAnsi" w:eastAsia="MS PGothic" w:hAnsiTheme="minorHAnsi"/>
          <w:color w:val="000000"/>
          <w:sz w:val="22"/>
          <w:szCs w:val="22"/>
          <w:lang w:val="en-US"/>
        </w:rPr>
        <w:t>ubstrates into fermentable sugars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Galacturonic acid - </w:t>
      </w:r>
      <w:r w:rsidR="004621A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F26D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main monomeric sugar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pectin - is an unusual carbon source during microbial fermentations. </w:t>
      </w:r>
      <w:r w:rsidRPr="002F4B9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Ustilago maydis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8B0F6F">
        <w:rPr>
          <w:rFonts w:asciiTheme="minorHAnsi" w:eastAsia="MS PGothic" w:hAnsiTheme="minorHAnsi"/>
          <w:color w:val="000000"/>
          <w:sz w:val="22"/>
          <w:szCs w:val="22"/>
          <w:lang w:val="en-US"/>
        </w:rPr>
        <w:t>well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known as expression host for carbon activating enzymes (CAZ</w:t>
      </w:r>
      <w:r w:rsidR="00321F33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mes)</w:t>
      </w:r>
      <w:r w:rsidR="008B0F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21F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is able to convert galacturonic acid </w:t>
      </w:r>
      <w:r w:rsidR="004621A3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[2]. Therefore, it was</w:t>
      </w:r>
      <w:r w:rsidR="00321F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chosen as </w:t>
      </w:r>
      <w:r w:rsidR="00B614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production host for </w:t>
      </w:r>
      <w:r w:rsidR="004621A3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polygalacturonases of</w:t>
      </w:r>
      <w:r w:rsidR="00B614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intrinsic and heterologous </w:t>
      </w:r>
      <w:r w:rsidR="004621A3">
        <w:rPr>
          <w:rFonts w:asciiTheme="minorHAnsi" w:eastAsia="MS PGothic" w:hAnsiTheme="minorHAnsi"/>
          <w:color w:val="000000"/>
          <w:sz w:val="22"/>
          <w:szCs w:val="22"/>
          <w:lang w:val="en-US"/>
        </w:rPr>
        <w:t>origin</w:t>
      </w:r>
      <w:r w:rsidR="00B614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73B99E31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32F6B430" w14:textId="77777777" w:rsidR="00B614B5" w:rsidRDefault="00B614B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C2EC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U. maydis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cultivated in </w:t>
      </w:r>
      <w:r w:rsidR="009C2EC6" w:rsidRPr="009C2EC6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R</w:t>
      </w:r>
      <w:r w:rsidR="009C2E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espiration </w:t>
      </w:r>
      <w:r w:rsidR="009C2EC6" w:rsidRPr="009C2EC6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A</w:t>
      </w:r>
      <w:r w:rsidR="009C2E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ctivity </w:t>
      </w:r>
      <w:r w:rsidR="009C2EC6" w:rsidRPr="009C2EC6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MO</w:t>
      </w:r>
      <w:r w:rsidR="009C2E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nitoring </w:t>
      </w:r>
      <w:r w:rsidR="009C2EC6" w:rsidRPr="009C2EC6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S</w:t>
      </w:r>
      <w:r w:rsidR="009C2E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ystem (RAMOS)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shake flasks </w:t>
      </w:r>
      <w:r w:rsidR="009C2EC6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online determination of oxygen transfer rate (OTR), carbon dioxide transfer rate (CTR) and respiratory quotient (RQ). The correlation of the consumed overall oxygen with the consumed substrat</w:t>
      </w:r>
      <w:r w:rsidR="008B0F6F">
        <w:rPr>
          <w:rFonts w:asciiTheme="minorHAnsi" w:eastAsia="MS PGothic" w:hAnsiTheme="minorHAnsi"/>
          <w:color w:val="000000"/>
          <w:sz w:val="22"/>
          <w:szCs w:val="22"/>
          <w:lang w:val="en-US"/>
        </w:rPr>
        <w:t>e was demonstrated previously [2</w:t>
      </w:r>
      <w:r w:rsidR="009C2E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Production and secretion of endo- and exo-polygalacturonase in different strains was achieved by promoter exchange in the </w:t>
      </w:r>
      <w:r w:rsidR="00F26D2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U. </w:t>
      </w:r>
      <w:r w:rsidR="009C2EC6" w:rsidRPr="009C2EC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maydis</w:t>
      </w:r>
      <w:r w:rsidR="009C2E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genome </w:t>
      </w:r>
      <w:r w:rsidR="004621A3">
        <w:rPr>
          <w:rFonts w:asciiTheme="minorHAnsi" w:eastAsia="MS PGothic" w:hAnsiTheme="minorHAnsi"/>
          <w:color w:val="000000"/>
          <w:sz w:val="22"/>
          <w:szCs w:val="22"/>
          <w:lang w:val="en-US"/>
        </w:rPr>
        <w:t>or</w:t>
      </w:r>
      <w:r w:rsidR="009C2E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introduction of heterologous genes. The generated strains were screened for their potential to metabolize polygalacturonic acid, pectin or sugar beet pulp with or without addition of </w:t>
      </w:r>
      <w:r w:rsidR="00367B9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conventional</w:t>
      </w:r>
      <w:r w:rsidR="009C2E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enzyme cocktails. </w:t>
      </w:r>
    </w:p>
    <w:p w14:paraId="3D6B6EF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D8D48FB" w14:textId="77777777" w:rsidR="00B614B5" w:rsidRDefault="009C2EC6" w:rsidP="00877FA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RAMOS cultivation</w:t>
      </w:r>
      <w:r w:rsidR="00877FA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demonstrated the metabolic activity of an </w:t>
      </w:r>
      <w:r w:rsidRPr="009C2EC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U.</w:t>
      </w:r>
      <w:r w:rsidR="00F26D2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 </w:t>
      </w:r>
      <w:r w:rsidRPr="009C2EC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maydis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 expressing a heterologous exo-polygalacturonase on polygalacturonic acid</w:t>
      </w:r>
      <w:r w:rsidR="008B0F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</w:t>
      </w:r>
      <w:r w:rsidRPr="00F26D29">
        <w:rPr>
          <w:rFonts w:asciiTheme="minorHAnsi" w:eastAsia="MS PGothic" w:hAnsiTheme="minorHAnsi"/>
          <w:sz w:val="22"/>
          <w:szCs w:val="22"/>
          <w:lang w:val="en-US"/>
        </w:rPr>
        <w:t xml:space="preserve">]. </w:t>
      </w:r>
      <w:r w:rsidR="00F26D29" w:rsidRPr="00F26D29">
        <w:rPr>
          <w:rFonts w:asciiTheme="minorHAnsi" w:eastAsia="MS PGothic" w:hAnsiTheme="minorHAnsi"/>
          <w:sz w:val="22"/>
          <w:szCs w:val="22"/>
          <w:lang w:val="en-US"/>
        </w:rPr>
        <w:t xml:space="preserve">However, growth of the culture </w:t>
      </w:r>
      <w:r w:rsidRPr="00F26D29">
        <w:rPr>
          <w:rFonts w:asciiTheme="minorHAnsi" w:eastAsia="MS PGothic" w:hAnsiTheme="minorHAnsi"/>
          <w:sz w:val="22"/>
          <w:szCs w:val="22"/>
          <w:lang w:val="en-US"/>
        </w:rPr>
        <w:t xml:space="preserve">was limited to the enzymatic activity in the culture supernatant. </w:t>
      </w:r>
      <w:r w:rsidR="00877FA1" w:rsidRPr="00F26D29">
        <w:rPr>
          <w:rFonts w:asciiTheme="minorHAnsi" w:eastAsia="MS PGothic" w:hAnsiTheme="minorHAnsi"/>
          <w:sz w:val="22"/>
          <w:szCs w:val="22"/>
          <w:lang w:val="en-US"/>
        </w:rPr>
        <w:t>A</w:t>
      </w:r>
      <w:r w:rsidR="00877F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screening of three different </w:t>
      </w:r>
      <w:r w:rsidR="00877FA1" w:rsidRPr="00877F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lastRenderedPageBreak/>
        <w:t>U.</w:t>
      </w:r>
      <w:r w:rsidR="00F26D2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 </w:t>
      </w:r>
      <w:r w:rsidR="00877FA1" w:rsidRPr="00877FA1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maydis</w:t>
      </w:r>
      <w:r w:rsidR="00877F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strains expressing endo-polygalacturonases of intrinsic, bacterial or eukaryotic origin, respectively, was conducted in mixed cultivation with the exo-polygalacturonase expressing strain. Online monitoring of the metabolic activity revealed that the </w:t>
      </w:r>
      <w:r w:rsidR="00367B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endo-polygalacturonase of eukaryotic origin showed the highest activity on polygalacturonic acid. </w:t>
      </w:r>
    </w:p>
    <w:p w14:paraId="1035AF0F" w14:textId="77777777" w:rsidR="00704BDF" w:rsidRPr="00DE0019" w:rsidRDefault="00367B9E" w:rsidP="00367B9E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mixed culture was subsequently cultivated on more complex substrates like pectin or sugar beet pulp. The limited metabolic activity demonstrated that </w:t>
      </w:r>
      <w:r w:rsidR="00B70CAE" w:rsidRPr="00F26D29">
        <w:rPr>
          <w:rFonts w:asciiTheme="minorHAnsi" w:eastAsia="MS PGothic" w:hAnsiTheme="minorHAnsi"/>
          <w:sz w:val="22"/>
          <w:szCs w:val="22"/>
          <w:lang w:val="en-US"/>
        </w:rPr>
        <w:t>additional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pectinases are required for efficient conversion of those substrates. As proof of principle, the metabolic </w:t>
      </w:r>
      <w:r w:rsidRPr="00F26D29">
        <w:rPr>
          <w:rFonts w:asciiTheme="minorHAnsi" w:eastAsia="MS PGothic" w:hAnsiTheme="minorHAnsi"/>
          <w:sz w:val="22"/>
          <w:szCs w:val="22"/>
          <w:lang w:val="en-US"/>
        </w:rPr>
        <w:t xml:space="preserve">activity </w:t>
      </w:r>
      <w:r w:rsidR="00F26D29" w:rsidRPr="00F26D29">
        <w:rPr>
          <w:rFonts w:asciiTheme="minorHAnsi" w:eastAsia="MS PGothic" w:hAnsiTheme="minorHAnsi"/>
          <w:sz w:val="22"/>
          <w:szCs w:val="22"/>
          <w:lang w:val="en-US"/>
        </w:rPr>
        <w:t xml:space="preserve">of </w:t>
      </w:r>
      <w:r w:rsidR="00F26D29" w:rsidRPr="00F26D29">
        <w:rPr>
          <w:rFonts w:asciiTheme="minorHAnsi" w:eastAsia="MS PGothic" w:hAnsiTheme="minorHAnsi"/>
          <w:i/>
          <w:sz w:val="22"/>
          <w:szCs w:val="22"/>
          <w:lang w:val="en-US"/>
        </w:rPr>
        <w:t>U. maydis</w:t>
      </w:r>
      <w:r w:rsidR="00F26D29" w:rsidRPr="00F26D29">
        <w:rPr>
          <w:rFonts w:asciiTheme="minorHAnsi" w:eastAsia="MS PGothic" w:hAnsiTheme="minorHAnsi"/>
          <w:sz w:val="22"/>
          <w:szCs w:val="22"/>
          <w:lang w:val="en-US"/>
        </w:rPr>
        <w:t xml:space="preserve"> mixed cultures</w:t>
      </w:r>
      <w:r w:rsidR="00F26D29">
        <w:rPr>
          <w:rFonts w:asciiTheme="minorHAnsi" w:eastAsia="MS PGothic" w:hAnsiTheme="minorHAnsi"/>
          <w:sz w:val="22"/>
          <w:szCs w:val="22"/>
          <w:lang w:val="en-US"/>
        </w:rPr>
        <w:t xml:space="preserve"> on pectin and sugar beet pulp</w:t>
      </w:r>
      <w:r w:rsidR="00B70CAE" w:rsidRPr="00F26D2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F26D29">
        <w:rPr>
          <w:rFonts w:asciiTheme="minorHAnsi" w:eastAsia="MS PGothic" w:hAnsiTheme="minorHAnsi"/>
          <w:sz w:val="22"/>
          <w:szCs w:val="22"/>
          <w:lang w:val="en-US"/>
        </w:rPr>
        <w:t>was increased by addition of conventional enz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yme cocktails. Finally, the potential of </w:t>
      </w:r>
      <w:r w:rsidRPr="00367B9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U. maydis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convert the main pectin sugars was demonstrated by cultivation in a minimal medium containi</w:t>
      </w:r>
      <w:r w:rsidR="00F26D29">
        <w:rPr>
          <w:rFonts w:asciiTheme="minorHAnsi" w:eastAsia="MS PGothic" w:hAnsiTheme="minorHAnsi"/>
          <w:color w:val="000000"/>
          <w:sz w:val="22"/>
          <w:szCs w:val="22"/>
          <w:lang w:val="en-US"/>
        </w:rPr>
        <w:t>ng six different carbon sources.</w:t>
      </w:r>
    </w:p>
    <w:p w14:paraId="76899F2C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8AC5B30" w14:textId="77777777" w:rsidR="00704BDF" w:rsidRPr="008D0BEB" w:rsidRDefault="00B70CA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33062D" w:rsidRP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detailed overview of the respiration activity of </w:t>
      </w:r>
      <w:r w:rsidR="0033062D" w:rsidRPr="0033062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U. maydis</w:t>
      </w:r>
      <w:r w:rsidR="0033062D" w:rsidRP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growth on pectic substrates</w:t>
      </w:r>
      <w:r w:rsid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different complexity</w:t>
      </w:r>
      <w:r w:rsidR="0033062D" w:rsidRP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attained. </w:t>
      </w:r>
      <w:r w:rsid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3062D" w:rsidRP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previously developed </w:t>
      </w:r>
      <w:r w:rsidR="0033062D" w:rsidRP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methodology for online determination of the residual substrate concentration </w:t>
      </w:r>
      <w:r w:rsid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applied on a screening of mixed cultures expressing different endo-polygalacturonases</w:t>
      </w:r>
      <w:r w:rsidR="0033062D" w:rsidRP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Limitations in the enzyme expression rate were overcome by addition of conventional enzyme cocktails demonstrating the capability of </w:t>
      </w:r>
      <w:r w:rsidR="0033062D" w:rsidRPr="0033062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U. maydis</w:t>
      </w:r>
      <w:r w:rsid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convert the main </w:t>
      </w:r>
      <w:r w:rsidR="0033062D" w:rsidRPr="00F26D29">
        <w:rPr>
          <w:rFonts w:asciiTheme="minorHAnsi" w:eastAsia="MS PGothic" w:hAnsiTheme="minorHAnsi"/>
          <w:sz w:val="22"/>
          <w:szCs w:val="22"/>
          <w:lang w:val="en-US"/>
        </w:rPr>
        <w:t>sugars</w:t>
      </w:r>
      <w:r w:rsidR="00F26D29">
        <w:rPr>
          <w:rFonts w:asciiTheme="minorHAnsi" w:eastAsia="MS PGothic" w:hAnsiTheme="minorHAnsi"/>
          <w:sz w:val="22"/>
          <w:szCs w:val="22"/>
          <w:lang w:val="en-US"/>
        </w:rPr>
        <w:t xml:space="preserve"> from pectin</w:t>
      </w:r>
      <w:r w:rsidR="0033062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7331230" w14:textId="77777777" w:rsidR="00704BDF" w:rsidRPr="008D0BEB" w:rsidRDefault="00307E83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6D4D756E" w14:textId="77777777" w:rsidR="008B0F6F" w:rsidRPr="008B0F6F" w:rsidRDefault="008B0F6F" w:rsidP="008B0F6F">
      <w:pPr>
        <w:pStyle w:val="Paragrafoelenco"/>
        <w:numPr>
          <w:ilvl w:val="0"/>
          <w:numId w:val="17"/>
        </w:numPr>
        <w:tabs>
          <w:tab w:val="clear" w:pos="7100"/>
        </w:tabs>
        <w:autoSpaceDE w:val="0"/>
        <w:autoSpaceDN w:val="0"/>
        <w:adjustRightInd w:val="0"/>
        <w:spacing w:line="240" w:lineRule="auto"/>
        <w:jc w:val="left"/>
        <w:rPr>
          <w:rFonts w:ascii="Segoe UI" w:eastAsiaTheme="minorHAnsi" w:hAnsi="Segoe UI" w:cs="Segoe UI"/>
          <w:szCs w:val="18"/>
          <w:lang w:val="en-US"/>
        </w:rPr>
      </w:pPr>
      <w:r w:rsidRPr="008B0F6F">
        <w:rPr>
          <w:rFonts w:ascii="Segoe UI" w:eastAsiaTheme="minorHAnsi" w:hAnsi="Segoe UI" w:cs="Segoe UI"/>
          <w:szCs w:val="18"/>
          <w:lang w:val="de-DE"/>
        </w:rPr>
        <w:t xml:space="preserve">E. Geiser, </w:t>
      </w:r>
      <w:r>
        <w:rPr>
          <w:rFonts w:ascii="Segoe UI" w:eastAsiaTheme="minorHAnsi" w:hAnsi="Segoe UI" w:cs="Segoe UI"/>
          <w:szCs w:val="18"/>
          <w:lang w:val="de-DE"/>
        </w:rPr>
        <w:t xml:space="preserve">M. </w:t>
      </w:r>
      <w:r w:rsidRPr="008B0F6F">
        <w:rPr>
          <w:rFonts w:ascii="Segoe UI" w:eastAsiaTheme="minorHAnsi" w:hAnsi="Segoe UI" w:cs="Segoe UI"/>
          <w:szCs w:val="18"/>
          <w:lang w:val="de-DE"/>
        </w:rPr>
        <w:t>Reindl,</w:t>
      </w:r>
      <w:r>
        <w:rPr>
          <w:rFonts w:ascii="Segoe UI" w:eastAsiaTheme="minorHAnsi" w:hAnsi="Segoe UI" w:cs="Segoe UI"/>
          <w:szCs w:val="18"/>
          <w:lang w:val="de-DE"/>
        </w:rPr>
        <w:t xml:space="preserve"> L.M.</w:t>
      </w:r>
      <w:r w:rsidRPr="008B0F6F">
        <w:rPr>
          <w:rFonts w:ascii="Segoe UI" w:eastAsiaTheme="minorHAnsi" w:hAnsi="Segoe UI" w:cs="Segoe UI"/>
          <w:szCs w:val="18"/>
          <w:lang w:val="de-DE"/>
        </w:rPr>
        <w:t xml:space="preserve"> Blank, </w:t>
      </w:r>
      <w:r>
        <w:rPr>
          <w:rFonts w:ascii="Segoe UI" w:eastAsiaTheme="minorHAnsi" w:hAnsi="Segoe UI" w:cs="Segoe UI"/>
          <w:szCs w:val="18"/>
          <w:lang w:val="de-DE"/>
        </w:rPr>
        <w:t xml:space="preserve">M. </w:t>
      </w:r>
      <w:r w:rsidRPr="008B0F6F">
        <w:rPr>
          <w:rFonts w:ascii="Segoe UI" w:eastAsiaTheme="minorHAnsi" w:hAnsi="Segoe UI" w:cs="Segoe UI"/>
          <w:szCs w:val="18"/>
          <w:lang w:val="de-DE"/>
        </w:rPr>
        <w:t>Feldbrügge,</w:t>
      </w:r>
      <w:r>
        <w:rPr>
          <w:rFonts w:ascii="Segoe UI" w:eastAsiaTheme="minorHAnsi" w:hAnsi="Segoe UI" w:cs="Segoe UI"/>
          <w:szCs w:val="18"/>
          <w:lang w:val="de-DE"/>
        </w:rPr>
        <w:t xml:space="preserve"> N.</w:t>
      </w:r>
      <w:r w:rsidRPr="008B0F6F">
        <w:rPr>
          <w:rFonts w:ascii="Segoe UI" w:eastAsiaTheme="minorHAnsi" w:hAnsi="Segoe UI" w:cs="Segoe UI"/>
          <w:szCs w:val="18"/>
          <w:lang w:val="de-DE"/>
        </w:rPr>
        <w:t xml:space="preserve"> Wierckx,</w:t>
      </w:r>
      <w:r>
        <w:rPr>
          <w:rFonts w:ascii="Segoe UI" w:eastAsiaTheme="minorHAnsi" w:hAnsi="Segoe UI" w:cs="Segoe UI"/>
          <w:szCs w:val="18"/>
          <w:lang w:val="de-DE"/>
        </w:rPr>
        <w:t xml:space="preserve"> K.</w:t>
      </w:r>
      <w:r w:rsidRPr="008B0F6F">
        <w:rPr>
          <w:rFonts w:ascii="Segoe UI" w:eastAsiaTheme="minorHAnsi" w:hAnsi="Segoe UI" w:cs="Segoe UI"/>
          <w:szCs w:val="18"/>
          <w:lang w:val="de-DE"/>
        </w:rPr>
        <w:t xml:space="preserve"> Schipper, Appl. </w:t>
      </w:r>
      <w:r w:rsidRPr="008B0F6F">
        <w:rPr>
          <w:rFonts w:ascii="Segoe UI" w:eastAsiaTheme="minorHAnsi" w:hAnsi="Segoe UI" w:cs="Segoe UI"/>
          <w:szCs w:val="18"/>
          <w:lang w:val="en-US"/>
        </w:rPr>
        <w:t>Environ. Microbiol. 82:17 (2016) 5174-5185.</w:t>
      </w:r>
    </w:p>
    <w:p w14:paraId="4F9EED6D" w14:textId="77777777" w:rsidR="00B614B5" w:rsidRPr="00F26D29" w:rsidRDefault="00B614B5" w:rsidP="008B0F6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de-DE"/>
        </w:rPr>
      </w:pPr>
      <w:r w:rsidRPr="008B0F6F">
        <w:rPr>
          <w:rFonts w:asciiTheme="minorHAnsi" w:hAnsiTheme="minorHAnsi"/>
          <w:color w:val="000000"/>
          <w:lang w:val="de-DE"/>
        </w:rPr>
        <w:t xml:space="preserve">M.J. Müller, S. Stachurski, P. Stoffels, K. Schipper, M. Feldbrügge, J. Büchs, J. Biol. Eng. </w:t>
      </w:r>
      <w:r w:rsidR="00F26D29">
        <w:rPr>
          <w:rFonts w:asciiTheme="minorHAnsi" w:hAnsiTheme="minorHAnsi"/>
          <w:color w:val="000000"/>
          <w:lang w:val="de-DE"/>
        </w:rPr>
        <w:t xml:space="preserve">12:34 </w:t>
      </w:r>
      <w:r w:rsidR="00F26D29" w:rsidRPr="00D908D1">
        <w:rPr>
          <w:rFonts w:asciiTheme="minorHAnsi" w:hAnsiTheme="minorHAnsi"/>
          <w:color w:val="000000"/>
          <w:lang w:val="de-DE"/>
        </w:rPr>
        <w:t>(2018).</w:t>
      </w:r>
    </w:p>
    <w:sectPr w:rsidR="00B614B5" w:rsidRPr="00F26D2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C72F" w14:textId="77777777" w:rsidR="00783BE9" w:rsidRDefault="00783BE9" w:rsidP="004F5E36">
      <w:r>
        <w:separator/>
      </w:r>
    </w:p>
  </w:endnote>
  <w:endnote w:type="continuationSeparator" w:id="0">
    <w:p w14:paraId="31592334" w14:textId="77777777" w:rsidR="00783BE9" w:rsidRDefault="00783BE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53518" w14:textId="77777777" w:rsidR="00783BE9" w:rsidRDefault="00783BE9" w:rsidP="004F5E36">
      <w:r>
        <w:separator/>
      </w:r>
    </w:p>
  </w:footnote>
  <w:footnote w:type="continuationSeparator" w:id="0">
    <w:p w14:paraId="5CF2F9E4" w14:textId="77777777" w:rsidR="00783BE9" w:rsidRDefault="00783BE9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266D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896097" wp14:editId="554B75D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AF3C198" wp14:editId="0456C8ED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779E0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066E45F" wp14:editId="5653D3C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284B80F6" w14:textId="77777777" w:rsidR="00704BDF" w:rsidRDefault="00704BDF">
    <w:pPr>
      <w:pStyle w:val="Intestazione"/>
    </w:pPr>
  </w:p>
  <w:p w14:paraId="739F1722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1174B" wp14:editId="04177E74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D4B09"/>
    <w:rsid w:val="002F4B9E"/>
    <w:rsid w:val="003009B7"/>
    <w:rsid w:val="0030469C"/>
    <w:rsid w:val="00307E83"/>
    <w:rsid w:val="00321F33"/>
    <w:rsid w:val="0033062D"/>
    <w:rsid w:val="00367B9E"/>
    <w:rsid w:val="003723D4"/>
    <w:rsid w:val="003A7D1C"/>
    <w:rsid w:val="00403976"/>
    <w:rsid w:val="00432C2C"/>
    <w:rsid w:val="0046164A"/>
    <w:rsid w:val="004621A3"/>
    <w:rsid w:val="00462DCD"/>
    <w:rsid w:val="004A626D"/>
    <w:rsid w:val="004D1162"/>
    <w:rsid w:val="004E4DD6"/>
    <w:rsid w:val="004F563B"/>
    <w:rsid w:val="004F5E36"/>
    <w:rsid w:val="005119A5"/>
    <w:rsid w:val="00516E36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A12F7"/>
    <w:rsid w:val="006B01AC"/>
    <w:rsid w:val="006C5579"/>
    <w:rsid w:val="00704BDF"/>
    <w:rsid w:val="00736B13"/>
    <w:rsid w:val="007447F3"/>
    <w:rsid w:val="007661C8"/>
    <w:rsid w:val="00783BE9"/>
    <w:rsid w:val="007D52CD"/>
    <w:rsid w:val="00813288"/>
    <w:rsid w:val="008168FC"/>
    <w:rsid w:val="008479A2"/>
    <w:rsid w:val="0087637F"/>
    <w:rsid w:val="00877FA1"/>
    <w:rsid w:val="008A1512"/>
    <w:rsid w:val="008B0F6F"/>
    <w:rsid w:val="008D0BEB"/>
    <w:rsid w:val="008E566E"/>
    <w:rsid w:val="00901EB6"/>
    <w:rsid w:val="009441F0"/>
    <w:rsid w:val="009450CE"/>
    <w:rsid w:val="0095164B"/>
    <w:rsid w:val="00996483"/>
    <w:rsid w:val="009C2EC6"/>
    <w:rsid w:val="009E788A"/>
    <w:rsid w:val="00A1763D"/>
    <w:rsid w:val="00A17CEC"/>
    <w:rsid w:val="00A27EF0"/>
    <w:rsid w:val="00A76EFC"/>
    <w:rsid w:val="00A97F29"/>
    <w:rsid w:val="00AB0964"/>
    <w:rsid w:val="00AB09F9"/>
    <w:rsid w:val="00AE377D"/>
    <w:rsid w:val="00B614B5"/>
    <w:rsid w:val="00B61DBF"/>
    <w:rsid w:val="00B70CAE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07496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26D29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39E1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8B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2EEB-9AD0-4FEA-A222-D99732B0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Sauro Pierucci</cp:lastModifiedBy>
  <cp:revision>5</cp:revision>
  <cp:lastPrinted>2015-05-12T18:31:00Z</cp:lastPrinted>
  <dcterms:created xsi:type="dcterms:W3CDTF">2018-12-21T09:53:00Z</dcterms:created>
  <dcterms:modified xsi:type="dcterms:W3CDTF">2019-08-21T08:24:00Z</dcterms:modified>
</cp:coreProperties>
</file>