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9425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Fouling monitoring in food and bioprocess with MEMS sensor: comparison of local </w:t>
      </w:r>
      <w:r w:rsidR="001D7D17" w:rsidRPr="001D7D17">
        <w:rPr>
          <w:rFonts w:asciiTheme="minorHAnsi" w:eastAsia="MS PGothic" w:hAnsiTheme="minorHAnsi"/>
          <w:b/>
          <w:bCs/>
          <w:sz w:val="28"/>
          <w:szCs w:val="28"/>
          <w:lang w:val="en-US"/>
        </w:rPr>
        <w:t>steady and periodic thermal excitation</w:t>
      </w:r>
    </w:p>
    <w:p w:rsidR="00162532" w:rsidRPr="007D3213" w:rsidRDefault="00162532" w:rsidP="00162532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7D3213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Yassim Boukazia</w:t>
      </w:r>
      <w:r w:rsidRPr="007D321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,*</w:t>
      </w:r>
      <w:r w:rsidRPr="007D3213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Guillaume Delaplace², Mathilde Cadé</w:t>
      </w:r>
      <w:r w:rsidRPr="007D321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Frédéric Bellouard</w:t>
      </w:r>
      <w:r w:rsidRPr="007D321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4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Marc Bégué</w:t>
      </w:r>
      <w:r w:rsidRPr="007D321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5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Luc Fillaudeau</w:t>
      </w:r>
      <w:r w:rsidRPr="007D321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7D3213">
        <w:rPr>
          <w:rFonts w:eastAsia="SimSun"/>
          <w:color w:val="000000"/>
          <w:lang w:val="fr-FR" w:eastAsia="zh-CN"/>
        </w:rPr>
        <w:t xml:space="preserve"> </w:t>
      </w:r>
    </w:p>
    <w:p w:rsidR="007D3255" w:rsidRPr="00561561" w:rsidRDefault="007D3255" w:rsidP="007D325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021697">
        <w:rPr>
          <w:rFonts w:eastAsia="MS PGothic"/>
          <w:i/>
          <w:iCs/>
          <w:color w:val="000000"/>
          <w:sz w:val="20"/>
          <w:lang w:val="fr-FR"/>
        </w:rPr>
        <w:t>1</w:t>
      </w:r>
      <w:r w:rsidRPr="0002169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LISBP (</w:t>
      </w:r>
      <w:r w:rsidRPr="0002169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CNRS 5504 - INRA 792 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–</w:t>
      </w:r>
      <w:r w:rsidRPr="0002169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INSA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), Toulouse, FRANCE</w:t>
      </w:r>
      <w:r w:rsidRPr="0002169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2 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PIHM-UMET (INRA 638), Lille, France, 3 IRH Ingénieur Conseil</w:t>
      </w:r>
      <w:r>
        <w:rPr>
          <w:lang w:val="fr-FR"/>
        </w:rPr>
        <w:t xml:space="preserve">, </w:t>
      </w:r>
      <w:r w:rsidRPr="00561561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Ludres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France; 4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Aqualabo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Caudan, France, 5 LMDC, </w:t>
      </w:r>
      <w:r w:rsidRPr="00561561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Toulouse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</w:t>
      </w:r>
      <w:r w:rsidRPr="00561561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France</w:t>
      </w:r>
    </w:p>
    <w:p w:rsidR="00162532" w:rsidRPr="00DE0019" w:rsidRDefault="00162532" w:rsidP="0016253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1" w:history="1">
        <w:r w:rsidR="007D3255" w:rsidRPr="00A54448">
          <w:rPr>
            <w:rStyle w:val="Lienhypertexte"/>
            <w:rFonts w:asciiTheme="minorHAnsi" w:eastAsia="MS PGothic" w:hAnsiTheme="minorHAnsi"/>
            <w:bCs/>
            <w:i/>
            <w:iCs/>
            <w:sz w:val="20"/>
            <w:lang w:val="en-US"/>
          </w:rPr>
          <w:t>boukazia@insa-toulouse.fr</w:t>
        </w:r>
      </w:hyperlink>
      <w:r w:rsidR="007D325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1A797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I</w:t>
      </w:r>
      <w:r w:rsidR="00C44BA1" w:rsidRPr="007D3255">
        <w:rPr>
          <w:rFonts w:asciiTheme="minorHAnsi" w:hAnsiTheme="minorHAnsi"/>
          <w:i/>
        </w:rPr>
        <w:t>n-situ</w:t>
      </w:r>
      <w:r w:rsidR="00C44BA1">
        <w:rPr>
          <w:rFonts w:asciiTheme="minorHAnsi" w:hAnsiTheme="minorHAnsi"/>
        </w:rPr>
        <w:t xml:space="preserve"> fouling sensor based on MEMS technology and thermal excitation</w:t>
      </w:r>
      <w:r w:rsidR="00704BDF" w:rsidRPr="00EC66CC">
        <w:rPr>
          <w:rFonts w:asciiTheme="minorHAnsi" w:hAnsiTheme="minorHAnsi"/>
        </w:rPr>
        <w:t>.</w:t>
      </w:r>
    </w:p>
    <w:p w:rsidR="00704BDF" w:rsidRDefault="00F1490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Steady </w:t>
      </w:r>
      <w:r w:rsidR="007D3255">
        <w:rPr>
          <w:rFonts w:asciiTheme="minorHAnsi" w:hAnsiTheme="minorHAnsi"/>
        </w:rPr>
        <w:t xml:space="preserve">Permanent </w:t>
      </w:r>
      <w:r>
        <w:rPr>
          <w:rFonts w:asciiTheme="minorHAnsi" w:hAnsiTheme="minorHAnsi"/>
        </w:rPr>
        <w:t>and Periodic Thermal Regime</w:t>
      </w:r>
      <w:r w:rsidR="00C44BA1">
        <w:rPr>
          <w:rFonts w:asciiTheme="minorHAnsi" w:hAnsiTheme="minorHAnsi"/>
        </w:rPr>
        <w:t>s are compared</w:t>
      </w:r>
      <w:r w:rsidR="00704BDF" w:rsidRPr="00EC66CC">
        <w:rPr>
          <w:rFonts w:asciiTheme="minorHAnsi" w:hAnsiTheme="minorHAnsi"/>
        </w:rPr>
        <w:t>.</w:t>
      </w:r>
    </w:p>
    <w:p w:rsidR="00C44BA1" w:rsidRDefault="007D325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Responses are scrutinized versus </w:t>
      </w:r>
      <w:r w:rsidR="00C44BA1">
        <w:rPr>
          <w:rFonts w:asciiTheme="minorHAnsi" w:hAnsiTheme="minorHAnsi"/>
        </w:rPr>
        <w:t>fouling magnitude and thermal properties</w:t>
      </w:r>
      <w:r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72375" w:rsidRDefault="00471169" w:rsidP="0015227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690E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industrial </w:t>
      </w:r>
      <w:r w:rsid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690ECC" w:rsidRPr="00690ECC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proofErr w:type="gramStart"/>
      <w:r w:rsid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90ECC" w:rsidRPr="00690EC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undesirable</w:t>
      </w:r>
      <w:r w:rsidR="00690E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components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impact efficiency [1</w:t>
      </w:r>
      <w:r w:rsidR="00C5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; 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690EC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54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Monitoring and quantification of (bio</w:t>
      </w:r>
      <w:proofErr w:type="gramStart"/>
      <w:r w:rsidR="00A54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)fouling</w:t>
      </w:r>
      <w:proofErr w:type="gramEnd"/>
      <w:r w:rsidR="00A54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</w:t>
      </w:r>
      <w:r w:rsidR="00A54887" w:rsidRPr="007D32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in-situ</w:t>
      </w:r>
      <w:r w:rsidR="00A54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local sensors constitute scientific and technological challenge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54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535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present work, a</w:t>
      </w:r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prototype </w:t>
      </w:r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fouling sensor based on </w:t>
      </w:r>
      <w:proofErr w:type="spellStart"/>
      <w:r w:rsid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MicroElectroMechanical</w:t>
      </w:r>
      <w:proofErr w:type="spellEnd"/>
      <w:r w:rsid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(MEMS) technology and </w:t>
      </w:r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 pulse analysi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method (INRA patent FR2885694) has been developed </w:t>
      </w:r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produced by </w:t>
      </w:r>
      <w:proofErr w:type="spellStart"/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Aqualabo</w:t>
      </w:r>
      <w:proofErr w:type="spellEnd"/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7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Company</w:t>
      </w:r>
      <w:r w:rsidR="0077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(France).</w:t>
      </w:r>
      <w:r w:rsidR="00152275" w:rsidRP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522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Steady permanent Thermal Regime (STR) and Periodic Thermal Regime (PTR) were investigated and compared to theory to extract fouling properties (thickness, thermal conductivity and diffusivity)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55833" w:rsidRPr="0048030D" w:rsidRDefault="001E2E8A" w:rsidP="0048030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Studied 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sensor</w:t>
      </w:r>
      <w:r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5E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hotwire method 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powered </w:t>
      </w:r>
      <w:r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regulated 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Joule effect</w:t>
      </w:r>
      <w:r w:rsidR="007D2D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5C9F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Hot wire and 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fluid temperature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5C9F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5C9F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continuously 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740E46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ed. </w:t>
      </w:r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heat conduction</w:t>
      </w:r>
      <w:r w:rsidR="00955E18">
        <w:rPr>
          <w:rFonts w:asciiTheme="minorHAnsi" w:eastAsia="MS PGothic" w:hAnsiTheme="minorHAnsi"/>
          <w:color w:val="000000"/>
          <w:sz w:val="22"/>
          <w:szCs w:val="22"/>
          <w:lang w:val="en-US"/>
        </w:rPr>
        <w:t>’s</w:t>
      </w:r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law,</w:t>
      </w:r>
      <w:r w:rsidR="00955E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difference (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∆θ</m:t>
        </m:r>
      </m:oMath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55E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evolves as linear function with </w:t>
      </w:r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heat flux (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φ</m:t>
        </m:r>
      </m:oMath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thermal resistance (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th</m:t>
            </m:r>
          </m:sub>
        </m:sSub>
      </m:oMath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55E18" w:rsidRPr="00955E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5E18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STR mode</w:t>
      </w:r>
      <w:r w:rsidR="00955E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(Eq.1). </w:t>
      </w:r>
      <w:r w:rsidR="0048030D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PTR mode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(Eq.2)</w:t>
      </w:r>
      <w:r w:rsidR="0048030D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sinusoidal excitation is imposed 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∆θ</m:t>
        </m:r>
      </m:oMath>
      <w:r w:rsidR="006E73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6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evolves </w:t>
      </w:r>
      <w:r w:rsidR="0048030D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function of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φ</m:t>
        </m:r>
      </m:oMath>
      <w:r w:rsidR="0048030D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fouling </w:t>
      </w:r>
      <w:r w:rsidR="00320B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nature </w:t>
      </w:r>
      <w:r w:rsidR="0048030D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48030D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Mean temperature difference</w:t>
      </w:r>
      <w:proofErr w:type="gramStart"/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gramEnd"/>
      <m:oMath>
        <m:acc>
          <m:accPr>
            <m:chr m:val="̅"/>
            <m:ctrlPr>
              <w:rPr>
                <w:rFonts w:ascii="Cambria Math" w:eastAsia="MS PGothic" w:hAnsi="Cambria Math"/>
                <w:i/>
                <w:color w:val="000000"/>
                <w:szCs w:val="2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Cs w:val="22"/>
                    <w:lang w:val="en-US"/>
                  </w:rPr>
                  <m:t>∆θ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Cs w:val="22"/>
                    <w:lang w:val="en-US"/>
                  </w:rPr>
                  <m:t>PTR</m:t>
                </m:r>
              </m:sub>
            </m:sSub>
          </m:e>
        </m:acc>
      </m:oMath>
      <w:r w:rsidR="00BB1C48">
        <w:rPr>
          <w:rFonts w:asciiTheme="minorHAnsi" w:eastAsia="MS PGothic" w:hAnsiTheme="minorHAnsi"/>
          <w:color w:val="000000"/>
          <w:szCs w:val="22"/>
          <w:lang w:val="en-US"/>
        </w:rPr>
        <w:t xml:space="preserve">, 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amplitude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phase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lag,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44"/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46"/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enable to determine </w:t>
      </w:r>
      <w:r w:rsidR="006E7315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 resistance</w:t>
      </w:r>
      <w:r w:rsidR="006E73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6E7315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diffusivity</w:t>
      </w:r>
      <w:r w:rsidR="007D2D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deposit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Considering both excitation modes, </w:t>
      </w:r>
      <w:r w:rsidR="006E7315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deposit 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thermal properties </w:t>
      </w:r>
      <w:r w:rsidR="006E731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</w:t>
      </w:r>
      <w:r w:rsidR="007D2D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</w:t>
      </w:r>
      <w:r w:rsidR="006E73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extracted </w:t>
      </w:r>
      <w:r w:rsidR="002510BE" w:rsidRPr="004A4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compared with theory</w:t>
      </w:r>
      <w:r w:rsidR="00251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368"/>
      </w:tblGrid>
      <w:tr w:rsidR="00B9798E" w:rsidTr="003C44BE">
        <w:tc>
          <w:tcPr>
            <w:tcW w:w="0" w:type="auto"/>
            <w:vMerge w:val="restart"/>
            <w:vAlign w:val="center"/>
          </w:tcPr>
          <w:p w:rsidR="00B9798E" w:rsidRPr="006F1FC8" w:rsidRDefault="006F1FC8" w:rsidP="005D1407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fr-FR" w:eastAsia="fr-FR"/>
              </w:rPr>
              <w:drawing>
                <wp:inline distT="0" distB="0" distL="0" distR="0" wp14:anchorId="6C2AB816" wp14:editId="3DE51C1A">
                  <wp:extent cx="1066800" cy="1158476"/>
                  <wp:effectExtent l="0" t="0" r="0" b="381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29" cy="1168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9798E" w:rsidRPr="004A4317" w:rsidRDefault="009A4A1E" w:rsidP="005D1407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0"/>
                      <w:lang w:val="en-US"/>
                    </w:rPr>
                    <m:t>∆θ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0"/>
                      <w:lang w:val="en-US"/>
                    </w:rPr>
                    <m:t>STR</m:t>
                  </m:r>
                </m:sub>
              </m:sSub>
              <m:r>
                <w:rPr>
                  <w:rFonts w:ascii="Cambria Math" w:eastAsia="MS PGothic" w:hAnsi="Cambria Math"/>
                  <w:color w:val="000000"/>
                  <w:sz w:val="20"/>
                  <w:lang w:val="en-US"/>
                </w:rPr>
                <m:t>=φ.</m:t>
              </m:r>
              <m:d>
                <m:dPr>
                  <m:ctrlPr>
                    <w:rPr>
                      <w:rFonts w:ascii="Cambria Math" w:eastAsia="MS PGothic" w:hAnsi="Cambria Math"/>
                      <w:i/>
                      <w:color w:val="000000"/>
                      <w:sz w:val="2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PGothic" w:hAnsi="Cambria Math"/>
                          <w:color w:val="000000"/>
                          <w:sz w:val="2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PGothic" w:hAnsi="Cambria Math"/>
                          <w:color w:val="000000"/>
                          <w:sz w:val="20"/>
                          <w:lang w:val="en-US"/>
                        </w:rPr>
                        <m:t>h</m:t>
                      </m:r>
                    </m:den>
                  </m:f>
                  <m:r>
                    <w:rPr>
                      <w:rFonts w:ascii="Cambria Math" w:eastAsia="MS PGothic" w:hAnsi="Cambria Math"/>
                      <w:color w:val="000000"/>
                      <w:sz w:val="20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0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0"/>
                              <w:lang w:val="en-US"/>
                            </w:rPr>
                            <m:t>th</m:t>
                          </m:r>
                        </m:e>
                        <m:sub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0"/>
                              <w:lang w:val="en-US"/>
                            </w:rPr>
                            <m:t>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0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0"/>
                              <w:lang w:val="en-US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MS PGothic" w:hAnsi="Cambria Math"/>
                  <w:color w:val="000000"/>
                  <w:sz w:val="20"/>
                  <w:lang w:val="en-US"/>
                </w:rPr>
                <m:t xml:space="preserve">=φ.Rth </m:t>
              </m:r>
            </m:oMath>
            <w:r w:rsidR="00B9798E" w:rsidRPr="004A4317">
              <w:rPr>
                <w:rFonts w:asciiTheme="minorHAnsi" w:eastAsia="MS PGothic" w:hAnsiTheme="minorHAnsi"/>
                <w:sz w:val="22"/>
                <w:szCs w:val="22"/>
                <w:lang w:val="en-US"/>
              </w:rPr>
              <w:t xml:space="preserve">           Eq.1</w:t>
            </w:r>
          </w:p>
        </w:tc>
      </w:tr>
      <w:tr w:rsidR="00B9798E" w:rsidTr="003C44BE">
        <w:tc>
          <w:tcPr>
            <w:tcW w:w="0" w:type="auto"/>
            <w:vMerge/>
            <w:vAlign w:val="center"/>
          </w:tcPr>
          <w:p w:rsidR="00B9798E" w:rsidRPr="00B01470" w:rsidRDefault="00B9798E" w:rsidP="005D1407">
            <w:pPr>
              <w:snapToGrid w:val="0"/>
              <w:spacing w:line="240" w:lineRule="auto"/>
              <w:jc w:val="center"/>
              <w:rPr>
                <w:noProof/>
                <w:lang w:val="en-US" w:eastAsia="fr-FR"/>
              </w:rPr>
            </w:pPr>
          </w:p>
        </w:tc>
        <w:tc>
          <w:tcPr>
            <w:tcW w:w="0" w:type="auto"/>
            <w:vAlign w:val="center"/>
          </w:tcPr>
          <w:p w:rsidR="00B9798E" w:rsidRPr="004A4317" w:rsidRDefault="009A4A1E" w:rsidP="005D1407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∆θ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PTR</m:t>
                  </m:r>
                </m:sub>
              </m:sSub>
              <m:d>
                <m:d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x,t</m:t>
                  </m:r>
                </m:e>
              </m:d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∆θ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x,t</m:t>
                  </m:r>
                </m:e>
              </m:d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∆θ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=A.</m:t>
              </m:r>
              <m:func>
                <m:func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="MS PGothic" w:hAnsi="Cambria Math"/>
                      <w:color w:val="000000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ωt+</m:t>
                      </m:r>
                      <m:r>
                        <m:rPr>
                          <m:sty m:val="p"/>
                        </m:rP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Δ</m:t>
                      </m:r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ϕ</m:t>
                      </m:r>
                    </m:e>
                  </m:d>
                </m:e>
              </m:func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+Rth.</m:t>
              </m:r>
              <m:bar>
                <m:barPr>
                  <m:pos m:val="top"/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bar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φ</m:t>
                  </m:r>
                </m:e>
              </m:bar>
            </m:oMath>
            <w:r w:rsidR="00B9798E" w:rsidRPr="004A431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Eq.2</w:t>
            </w:r>
          </w:p>
          <w:p w:rsidR="002C7E78" w:rsidRPr="004A4317" w:rsidRDefault="0048030D" w:rsidP="005D1407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4A431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where</w:t>
            </w:r>
            <m:oMath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 xml:space="preserve"> A=</m:t>
              </m:r>
              <m:r>
                <w:rPr>
                  <w:rFonts w:ascii="Cambria Math" w:eastAsia="MS PGothic" w:hAnsi="Cambria Math"/>
                  <w:sz w:val="22"/>
                  <w:szCs w:val="22"/>
                  <w:lang w:val="en-US"/>
                </w:rPr>
                <m:t>Rth</m:t>
              </m:r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.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φ</m:t>
                  </m:r>
                </m:sub>
              </m:s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.exp</m:t>
              </m:r>
              <m:d>
                <m:d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ω</m:t>
                          </m:r>
                        </m:num>
                        <m:den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2a</m:t>
                          </m:r>
                        </m:den>
                      </m:f>
                    </m:e>
                  </m:rad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x</m:t>
                  </m:r>
                </m:e>
              </m:d>
            </m:oMath>
            <w:r w:rsid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Eq</w:t>
            </w:r>
            <w:r w:rsidR="00AC15F5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.</w:t>
            </w:r>
            <w:r w:rsid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3,</w:t>
            </w:r>
            <w:r w:rsidRPr="004A431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Δ</m:t>
              </m:r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ϕ=-</m:t>
              </m:r>
              <m:rad>
                <m:radPr>
                  <m:degHide m:val="1"/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2a</m:t>
                      </m:r>
                    </m:den>
                  </m:f>
                </m:e>
              </m:rad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x</m:t>
              </m:r>
            </m:oMath>
            <w:r w:rsid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Eq</w:t>
            </w:r>
            <w:r w:rsidR="00AC15F5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.</w:t>
            </w:r>
            <w:r w:rsid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B9798E" w:rsidTr="003C44BE">
        <w:tc>
          <w:tcPr>
            <w:tcW w:w="0" w:type="auto"/>
            <w:vMerge/>
            <w:vAlign w:val="center"/>
          </w:tcPr>
          <w:p w:rsidR="00B9798E" w:rsidRPr="00455833" w:rsidRDefault="00B9798E" w:rsidP="005D1407">
            <w:pPr>
              <w:snapToGrid w:val="0"/>
              <w:spacing w:line="240" w:lineRule="auto"/>
              <w:jc w:val="center"/>
              <w:rPr>
                <w:noProof/>
                <w:lang w:val="en-US" w:eastAsia="fr-FR"/>
              </w:rPr>
            </w:pPr>
          </w:p>
        </w:tc>
        <w:tc>
          <w:tcPr>
            <w:tcW w:w="0" w:type="auto"/>
            <w:vAlign w:val="center"/>
          </w:tcPr>
          <w:p w:rsidR="00B9798E" w:rsidRPr="002B3798" w:rsidRDefault="00B9798E" w:rsidP="005D1407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Rth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th</m:t>
                      </m:r>
                    </m:e>
                    <m:sub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d</m:t>
                      </m:r>
                    </m:sub>
                  </m:sSub>
                </m:den>
              </m:f>
            </m:oMath>
            <w:r w:rsidR="002B3798" w:rsidRP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Eq</w:t>
            </w:r>
            <w:r w:rsidR="00AC15F5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.</w:t>
            </w:r>
            <w:r w:rsidR="002B3798" w:rsidRPr="002B379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</w:tr>
    </w:tbl>
    <w:p w:rsidR="00AA7750" w:rsidRDefault="00EE5ABF" w:rsidP="00AA775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Sensor</w:t>
      </w:r>
      <w:r w:rsidR="00D231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structure includes </w:t>
      </w:r>
      <w:r w:rsidR="00865A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82C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plan </w:t>
      </w:r>
      <w:r w:rsidR="00865A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square MEMS (red </w:t>
      </w:r>
      <w:r w:rsidR="00382C5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line</w:t>
      </w:r>
      <w:r w:rsidR="002062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stuck</w:t>
      </w:r>
      <w:r w:rsidR="00382C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4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6E04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printed circuit board (PCB, </w:t>
      </w:r>
      <w:bookmarkStart w:id="0" w:name="_GoBack"/>
      <w:proofErr w:type="spellStart"/>
      <w:proofErr w:type="gramStart"/>
      <w:r w:rsidRPr="009A4A1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th</w:t>
      </w:r>
      <w:bookmarkEnd w:id="0"/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800µm, </w:t>
      </w:r>
      <w:r w:rsidR="006E04A3">
        <w:rPr>
          <w:rFonts w:asciiTheme="minorHAnsi" w:eastAsia="MS PGothic" w:hAnsiTheme="minorHAnsi"/>
          <w:color w:val="000000"/>
          <w:sz w:val="22"/>
          <w:szCs w:val="22"/>
          <w:lang w:val="en-US"/>
        </w:rPr>
        <w:t>green wire)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6C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770A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encapsulated in </w:t>
      </w:r>
      <w:r w:rsidR="003741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770A6D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stainless steel cylinder (grey wires)</w:t>
      </w:r>
      <w:r w:rsidR="001C6C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filled </w:t>
      </w:r>
      <w:r w:rsidR="007D2D6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1C6C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electrical insulation resin</w:t>
      </w:r>
      <w:r w:rsidR="00770A6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741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MEMS surface is in direct contact with fluid (bulk). 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Sensor w</w:t>
      </w:r>
      <w:r w:rsidR="007744C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 in 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 5L mixing reactor </w:t>
      </w:r>
      <w:r w:rsidR="00342B14" w:rsidRPr="00AC5D33">
        <w:rPr>
          <w:rFonts w:asciiTheme="minorHAnsi" w:eastAsia="MS PGothic" w:hAnsiTheme="minorHAnsi"/>
          <w:sz w:val="22"/>
          <w:szCs w:val="22"/>
          <w:lang w:val="en-US"/>
        </w:rPr>
        <w:t>(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fluid: water,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207F" w:rsidRPr="000C60D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="0008207F">
        <w:rPr>
          <w:rFonts w:asciiTheme="minorHAnsi" w:eastAsia="MS PGothic" w:hAnsiTheme="minorHAnsi"/>
          <w:color w:val="000000"/>
          <w:sz w:val="22"/>
          <w:szCs w:val="22"/>
          <w:lang w:val="en-US"/>
        </w:rPr>
        <w:t>=2.2E06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20±1°C). Multiple </w:t>
      </w:r>
      <w:r w:rsidR="00F5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PVC scotch 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layer</w:t>
      </w:r>
      <w:r w:rsidR="00F55C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(TESA® 53948, </w:t>
      </w:r>
      <w:proofErr w:type="spellStart"/>
      <w:proofErr w:type="gramStart"/>
      <w:r w:rsidR="00342B14" w:rsidRPr="009B3E0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th</w:t>
      </w:r>
      <w:proofErr w:type="spellEnd"/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proofErr w:type="gramEnd"/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130µm, </w:t>
      </w:r>
      <w:proofErr w:type="spellStart"/>
      <w:r w:rsidR="00342B14" w:rsidRPr="009B3E0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ρ</w:t>
      </w:r>
      <w:r w:rsidR="002B6BB4" w:rsidRPr="009B3E03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d</w:t>
      </w:r>
      <w:proofErr w:type="spellEnd"/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=1300 kg.m</w:t>
      </w:r>
      <w:r w:rsidR="00342B1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-3 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26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]) were used to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generate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fouling. 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hermal conductivity and heat capacity were measured 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2B6BB4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λ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=0.115</w:t>
      </w:r>
      <w:r w:rsidR="0026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W.m</w:t>
      </w:r>
      <w:r w:rsidR="002B6BB4" w:rsidRPr="008E6C0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.K</w:t>
      </w:r>
      <w:r w:rsidR="002B6BB4" w:rsidRPr="008E6C0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2B6BB4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Cp</w:t>
      </w:r>
      <w:proofErr w:type="spellEnd"/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=1025</w:t>
      </w:r>
      <w:r w:rsidR="0026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J.K</w:t>
      </w:r>
      <w:r w:rsidR="002B6BB4" w:rsidRPr="008E763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.kg</w:t>
      </w:r>
      <w:r w:rsidR="002B6BB4" w:rsidRPr="008E763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2B6BB4" w:rsidRPr="00DB554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1A44">
        <w:rPr>
          <w:rFonts w:asciiTheme="minorHAnsi" w:eastAsia="MS PGothic" w:hAnsiTheme="minorHAnsi"/>
          <w:color w:val="000000"/>
          <w:sz w:val="22"/>
          <w:szCs w:val="22"/>
          <w:lang w:val="en-US"/>
        </w:rPr>
        <w:t>(NEOTIM FP2C), t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hus t</w:t>
      </w:r>
      <w:r w:rsid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hermal 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diffusivity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800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00A1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a=λ</w:t>
      </w:r>
      <w:proofErr w:type="gramStart"/>
      <w:r w:rsidR="008800A1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/(</w:t>
      </w:r>
      <w:proofErr w:type="spellStart"/>
      <w:proofErr w:type="gramEnd"/>
      <w:r w:rsidR="008800A1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ρ.Cp</w:t>
      </w:r>
      <w:proofErr w:type="spellEnd"/>
      <w:r w:rsidR="008800A1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)</w:t>
      </w:r>
      <w:r w:rsidR="00880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=8.63E-08</w:t>
      </w:r>
      <w:r w:rsid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0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m².s</w:t>
      </w:r>
      <w:r w:rsidR="008800A1" w:rsidRPr="008800A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B6B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were performed</w:t>
      </w:r>
      <w:r w:rsidR="00342B14" w:rsidRPr="00830EFA">
        <w:rPr>
          <w:rFonts w:asciiTheme="minorHAnsi" w:eastAsia="MS PGothic" w:hAnsiTheme="minorHAnsi"/>
          <w:sz w:val="22"/>
          <w:szCs w:val="22"/>
          <w:lang w:val="en-US"/>
        </w:rPr>
        <w:t xml:space="preserve"> in clean </w:t>
      </w:r>
      <w:r w:rsidR="00342B14">
        <w:rPr>
          <w:rFonts w:asciiTheme="minorHAnsi" w:eastAsia="MS PGothic" w:hAnsiTheme="minorHAnsi"/>
          <w:sz w:val="22"/>
          <w:szCs w:val="22"/>
          <w:lang w:val="en-US"/>
        </w:rPr>
        <w:t xml:space="preserve">(reference) and fouled (up to 5 layers) </w:t>
      </w:r>
      <w:r w:rsidR="00342B14" w:rsidRPr="00830EFA">
        <w:rPr>
          <w:rFonts w:asciiTheme="minorHAnsi" w:eastAsia="MS PGothic" w:hAnsiTheme="minorHAnsi"/>
          <w:sz w:val="22"/>
          <w:szCs w:val="22"/>
          <w:lang w:val="en-US"/>
        </w:rPr>
        <w:t>condition</w:t>
      </w:r>
      <w:r w:rsidR="00342B14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342B14" w:rsidRPr="00830EFA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5C4E57">
        <w:rPr>
          <w:rFonts w:asciiTheme="minorHAnsi" w:eastAsia="MS PGothic" w:hAnsiTheme="minorHAnsi"/>
          <w:sz w:val="22"/>
          <w:szCs w:val="22"/>
          <w:lang w:val="en-US"/>
        </w:rPr>
        <w:t>In STR, f</w:t>
      </w:r>
      <w:r w:rsidR="00342B14">
        <w:rPr>
          <w:rFonts w:asciiTheme="minorHAnsi" w:eastAsia="MS PGothic" w:hAnsiTheme="minorHAnsi"/>
          <w:sz w:val="22"/>
          <w:szCs w:val="22"/>
          <w:lang w:val="en-US"/>
        </w:rPr>
        <w:t>ive successive heat flux steps were applied (0.2 to 7.5 kW.m</w:t>
      </w:r>
      <w:r w:rsidR="00342B14" w:rsidRPr="003902F6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-2</w:t>
      </w:r>
      <w:r w:rsidR="00342B14">
        <w:rPr>
          <w:rFonts w:asciiTheme="minorHAnsi" w:eastAsia="MS PGothic" w:hAnsiTheme="minorHAnsi"/>
          <w:sz w:val="22"/>
          <w:szCs w:val="22"/>
          <w:lang w:val="en-US"/>
        </w:rPr>
        <w:t>, 30min</w:t>
      </w:r>
      <w:r w:rsidR="002B6BB4">
        <w:rPr>
          <w:rFonts w:asciiTheme="minorHAnsi" w:eastAsia="MS PGothic" w:hAnsiTheme="minorHAnsi"/>
          <w:sz w:val="22"/>
          <w:szCs w:val="22"/>
          <w:lang w:val="en-US"/>
        </w:rPr>
        <w:t>/</w:t>
      </w:r>
      <w:r w:rsidR="00342B14">
        <w:rPr>
          <w:rFonts w:asciiTheme="minorHAnsi" w:eastAsia="MS PGothic" w:hAnsiTheme="minorHAnsi"/>
          <w:sz w:val="22"/>
          <w:szCs w:val="22"/>
          <w:lang w:val="en-US"/>
        </w:rPr>
        <w:t>step).</w:t>
      </w:r>
      <w:r w:rsidR="00342B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PTR, </w:t>
      </w:r>
      <w:r w:rsidR="00711A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mean heat flux, </w:t>
      </w:r>
      <m:oMath>
        <m:bar>
          <m:barPr>
            <m:pos m:val="top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bar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φ</m:t>
            </m:r>
          </m:e>
        </m:bar>
      </m:oMath>
      <w:r w:rsidR="00711A44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 w:rsidR="00E61D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4700W/m² </w:t>
      </w:r>
      <w:r w:rsidR="00711A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an amplitude </w:t>
      </w:r>
      <w:r w:rsidR="00711A44" w:rsidRPr="007F139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</w:t>
      </w:r>
      <w:r w:rsidR="00711A44" w:rsidRPr="007F1396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sym w:font="Symbol" w:char="F06A"/>
      </w:r>
      <w:r w:rsidR="00711A44">
        <w:rPr>
          <w:rFonts w:asciiTheme="minorHAnsi" w:eastAsia="MS PGothic" w:hAnsiTheme="minorHAnsi"/>
          <w:color w:val="000000"/>
          <w:sz w:val="22"/>
          <w:szCs w:val="22"/>
          <w:lang w:val="en-US"/>
        </w:rPr>
        <w:t>=4100W/m²</w:t>
      </w:r>
      <w:r w:rsidR="007863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applied</w:t>
      </w:r>
      <w:r w:rsidR="002C7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</w:t>
      </w:r>
      <w:r w:rsidR="00E61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pectral response was investigated for 8 f</w:t>
      </w:r>
      <w:r w:rsidR="00E61DCF" w:rsidRP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requenc</w:t>
      </w:r>
      <w:r w:rsidR="00E61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E61DCF" w:rsidRP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(0</w:t>
      </w:r>
      <w:r w:rsidR="00E61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.001</w:t>
      </w:r>
      <w:r w:rsidR="00E61DCF" w:rsidRP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0.</w:t>
      </w:r>
      <w:r w:rsidR="00E61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711A4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E61DCF" w:rsidRPr="005C4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z)</w:t>
      </w:r>
      <w:r w:rsidR="00E61D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4E433D" w:rsidRPr="007B0F56" w:rsidRDefault="00704BDF" w:rsidP="007B0F56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381"/>
      </w:tblGrid>
      <w:tr w:rsidR="00D70203" w:rsidTr="00443B01">
        <w:tc>
          <w:tcPr>
            <w:tcW w:w="4879" w:type="dxa"/>
          </w:tcPr>
          <w:p w:rsidR="00647DF0" w:rsidRDefault="00647DF0" w:rsidP="00320B9A">
            <w:pPr>
              <w:snapToGrid w:val="0"/>
              <w:jc w:val="center"/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en-US" w:eastAsia="fr-FR"/>
              </w:rPr>
            </w:pPr>
            <w:r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fr-FR" w:eastAsia="fr-FR"/>
              </w:rPr>
              <w:drawing>
                <wp:inline distT="0" distB="0" distL="0" distR="0" wp14:anchorId="050D77D5">
                  <wp:extent cx="2806700" cy="183132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575" cy="1839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0F56" w:rsidRPr="00D44E54" w:rsidRDefault="007B0F56" w:rsidP="00320B9A">
            <w:pPr>
              <w:snapToGrid w:val="0"/>
              <w:jc w:val="center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 w:eastAsia="fr-FR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1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A06B60" w:rsidRPr="00BB1C48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A</w:t>
            </w:r>
            <w:r w:rsidR="007744C1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and</w:t>
            </w:r>
            <m:oMath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 xml:space="preserve"> ∆θ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C</m:t>
                  </m:r>
                </m:sub>
              </m:sSub>
            </m:oMath>
            <w:r w:rsidR="00A06B60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</w:t>
            </w:r>
            <w:r w:rsidR="00A06B60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spectrum in clean (C) and fouled conditions </w:t>
            </w:r>
            <w:r w:rsidR="00D44E54" w:rsidRPr="00D44E54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(</w:t>
            </w:r>
            <w:r w:rsidR="00A06B60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F2</w:t>
            </w:r>
            <w:r w:rsidR="00BB1C48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: 2 </w:t>
            </w:r>
            <w:r w:rsidR="00A06B60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layers</w:t>
            </w:r>
            <w:r w:rsidR="00BB1C48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,F</w:t>
            </w:r>
            <w:r w:rsidR="00A06B60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5</w:t>
            </w:r>
            <w:r w:rsidR="00BB1C48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: 5 layers</w:t>
            </w:r>
            <w:r w:rsidR="00D44E54" w:rsidRPr="00D44E54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</w:t>
            </w:r>
          </w:p>
        </w:tc>
        <w:tc>
          <w:tcPr>
            <w:tcW w:w="4124" w:type="dxa"/>
          </w:tcPr>
          <w:p w:rsidR="007B0F56" w:rsidRDefault="007269F5" w:rsidP="007D7399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fr-FR" w:eastAsia="fr-FR"/>
              </w:rPr>
              <w:drawing>
                <wp:inline distT="0" distB="0" distL="0" distR="0" wp14:anchorId="4AE88C8A" wp14:editId="566471AF">
                  <wp:extent cx="2653767" cy="1733797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767" cy="1733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0F56"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 w:rsidR="00CD165A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="007B0F56"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="0065778D" w:rsidRPr="00BB1C48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Rth</w:t>
            </w:r>
            <w:r w:rsidR="0065778D" w:rsidRPr="00BB1C48">
              <w:rPr>
                <w:rFonts w:asciiTheme="minorHAnsi" w:eastAsia="MS PGothic" w:hAnsiTheme="minorHAnsi"/>
                <w:i/>
                <w:color w:val="000000"/>
                <w:szCs w:val="18"/>
                <w:vertAlign w:val="subscript"/>
                <w:lang w:val="en-US"/>
              </w:rPr>
              <w:t>exp</w:t>
            </w:r>
            <w:proofErr w:type="spellEnd"/>
            <w:r w:rsidR="007B0F56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65778D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(dotted lines) and </w:t>
            </w:r>
            <w:r w:rsidR="0065778D" w:rsidRPr="00BB1C48">
              <w:rPr>
                <w:rFonts w:ascii="Calibri" w:eastAsia="MS PGothic" w:hAnsi="Calibri"/>
                <w:i/>
                <w:color w:val="000000"/>
                <w:szCs w:val="18"/>
                <w:lang w:val="en-US"/>
              </w:rPr>
              <w:t>α</w:t>
            </w:r>
            <w:r w:rsidR="0065778D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coefficient </w:t>
            </w:r>
            <w:r w:rsidR="00D10A28" w:rsidRPr="00BB1C48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(-</w:t>
            </w:r>
            <w:proofErr w:type="spellStart"/>
            <w:r w:rsidR="00D10A28" w:rsidRPr="00BB1C48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th</w:t>
            </w:r>
            <w:r w:rsidR="00D10A28" w:rsidRPr="00BB1C48">
              <w:rPr>
                <w:rFonts w:asciiTheme="minorHAnsi" w:eastAsia="MS PGothic" w:hAnsiTheme="minorHAnsi"/>
                <w:i/>
                <w:color w:val="000000"/>
                <w:szCs w:val="18"/>
                <w:vertAlign w:val="subscript"/>
                <w:lang w:val="en-US"/>
              </w:rPr>
              <w:t>d</w:t>
            </w:r>
            <w:proofErr w:type="spellEnd"/>
            <w:r w:rsidR="00D10A28" w:rsidRPr="00BB1C48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/2.a</w:t>
            </w:r>
            <w:r w:rsidR="00D10A28" w:rsidRPr="00BB1C48">
              <w:rPr>
                <w:rFonts w:asciiTheme="minorHAnsi" w:eastAsia="MS PGothic" w:hAnsiTheme="minorHAnsi"/>
                <w:i/>
                <w:color w:val="000000"/>
                <w:szCs w:val="18"/>
                <w:vertAlign w:val="superscript"/>
                <w:lang w:val="en-US"/>
              </w:rPr>
              <w:t>0.5</w:t>
            </w:r>
            <w:r w:rsidR="00D10A28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) </w:t>
            </w:r>
            <w:r w:rsidR="0065778D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(solids lines) </w:t>
            </w:r>
            <w:r w:rsidR="007B0F56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versus </w:t>
            </w:r>
            <w:proofErr w:type="spellStart"/>
            <w:r w:rsidR="0065778D" w:rsidRPr="00BB1C48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Rth</w:t>
            </w:r>
            <w:r w:rsidR="0065778D" w:rsidRPr="00BB1C48">
              <w:rPr>
                <w:rFonts w:asciiTheme="minorHAnsi" w:eastAsia="MS PGothic" w:hAnsiTheme="minorHAnsi"/>
                <w:i/>
                <w:color w:val="000000"/>
                <w:szCs w:val="18"/>
                <w:vertAlign w:val="subscript"/>
                <w:lang w:val="en-US"/>
              </w:rPr>
              <w:t>the</w:t>
            </w:r>
            <w:r w:rsidR="0065778D" w:rsidRPr="0065778D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o</w:t>
            </w:r>
            <w:proofErr w:type="spellEnd"/>
            <w:r w:rsidR="007B0F56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.</w:t>
            </w:r>
          </w:p>
        </w:tc>
      </w:tr>
    </w:tbl>
    <w:p w:rsidR="007269F5" w:rsidRPr="000614A1" w:rsidRDefault="0058452E" w:rsidP="00257E4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STR, heat resistance</w:t>
      </w:r>
      <w:r w:rsidR="00C77E1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determined by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linearization of thermal responses, </w:t>
      </w:r>
      <w:r w:rsidR="000102AE" w:rsidRPr="00BB1C48">
        <w:rPr>
          <w:rFonts w:asciiTheme="minorHAnsi" w:eastAsia="MS PGothic" w:hAnsiTheme="minorHAnsi"/>
          <w:i/>
          <w:sz w:val="22"/>
          <w:szCs w:val="22"/>
          <w:lang w:val="en-US"/>
        </w:rPr>
        <w:sym w:font="Symbol" w:char="F044"/>
      </w:r>
      <w:r w:rsidR="000102AE" w:rsidRPr="00BB1C48">
        <w:rPr>
          <w:rFonts w:asciiTheme="minorHAnsi" w:eastAsia="MS PGothic" w:hAnsiTheme="minorHAnsi"/>
          <w:i/>
          <w:sz w:val="22"/>
          <w:szCs w:val="22"/>
          <w:lang w:val="en-US"/>
        </w:rPr>
        <w:sym w:font="Symbol" w:char="F071"/>
      </w:r>
      <w:r w:rsidR="000102AE" w:rsidRPr="00BB1C48">
        <w:rPr>
          <w:rFonts w:asciiTheme="minorHAnsi" w:eastAsia="MS PGothic" w:hAnsiTheme="minorHAnsi"/>
          <w:i/>
          <w:sz w:val="22"/>
          <w:szCs w:val="22"/>
          <w:vertAlign w:val="subscript"/>
          <w:lang w:val="en-US"/>
        </w:rPr>
        <w:t>STR</w:t>
      </w:r>
      <w:r>
        <w:rPr>
          <w:rFonts w:asciiTheme="minorHAnsi" w:eastAsia="MS PGothic" w:hAnsiTheme="minorHAnsi"/>
          <w:sz w:val="22"/>
          <w:szCs w:val="22"/>
          <w:lang w:val="en-US"/>
        </w:rPr>
        <w:t>. In PTR</w:t>
      </w:r>
      <w:r w:rsidR="00FD5193" w:rsidRPr="00FD519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D5193">
        <w:rPr>
          <w:rFonts w:asciiTheme="minorHAnsi" w:eastAsia="MS PGothic" w:hAnsiTheme="minorHAnsi"/>
          <w:sz w:val="22"/>
          <w:szCs w:val="22"/>
          <w:lang w:val="en-US"/>
        </w:rPr>
        <w:t>(Figure 1)</w:t>
      </w:r>
      <w:r>
        <w:rPr>
          <w:rFonts w:asciiTheme="minorHAnsi" w:eastAsia="MS PGothic" w:hAnsiTheme="minorHAnsi"/>
          <w:sz w:val="22"/>
          <w:szCs w:val="22"/>
          <w:lang w:val="en-US"/>
        </w:rPr>
        <w:t>, mean temperature difference</w:t>
      </w:r>
      <w:r w:rsidR="00FD5193">
        <w:rPr>
          <w:rFonts w:asciiTheme="minorHAnsi" w:eastAsia="MS PGothic" w:hAnsiTheme="minorHAnsi"/>
          <w:sz w:val="22"/>
          <w:szCs w:val="22"/>
          <w:lang w:val="en-US"/>
        </w:rPr>
        <w:t xml:space="preserve"> (PTR-M)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and thermal amplitude</w:t>
      </w:r>
      <w:r w:rsidR="00FD5193">
        <w:rPr>
          <w:rFonts w:asciiTheme="minorHAnsi" w:eastAsia="MS PGothic" w:hAnsiTheme="minorHAnsi"/>
          <w:sz w:val="22"/>
          <w:szCs w:val="22"/>
          <w:lang w:val="en-US"/>
        </w:rPr>
        <w:t xml:space="preserve"> (PTR-A)</w:t>
      </w:r>
      <w:r w:rsidR="000102A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were used to </w:t>
      </w:r>
      <w:r w:rsidR="000102AE">
        <w:rPr>
          <w:rFonts w:asciiTheme="minorHAnsi" w:eastAsia="MS PGothic" w:hAnsiTheme="minorHAnsi"/>
          <w:sz w:val="22"/>
          <w:szCs w:val="22"/>
          <w:lang w:val="en-US"/>
        </w:rPr>
        <w:t>extract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heat resistance </w:t>
      </w:r>
      <w:r w:rsidR="00FD5193">
        <w:rPr>
          <w:rFonts w:asciiTheme="minorHAnsi" w:eastAsia="MS PGothic" w:hAnsiTheme="minorHAnsi"/>
          <w:sz w:val="22"/>
          <w:szCs w:val="22"/>
          <w:lang w:val="en-US"/>
        </w:rPr>
        <w:t>depending of fouling conditions.</w:t>
      </w:r>
      <w:r w:rsidR="0065778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Thermal properties were calculated with efficient heat flux identified in STR. Deviation between nominal and efficient flux can be attributed to edge effects due to packaging. 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</w:t>
      </w:r>
      <w:r w:rsidR="00FD5193">
        <w:rPr>
          <w:rFonts w:asciiTheme="minorHAnsi" w:eastAsia="MS PGothic" w:hAnsiTheme="minorHAnsi"/>
          <w:color w:val="000000"/>
          <w:sz w:val="22"/>
          <w:szCs w:val="22"/>
          <w:lang w:val="en-US"/>
        </w:rPr>
        <w:t>ure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1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compares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evolution of calculated heat resistances (Eq. 1, </w:t>
      </w:r>
      <w:r w:rsidR="00AC1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AC1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D44E5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theoretical fouling heat resistance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</w:t>
      </w:r>
      <w:r w:rsidR="00AC1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q.5)</w:t>
      </w:r>
      <w:r w:rsidR="0001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442A" w:rsidRP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low thermal resistance, experimental and theoretical values are close. </w:t>
      </w:r>
      <w:r w:rsidR="00D44E54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2C442A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linear evolution of thermal resistances</w:t>
      </w:r>
      <w:r w:rsidR="00E528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D5193">
        <w:rPr>
          <w:rFonts w:asciiTheme="minorHAnsi" w:eastAsia="MS PGothic" w:hAnsiTheme="minorHAnsi"/>
          <w:color w:val="000000"/>
          <w:sz w:val="22"/>
          <w:szCs w:val="22"/>
          <w:lang w:val="en-US"/>
        </w:rPr>
        <w:t>beyond</w:t>
      </w:r>
      <w:r w:rsidR="00E528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3.4 K.m².W</w:t>
      </w:r>
      <w:r w:rsidR="00E52821" w:rsidRPr="00E5282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528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7269F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indicates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upper </w:t>
      </w:r>
      <w:r w:rsidR="006D7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sensor limit of detection</w:t>
      </w:r>
      <w:r w:rsidR="001470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(LOD)</w:t>
      </w:r>
      <w:r w:rsidR="00AC15F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C44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69F5">
        <w:rPr>
          <w:rFonts w:asciiTheme="minorHAnsi" w:eastAsia="MS PGothic" w:hAnsiTheme="minorHAnsi"/>
          <w:color w:val="000000"/>
          <w:sz w:val="22"/>
          <w:szCs w:val="22"/>
          <w:lang w:val="en-US"/>
        </w:rPr>
        <w:t>PTR-A response shows better fair value</w:t>
      </w:r>
      <w:r w:rsidR="0006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269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STR and PTR-M responses.</w:t>
      </w:r>
      <w:r w:rsidR="00D44E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Later i</w:t>
      </w:r>
      <w:r w:rsidR="0073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>nflexion</w:t>
      </w:r>
      <w:r w:rsidR="00D44E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also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note</w:t>
      </w:r>
      <w:r w:rsidR="00D44E54">
        <w:rPr>
          <w:rFonts w:asciiTheme="minorHAnsi" w:eastAsia="MS PGothic" w:hAnsiTheme="minorHAnsi"/>
          <w:color w:val="000000"/>
          <w:sz w:val="22"/>
          <w:szCs w:val="22"/>
          <w:lang w:val="en-US"/>
        </w:rPr>
        <w:t>d with</w:t>
      </w:r>
      <w:r w:rsidR="00657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69F5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α</w:t>
      </w:r>
      <w:r w:rsidR="007269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coefficient evolution</w:t>
      </w:r>
      <w:r w:rsidR="00265D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06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confirm</w:t>
      </w:r>
      <w:r w:rsidR="0073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6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upper LOD</w:t>
      </w:r>
      <w:r w:rsidR="0006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 in </w:t>
      </w:r>
      <w:r w:rsidR="0073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STR, PTR-M and PTR-A </w:t>
      </w:r>
      <w:r w:rsidR="0006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 resistance study.</w:t>
      </w:r>
      <w:r w:rsidR="00E01A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Considering linearity area, thermal diffusivity measured is equal to 9.30</w:t>
      </w:r>
      <w:r w:rsid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E01ABB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E01ABB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E01A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m².s</w:t>
      </w:r>
      <w:r w:rsidR="00E01ABB" w:rsidRPr="00E01AB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01AB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1470E4" w:rsidRPr="005D1407" w:rsidRDefault="004F3C80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STR and PTR modes, t</w:t>
      </w:r>
      <w:r w:rsidR="00D60E89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hermal resistance </w:t>
      </w:r>
      <w:r w:rsidR="001A529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responses are</w:t>
      </w:r>
      <w:r w:rsidR="00D60E89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1A52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imilar and </w:t>
      </w:r>
      <w:r w:rsidR="001470E4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match with theoretical values</w:t>
      </w:r>
      <w:r w:rsidR="00D60E89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C0E43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470E4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thermal diffusivity </w:t>
      </w:r>
      <w:r w:rsidR="00AC5D33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literature </w:t>
      </w:r>
      <w:r w:rsidR="001470E4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extracted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s</w:t>
      </w:r>
      <w:r w:rsidR="007A1193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pectral analysis</w:t>
      </w:r>
      <w:r w:rsidR="005430A3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470E4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methods give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upper </w:t>
      </w:r>
      <w:r w:rsidR="00611A29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>LOD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11A29" w:rsidRPr="005D14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proofErr w:type="spellStart"/>
      <w:r w:rsidR="00BB1C48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Rth</w:t>
      </w:r>
      <w:proofErr w:type="spellEnd"/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554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.6E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554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03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5.5E-03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K.m².W</w:t>
      </w:r>
      <w:r w:rsidR="00611A29" w:rsidRPr="00BB1C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STR and PTR respectively. In PTR, LOD is </w:t>
      </w:r>
      <w:r w:rsidR="00BB1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equivalent </w:t>
      </w:r>
      <w:r w:rsid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 dense biofouling (</w:t>
      </w:r>
      <w:proofErr w:type="spellStart"/>
      <w:r w:rsidR="00611A29" w:rsidRPr="00BB1C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λ</w:t>
      </w:r>
      <w:r w:rsidR="00611A29" w:rsidRPr="00BB1C48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d</w:t>
      </w:r>
      <w:proofErr w:type="spellEnd"/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=0.6 W.</w:t>
      </w:r>
      <w:r w:rsid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611A29" w:rsidRPr="00BB1C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.K</w:t>
      </w:r>
      <w:r w:rsidR="00611A29" w:rsidRPr="00BB1C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of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3.4</w:t>
      </w:r>
      <w:r w:rsidR="00611A29" w:rsidRPr="00611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3480E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Default="008911C5" w:rsidP="0073480E">
      <w:pPr>
        <w:pStyle w:val="FirstParagraph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t xml:space="preserve">J. </w:t>
      </w:r>
      <w:proofErr w:type="spellStart"/>
      <w:r>
        <w:rPr>
          <w:rFonts w:asciiTheme="minorHAnsi" w:eastAsia="SimSun" w:hAnsiTheme="minorHAnsi"/>
          <w:sz w:val="22"/>
          <w:szCs w:val="22"/>
          <w:lang w:eastAsia="zh-CN"/>
        </w:rPr>
        <w:t>Crattelet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>, Journal of Food Engineering 119 (2013) 72 – 83.</w:t>
      </w:r>
    </w:p>
    <w:p w:rsidR="00C5354B" w:rsidRPr="00C5354B" w:rsidRDefault="00C5354B" w:rsidP="0073480E">
      <w:pPr>
        <w:pStyle w:val="FirstParagraph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t>K. A. Hamilton, Water Research 134 (2018) 261 – 279.</w:t>
      </w:r>
    </w:p>
    <w:p w:rsidR="0068732D" w:rsidRDefault="0068732D" w:rsidP="0073480E">
      <w:pPr>
        <w:pStyle w:val="FirstParagraph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SimSun" w:hAnsiTheme="minorHAnsi"/>
          <w:sz w:val="22"/>
          <w:szCs w:val="22"/>
          <w:lang w:eastAsia="zh-CN"/>
        </w:rPr>
        <w:t xml:space="preserve">F. </w:t>
      </w:r>
      <w:proofErr w:type="spellStart"/>
      <w:r>
        <w:rPr>
          <w:rFonts w:asciiTheme="minorHAnsi" w:eastAsia="SimSun" w:hAnsiTheme="minorHAnsi"/>
          <w:sz w:val="22"/>
          <w:szCs w:val="22"/>
          <w:lang w:eastAsia="zh-CN"/>
        </w:rPr>
        <w:t>Strub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>, International Journal of Thermal Sciences 44 (2005) 1154 – 1160.</w:t>
      </w:r>
    </w:p>
    <w:p w:rsidR="004E5E0C" w:rsidRPr="00EA2131" w:rsidRDefault="00EA2131" w:rsidP="00EA2131">
      <w:pPr>
        <w:pStyle w:val="FirstParagraph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ED606A">
        <w:rPr>
          <w:rFonts w:asciiTheme="minorHAnsi" w:eastAsia="SimSun" w:hAnsiTheme="minorHAnsi"/>
          <w:sz w:val="22"/>
          <w:szCs w:val="22"/>
          <w:lang w:eastAsia="zh-CN"/>
        </w:rPr>
        <w:t>Titow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>, PVC Technology</w:t>
      </w:r>
      <w:r w:rsidRPr="00ED606A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/>
          <w:sz w:val="22"/>
          <w:szCs w:val="22"/>
          <w:lang w:eastAsia="zh-CN"/>
        </w:rPr>
        <w:t>(</w:t>
      </w:r>
      <w:r w:rsidRPr="00ED606A">
        <w:rPr>
          <w:rFonts w:asciiTheme="minorHAnsi" w:eastAsia="SimSun" w:hAnsiTheme="minorHAnsi"/>
          <w:sz w:val="22"/>
          <w:szCs w:val="22"/>
          <w:lang w:eastAsia="zh-CN"/>
        </w:rPr>
        <w:t>1984</w:t>
      </w:r>
      <w:r>
        <w:rPr>
          <w:rFonts w:asciiTheme="minorHAnsi" w:eastAsia="SimSun" w:hAnsiTheme="minorHAnsi"/>
          <w:sz w:val="22"/>
          <w:szCs w:val="22"/>
          <w:lang w:eastAsia="zh-CN"/>
        </w:rPr>
        <w:t>)</w:t>
      </w:r>
      <w:r w:rsidRPr="00ED606A">
        <w:rPr>
          <w:rFonts w:asciiTheme="minorHAnsi" w:eastAsia="SimSun" w:hAnsiTheme="minorHAnsi"/>
          <w:sz w:val="22"/>
          <w:szCs w:val="22"/>
          <w:lang w:eastAsia="zh-CN"/>
        </w:rPr>
        <w:t>, p. 857</w:t>
      </w:r>
    </w:p>
    <w:sectPr w:rsidR="004E5E0C" w:rsidRPr="00EA213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3E" w:rsidRDefault="001D6C3E" w:rsidP="004F5E36">
      <w:r>
        <w:separator/>
      </w:r>
    </w:p>
  </w:endnote>
  <w:endnote w:type="continuationSeparator" w:id="0">
    <w:p w:rsidR="001D6C3E" w:rsidRDefault="001D6C3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3E" w:rsidRDefault="001D6C3E" w:rsidP="004F5E36">
      <w:r>
        <w:separator/>
      </w:r>
    </w:p>
  </w:footnote>
  <w:footnote w:type="continuationSeparator" w:id="0">
    <w:p w:rsidR="001D6C3E" w:rsidRDefault="001D6C3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B54E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B2AB5D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5B54E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734BBC8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09E00E0D"/>
    <w:multiLevelType w:val="hybridMultilevel"/>
    <w:tmpl w:val="918E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BF1D11"/>
    <w:multiLevelType w:val="hybridMultilevel"/>
    <w:tmpl w:val="EC2E5E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F56CF"/>
    <w:multiLevelType w:val="hybridMultilevel"/>
    <w:tmpl w:val="D12C0D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626F2"/>
    <w:multiLevelType w:val="hybridMultilevel"/>
    <w:tmpl w:val="53DA5F0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F6E7F"/>
    <w:multiLevelType w:val="hybridMultilevel"/>
    <w:tmpl w:val="75D61BD4"/>
    <w:lvl w:ilvl="0" w:tplc="F81E5040">
      <w:start w:val="1"/>
      <w:numFmt w:val="decimal"/>
      <w:lvlText w:val="[%1]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45D2C"/>
    <w:multiLevelType w:val="hybridMultilevel"/>
    <w:tmpl w:val="10C6EA54"/>
    <w:lvl w:ilvl="0" w:tplc="E7228168">
      <w:start w:val="2"/>
      <w:numFmt w:val="bullet"/>
      <w:lvlText w:val=""/>
      <w:lvlJc w:val="left"/>
      <w:pPr>
        <w:ind w:left="720" w:hanging="360"/>
      </w:pPr>
      <w:rPr>
        <w:rFonts w:ascii="Wingdings" w:eastAsia="MS PGothic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18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11"/>
  </w:num>
  <w:num w:numId="20">
    <w:abstractNumId w:val="13"/>
  </w:num>
  <w:num w:numId="21">
    <w:abstractNumId w:val="12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02AE"/>
    <w:rsid w:val="000117CB"/>
    <w:rsid w:val="00015CC5"/>
    <w:rsid w:val="00017166"/>
    <w:rsid w:val="000270A7"/>
    <w:rsid w:val="0003148D"/>
    <w:rsid w:val="000614A1"/>
    <w:rsid w:val="00062A9A"/>
    <w:rsid w:val="0008138B"/>
    <w:rsid w:val="0008207F"/>
    <w:rsid w:val="000939AE"/>
    <w:rsid w:val="000A03B2"/>
    <w:rsid w:val="000A466E"/>
    <w:rsid w:val="000C60DD"/>
    <w:rsid w:val="000C72A2"/>
    <w:rsid w:val="000D34BE"/>
    <w:rsid w:val="000E2505"/>
    <w:rsid w:val="000E36F1"/>
    <w:rsid w:val="000E3A73"/>
    <w:rsid w:val="000E414A"/>
    <w:rsid w:val="00102B62"/>
    <w:rsid w:val="00116EA9"/>
    <w:rsid w:val="0012536A"/>
    <w:rsid w:val="0013121F"/>
    <w:rsid w:val="00134DE4"/>
    <w:rsid w:val="001463A1"/>
    <w:rsid w:val="001470E4"/>
    <w:rsid w:val="00150E59"/>
    <w:rsid w:val="00152275"/>
    <w:rsid w:val="00162532"/>
    <w:rsid w:val="00181D64"/>
    <w:rsid w:val="00184AD6"/>
    <w:rsid w:val="001A529E"/>
    <w:rsid w:val="001A66DD"/>
    <w:rsid w:val="001A7973"/>
    <w:rsid w:val="001B07C8"/>
    <w:rsid w:val="001B0FC6"/>
    <w:rsid w:val="001B65C1"/>
    <w:rsid w:val="001B7540"/>
    <w:rsid w:val="001C1DA1"/>
    <w:rsid w:val="001C684B"/>
    <w:rsid w:val="001C6C28"/>
    <w:rsid w:val="001D46C3"/>
    <w:rsid w:val="001D53FC"/>
    <w:rsid w:val="001D6C3E"/>
    <w:rsid w:val="001D7D17"/>
    <w:rsid w:val="001E2E8A"/>
    <w:rsid w:val="001F2CD9"/>
    <w:rsid w:val="001F2EC7"/>
    <w:rsid w:val="002062AD"/>
    <w:rsid w:val="002065DB"/>
    <w:rsid w:val="00212C28"/>
    <w:rsid w:val="00213B74"/>
    <w:rsid w:val="002220E2"/>
    <w:rsid w:val="00230AA9"/>
    <w:rsid w:val="002447EF"/>
    <w:rsid w:val="00244C93"/>
    <w:rsid w:val="002510BE"/>
    <w:rsid w:val="00251550"/>
    <w:rsid w:val="00256EE6"/>
    <w:rsid w:val="00257E47"/>
    <w:rsid w:val="00262337"/>
    <w:rsid w:val="00265D65"/>
    <w:rsid w:val="002664B0"/>
    <w:rsid w:val="00267CC3"/>
    <w:rsid w:val="0027221A"/>
    <w:rsid w:val="00275B61"/>
    <w:rsid w:val="002760CB"/>
    <w:rsid w:val="00277775"/>
    <w:rsid w:val="00287913"/>
    <w:rsid w:val="002A3769"/>
    <w:rsid w:val="002B0021"/>
    <w:rsid w:val="002B3798"/>
    <w:rsid w:val="002B4E68"/>
    <w:rsid w:val="002B6BB4"/>
    <w:rsid w:val="002C442A"/>
    <w:rsid w:val="002C7E78"/>
    <w:rsid w:val="002D1F12"/>
    <w:rsid w:val="002E58E1"/>
    <w:rsid w:val="002F122C"/>
    <w:rsid w:val="002F2290"/>
    <w:rsid w:val="0030045F"/>
    <w:rsid w:val="003009B7"/>
    <w:rsid w:val="0030469C"/>
    <w:rsid w:val="003064E8"/>
    <w:rsid w:val="0031350F"/>
    <w:rsid w:val="00317923"/>
    <w:rsid w:val="0032025C"/>
    <w:rsid w:val="00320B9A"/>
    <w:rsid w:val="00321739"/>
    <w:rsid w:val="00324208"/>
    <w:rsid w:val="00330C40"/>
    <w:rsid w:val="00332F15"/>
    <w:rsid w:val="00342B14"/>
    <w:rsid w:val="0036471F"/>
    <w:rsid w:val="003723D4"/>
    <w:rsid w:val="0037305B"/>
    <w:rsid w:val="00374177"/>
    <w:rsid w:val="00380868"/>
    <w:rsid w:val="00382C55"/>
    <w:rsid w:val="003A7D1C"/>
    <w:rsid w:val="003B2A35"/>
    <w:rsid w:val="003B47CC"/>
    <w:rsid w:val="003C0E43"/>
    <w:rsid w:val="003C44BE"/>
    <w:rsid w:val="003E18A1"/>
    <w:rsid w:val="003E65BF"/>
    <w:rsid w:val="00405285"/>
    <w:rsid w:val="00443B01"/>
    <w:rsid w:val="00445598"/>
    <w:rsid w:val="00455833"/>
    <w:rsid w:val="0046164A"/>
    <w:rsid w:val="00462DCD"/>
    <w:rsid w:val="00471169"/>
    <w:rsid w:val="00473450"/>
    <w:rsid w:val="0048030D"/>
    <w:rsid w:val="00487BDB"/>
    <w:rsid w:val="00494251"/>
    <w:rsid w:val="004A4317"/>
    <w:rsid w:val="004C2A90"/>
    <w:rsid w:val="004C2FFA"/>
    <w:rsid w:val="004D1162"/>
    <w:rsid w:val="004D6DA3"/>
    <w:rsid w:val="004E433D"/>
    <w:rsid w:val="004E4DD6"/>
    <w:rsid w:val="004E5E0C"/>
    <w:rsid w:val="004F3C80"/>
    <w:rsid w:val="004F563B"/>
    <w:rsid w:val="004F5E36"/>
    <w:rsid w:val="0050773F"/>
    <w:rsid w:val="005119A5"/>
    <w:rsid w:val="005278B7"/>
    <w:rsid w:val="005346C8"/>
    <w:rsid w:val="0053577F"/>
    <w:rsid w:val="0054242E"/>
    <w:rsid w:val="005430A3"/>
    <w:rsid w:val="00547B72"/>
    <w:rsid w:val="00551871"/>
    <w:rsid w:val="00554028"/>
    <w:rsid w:val="00566BD8"/>
    <w:rsid w:val="00580D3E"/>
    <w:rsid w:val="0058452E"/>
    <w:rsid w:val="00594E9F"/>
    <w:rsid w:val="005A56C2"/>
    <w:rsid w:val="005B54E5"/>
    <w:rsid w:val="005B61E6"/>
    <w:rsid w:val="005C1614"/>
    <w:rsid w:val="005C4E57"/>
    <w:rsid w:val="005C77E1"/>
    <w:rsid w:val="005D1407"/>
    <w:rsid w:val="005D6A2F"/>
    <w:rsid w:val="005E1A82"/>
    <w:rsid w:val="005F0A28"/>
    <w:rsid w:val="005F0E5E"/>
    <w:rsid w:val="00600627"/>
    <w:rsid w:val="00601B9E"/>
    <w:rsid w:val="00611A29"/>
    <w:rsid w:val="00620DEE"/>
    <w:rsid w:val="00625639"/>
    <w:rsid w:val="006366F8"/>
    <w:rsid w:val="0064184D"/>
    <w:rsid w:val="006448E6"/>
    <w:rsid w:val="0064752B"/>
    <w:rsid w:val="00647DF0"/>
    <w:rsid w:val="0065778D"/>
    <w:rsid w:val="00660E3E"/>
    <w:rsid w:val="00662E74"/>
    <w:rsid w:val="00665111"/>
    <w:rsid w:val="0066524D"/>
    <w:rsid w:val="00674922"/>
    <w:rsid w:val="00676AD5"/>
    <w:rsid w:val="00684106"/>
    <w:rsid w:val="0068430D"/>
    <w:rsid w:val="0068732D"/>
    <w:rsid w:val="00690ECC"/>
    <w:rsid w:val="006968AC"/>
    <w:rsid w:val="006A345C"/>
    <w:rsid w:val="006C5579"/>
    <w:rsid w:val="006D44C1"/>
    <w:rsid w:val="006D58BE"/>
    <w:rsid w:val="006D7A5B"/>
    <w:rsid w:val="006E04A3"/>
    <w:rsid w:val="006E6197"/>
    <w:rsid w:val="006E7315"/>
    <w:rsid w:val="006F1FC8"/>
    <w:rsid w:val="006F3643"/>
    <w:rsid w:val="006F518C"/>
    <w:rsid w:val="007030AC"/>
    <w:rsid w:val="00704BDF"/>
    <w:rsid w:val="00711380"/>
    <w:rsid w:val="00711A44"/>
    <w:rsid w:val="00716CD1"/>
    <w:rsid w:val="0072493D"/>
    <w:rsid w:val="007269F5"/>
    <w:rsid w:val="00726B1C"/>
    <w:rsid w:val="0073146A"/>
    <w:rsid w:val="007329FA"/>
    <w:rsid w:val="0073480E"/>
    <w:rsid w:val="00736B13"/>
    <w:rsid w:val="00740E46"/>
    <w:rsid w:val="007447F3"/>
    <w:rsid w:val="007511AB"/>
    <w:rsid w:val="007661C8"/>
    <w:rsid w:val="00770A6D"/>
    <w:rsid w:val="007716AF"/>
    <w:rsid w:val="00772375"/>
    <w:rsid w:val="007744C1"/>
    <w:rsid w:val="00774CF2"/>
    <w:rsid w:val="00786158"/>
    <w:rsid w:val="007863CA"/>
    <w:rsid w:val="00787511"/>
    <w:rsid w:val="007A1193"/>
    <w:rsid w:val="007A33B1"/>
    <w:rsid w:val="007A5C4E"/>
    <w:rsid w:val="007B0F56"/>
    <w:rsid w:val="007B4A10"/>
    <w:rsid w:val="007B75D3"/>
    <w:rsid w:val="007C1E61"/>
    <w:rsid w:val="007D2D6A"/>
    <w:rsid w:val="007D3255"/>
    <w:rsid w:val="007D52CD"/>
    <w:rsid w:val="007D722F"/>
    <w:rsid w:val="007D7399"/>
    <w:rsid w:val="007F033D"/>
    <w:rsid w:val="007F1396"/>
    <w:rsid w:val="00804461"/>
    <w:rsid w:val="00804BA8"/>
    <w:rsid w:val="00813288"/>
    <w:rsid w:val="008142F9"/>
    <w:rsid w:val="008168FC"/>
    <w:rsid w:val="00827359"/>
    <w:rsid w:val="00836AB5"/>
    <w:rsid w:val="008479A2"/>
    <w:rsid w:val="00855C9F"/>
    <w:rsid w:val="00863884"/>
    <w:rsid w:val="00865A88"/>
    <w:rsid w:val="00867FDE"/>
    <w:rsid w:val="0087637F"/>
    <w:rsid w:val="008800A1"/>
    <w:rsid w:val="008911C5"/>
    <w:rsid w:val="00892784"/>
    <w:rsid w:val="0089657A"/>
    <w:rsid w:val="008A1512"/>
    <w:rsid w:val="008B0984"/>
    <w:rsid w:val="008C23FF"/>
    <w:rsid w:val="008D0BEB"/>
    <w:rsid w:val="008D0F15"/>
    <w:rsid w:val="008E31BC"/>
    <w:rsid w:val="008E4448"/>
    <w:rsid w:val="008E566E"/>
    <w:rsid w:val="00901EB6"/>
    <w:rsid w:val="00902E9B"/>
    <w:rsid w:val="00916AB5"/>
    <w:rsid w:val="00924F46"/>
    <w:rsid w:val="00936D96"/>
    <w:rsid w:val="009450CE"/>
    <w:rsid w:val="0095164B"/>
    <w:rsid w:val="0095433D"/>
    <w:rsid w:val="00955E18"/>
    <w:rsid w:val="00966D8B"/>
    <w:rsid w:val="00975787"/>
    <w:rsid w:val="00995907"/>
    <w:rsid w:val="00996483"/>
    <w:rsid w:val="009A4A1E"/>
    <w:rsid w:val="009B3E03"/>
    <w:rsid w:val="009B7D4C"/>
    <w:rsid w:val="009C6B71"/>
    <w:rsid w:val="009C7615"/>
    <w:rsid w:val="009D12D9"/>
    <w:rsid w:val="009E5670"/>
    <w:rsid w:val="009E788A"/>
    <w:rsid w:val="009F319A"/>
    <w:rsid w:val="009F7C22"/>
    <w:rsid w:val="00A06B60"/>
    <w:rsid w:val="00A130D3"/>
    <w:rsid w:val="00A1763D"/>
    <w:rsid w:val="00A17CEC"/>
    <w:rsid w:val="00A27EF0"/>
    <w:rsid w:val="00A520CE"/>
    <w:rsid w:val="00A54887"/>
    <w:rsid w:val="00A57C45"/>
    <w:rsid w:val="00A71553"/>
    <w:rsid w:val="00A73F41"/>
    <w:rsid w:val="00A76EFC"/>
    <w:rsid w:val="00A810F2"/>
    <w:rsid w:val="00A86378"/>
    <w:rsid w:val="00A87CE0"/>
    <w:rsid w:val="00A90B56"/>
    <w:rsid w:val="00A938A6"/>
    <w:rsid w:val="00A97F29"/>
    <w:rsid w:val="00AA7750"/>
    <w:rsid w:val="00AB0964"/>
    <w:rsid w:val="00AC15F5"/>
    <w:rsid w:val="00AC4F04"/>
    <w:rsid w:val="00AC55A5"/>
    <w:rsid w:val="00AC5D33"/>
    <w:rsid w:val="00AC76DD"/>
    <w:rsid w:val="00AD1D7D"/>
    <w:rsid w:val="00AD7A66"/>
    <w:rsid w:val="00AE377D"/>
    <w:rsid w:val="00B01470"/>
    <w:rsid w:val="00B06C54"/>
    <w:rsid w:val="00B105E0"/>
    <w:rsid w:val="00B20AC4"/>
    <w:rsid w:val="00B30E91"/>
    <w:rsid w:val="00B337A9"/>
    <w:rsid w:val="00B466E7"/>
    <w:rsid w:val="00B50873"/>
    <w:rsid w:val="00B61DBF"/>
    <w:rsid w:val="00B65A88"/>
    <w:rsid w:val="00B67875"/>
    <w:rsid w:val="00B7051A"/>
    <w:rsid w:val="00B86F84"/>
    <w:rsid w:val="00B9798E"/>
    <w:rsid w:val="00BB1C48"/>
    <w:rsid w:val="00BB1F48"/>
    <w:rsid w:val="00BC2083"/>
    <w:rsid w:val="00BC30C9"/>
    <w:rsid w:val="00BC613D"/>
    <w:rsid w:val="00BD0C9C"/>
    <w:rsid w:val="00BE3E58"/>
    <w:rsid w:val="00BF6D27"/>
    <w:rsid w:val="00C01616"/>
    <w:rsid w:val="00C0162B"/>
    <w:rsid w:val="00C17D6E"/>
    <w:rsid w:val="00C26BEA"/>
    <w:rsid w:val="00C345B1"/>
    <w:rsid w:val="00C40142"/>
    <w:rsid w:val="00C44BA1"/>
    <w:rsid w:val="00C5354B"/>
    <w:rsid w:val="00C54574"/>
    <w:rsid w:val="00C57182"/>
    <w:rsid w:val="00C5765C"/>
    <w:rsid w:val="00C603F8"/>
    <w:rsid w:val="00C627C7"/>
    <w:rsid w:val="00C655FD"/>
    <w:rsid w:val="00C77E15"/>
    <w:rsid w:val="00C94434"/>
    <w:rsid w:val="00C96DA3"/>
    <w:rsid w:val="00CA1C95"/>
    <w:rsid w:val="00CA5A9C"/>
    <w:rsid w:val="00CB1854"/>
    <w:rsid w:val="00CD165A"/>
    <w:rsid w:val="00CD5FE2"/>
    <w:rsid w:val="00CD6EDF"/>
    <w:rsid w:val="00CE5BB6"/>
    <w:rsid w:val="00CF48A2"/>
    <w:rsid w:val="00D02B4C"/>
    <w:rsid w:val="00D06763"/>
    <w:rsid w:val="00D10A28"/>
    <w:rsid w:val="00D14CF1"/>
    <w:rsid w:val="00D231A0"/>
    <w:rsid w:val="00D44E54"/>
    <w:rsid w:val="00D534EA"/>
    <w:rsid w:val="00D60E89"/>
    <w:rsid w:val="00D61086"/>
    <w:rsid w:val="00D65C2C"/>
    <w:rsid w:val="00D70203"/>
    <w:rsid w:val="00D71498"/>
    <w:rsid w:val="00D81A28"/>
    <w:rsid w:val="00D84576"/>
    <w:rsid w:val="00D874EB"/>
    <w:rsid w:val="00D941DE"/>
    <w:rsid w:val="00D95ECF"/>
    <w:rsid w:val="00DA0F37"/>
    <w:rsid w:val="00DA33B9"/>
    <w:rsid w:val="00DA7A44"/>
    <w:rsid w:val="00DB22AF"/>
    <w:rsid w:val="00DB2695"/>
    <w:rsid w:val="00DB5101"/>
    <w:rsid w:val="00DC2A3E"/>
    <w:rsid w:val="00DE0019"/>
    <w:rsid w:val="00DE264A"/>
    <w:rsid w:val="00DE3194"/>
    <w:rsid w:val="00DF5F2F"/>
    <w:rsid w:val="00E01ABB"/>
    <w:rsid w:val="00E041E7"/>
    <w:rsid w:val="00E15559"/>
    <w:rsid w:val="00E23CA1"/>
    <w:rsid w:val="00E409A8"/>
    <w:rsid w:val="00E46648"/>
    <w:rsid w:val="00E47211"/>
    <w:rsid w:val="00E5208A"/>
    <w:rsid w:val="00E52821"/>
    <w:rsid w:val="00E61DCF"/>
    <w:rsid w:val="00E7209D"/>
    <w:rsid w:val="00E74448"/>
    <w:rsid w:val="00E7496D"/>
    <w:rsid w:val="00E76C47"/>
    <w:rsid w:val="00EA0797"/>
    <w:rsid w:val="00EA2131"/>
    <w:rsid w:val="00EA50E1"/>
    <w:rsid w:val="00EA7E02"/>
    <w:rsid w:val="00EC1C0B"/>
    <w:rsid w:val="00EC1C84"/>
    <w:rsid w:val="00ED1E94"/>
    <w:rsid w:val="00ED7642"/>
    <w:rsid w:val="00EE0131"/>
    <w:rsid w:val="00EE2A21"/>
    <w:rsid w:val="00EE3A15"/>
    <w:rsid w:val="00EE5ABF"/>
    <w:rsid w:val="00F14909"/>
    <w:rsid w:val="00F21B6A"/>
    <w:rsid w:val="00F30C64"/>
    <w:rsid w:val="00F46CEA"/>
    <w:rsid w:val="00F51F89"/>
    <w:rsid w:val="00F55CBF"/>
    <w:rsid w:val="00F720EC"/>
    <w:rsid w:val="00F871C9"/>
    <w:rsid w:val="00F90DEC"/>
    <w:rsid w:val="00FA7733"/>
    <w:rsid w:val="00FB08E8"/>
    <w:rsid w:val="00FB4F69"/>
    <w:rsid w:val="00FB5D4E"/>
    <w:rsid w:val="00FB730C"/>
    <w:rsid w:val="00FC2695"/>
    <w:rsid w:val="00FC3838"/>
    <w:rsid w:val="00FC3E03"/>
    <w:rsid w:val="00FD5193"/>
    <w:rsid w:val="00FE035C"/>
    <w:rsid w:val="00FE6A2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2664B0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6F51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locked/>
    <w:rsid w:val="007D3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2664B0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6F51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locked/>
    <w:rsid w:val="007D3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ukazia@insa-toulouse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070A-405B-4473-A466-19F12C8A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Yassim Boukazia</cp:lastModifiedBy>
  <cp:revision>7</cp:revision>
  <cp:lastPrinted>2015-05-12T18:31:00Z</cp:lastPrinted>
  <dcterms:created xsi:type="dcterms:W3CDTF">2019-01-15T11:01:00Z</dcterms:created>
  <dcterms:modified xsi:type="dcterms:W3CDTF">2019-01-15T14:36:00Z</dcterms:modified>
</cp:coreProperties>
</file>