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9A0435"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eastAsia="ko-KR"/>
        </w:rPr>
        <w:t xml:space="preserve">Multi-step Automated Heat Exchanger Network Retrofit </w:t>
      </w:r>
      <w:r w:rsidR="00EF213C">
        <w:rPr>
          <w:rFonts w:asciiTheme="minorHAnsi" w:eastAsia="MS PGothic" w:hAnsiTheme="minorHAnsi"/>
          <w:b/>
          <w:bCs/>
          <w:sz w:val="28"/>
          <w:szCs w:val="28"/>
          <w:lang w:val="en-US" w:eastAsia="ko-KR"/>
        </w:rPr>
        <w:t>Planning</w:t>
      </w:r>
    </w:p>
    <w:p w:rsidR="00DE0019" w:rsidRPr="00DE0019" w:rsidRDefault="004018FD" w:rsidP="00704BDF">
      <w:pPr>
        <w:snapToGrid w:val="0"/>
        <w:spacing w:after="120"/>
        <w:jc w:val="center"/>
        <w:rPr>
          <w:rFonts w:eastAsia="SimSun"/>
          <w:color w:val="000000"/>
          <w:lang w:val="en-US" w:eastAsia="zh-CN"/>
        </w:rPr>
      </w:pPr>
      <w:r w:rsidRPr="004018FD">
        <w:rPr>
          <w:rFonts w:asciiTheme="minorHAnsi" w:eastAsia="SimSun" w:hAnsiTheme="minorHAnsi"/>
          <w:color w:val="000000"/>
          <w:sz w:val="24"/>
          <w:szCs w:val="24"/>
          <w:u w:val="single"/>
          <w:lang w:val="en-US" w:eastAsia="zh-CN"/>
        </w:rPr>
        <w:t>Timothy G. Walmsley</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w:t>
      </w:r>
      <w:r w:rsidRPr="00DE0019">
        <w:rPr>
          <w:rFonts w:asciiTheme="minorHAnsi" w:eastAsia="SimSun" w:hAnsiTheme="minorHAnsi"/>
          <w:color w:val="000000"/>
          <w:sz w:val="24"/>
          <w:szCs w:val="24"/>
          <w:lang w:val="en-US" w:eastAsia="zh-CN"/>
        </w:rPr>
        <w:t xml:space="preserve"> </w:t>
      </w:r>
      <w:r w:rsidRPr="004018FD">
        <w:rPr>
          <w:rFonts w:asciiTheme="minorHAnsi" w:eastAsia="SimSun" w:hAnsiTheme="minorHAnsi"/>
          <w:color w:val="000000"/>
          <w:sz w:val="24"/>
          <w:szCs w:val="24"/>
          <w:lang w:val="en-US" w:eastAsia="zh-CN"/>
        </w:rPr>
        <w:t>Nathan Lal</w:t>
      </w:r>
      <w:r w:rsidRPr="00182FCF">
        <w:rPr>
          <w:rFonts w:asciiTheme="minorHAnsi" w:eastAsia="SimSun" w:hAnsiTheme="minorHAnsi" w:cs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xml:space="preserve">, </w:t>
      </w:r>
      <w:proofErr w:type="spellStart"/>
      <w:r w:rsidR="00BC318D">
        <w:rPr>
          <w:rFonts w:asciiTheme="minorHAnsi" w:eastAsia="SimSun" w:hAnsiTheme="minorHAnsi"/>
          <w:color w:val="000000"/>
          <w:sz w:val="24"/>
          <w:szCs w:val="24"/>
          <w:lang w:val="en-US" w:eastAsia="zh-CN"/>
        </w:rPr>
        <w:t>Petar</w:t>
      </w:r>
      <w:proofErr w:type="spellEnd"/>
      <w:r w:rsidR="00BC318D">
        <w:rPr>
          <w:rFonts w:asciiTheme="minorHAnsi" w:eastAsia="SimSun" w:hAnsiTheme="minorHAnsi"/>
          <w:color w:val="000000"/>
          <w:sz w:val="24"/>
          <w:szCs w:val="24"/>
          <w:lang w:val="en-US" w:eastAsia="zh-CN"/>
        </w:rPr>
        <w:t xml:space="preserve"> S. Varbanov</w:t>
      </w:r>
      <w:r w:rsidR="00BC318D" w:rsidRPr="005F1012">
        <w:rPr>
          <w:rFonts w:asciiTheme="minorHAnsi" w:eastAsia="SimSun" w:hAnsiTheme="minorHAnsi"/>
          <w:color w:val="000000"/>
          <w:sz w:val="24"/>
          <w:szCs w:val="24"/>
          <w:vertAlign w:val="superscript"/>
          <w:lang w:val="en-US" w:eastAsia="zh-CN"/>
        </w:rPr>
        <w:t>1</w:t>
      </w:r>
      <w:r w:rsidR="00BC318D">
        <w:rPr>
          <w:rFonts w:asciiTheme="minorHAnsi" w:eastAsia="SimSun" w:hAnsiTheme="minorHAnsi"/>
          <w:color w:val="000000"/>
          <w:sz w:val="24"/>
          <w:szCs w:val="24"/>
          <w:lang w:val="en-US" w:eastAsia="zh-CN"/>
        </w:rPr>
        <w:t xml:space="preserve">, </w:t>
      </w:r>
      <w:proofErr w:type="spellStart"/>
      <w:r w:rsidRPr="004018FD">
        <w:rPr>
          <w:rFonts w:asciiTheme="minorHAnsi" w:eastAsia="SimSun" w:hAnsiTheme="minorHAnsi"/>
          <w:color w:val="000000"/>
          <w:sz w:val="24"/>
          <w:szCs w:val="24"/>
          <w:lang w:val="en-US" w:eastAsia="zh-CN"/>
        </w:rPr>
        <w:t>Jiří</w:t>
      </w:r>
      <w:proofErr w:type="spellEnd"/>
      <w:r w:rsidRPr="004018FD">
        <w:rPr>
          <w:rFonts w:asciiTheme="minorHAnsi" w:eastAsia="SimSun" w:hAnsiTheme="minorHAnsi"/>
          <w:color w:val="000000"/>
          <w:sz w:val="24"/>
          <w:szCs w:val="24"/>
          <w:lang w:val="en-US" w:eastAsia="zh-CN"/>
        </w:rPr>
        <w:t xml:space="preserve"> J. Klemeš</w:t>
      </w:r>
      <w:r w:rsidR="005F1012" w:rsidRPr="005F1012">
        <w:rPr>
          <w:rFonts w:asciiTheme="minorHAnsi" w:eastAsia="SimSun" w:hAnsiTheme="minorHAnsi"/>
          <w:color w:val="000000"/>
          <w:sz w:val="24"/>
          <w:szCs w:val="24"/>
          <w:vertAlign w:val="superscript"/>
          <w:lang w:val="en-US" w:eastAsia="zh-CN"/>
        </w:rPr>
        <w:t>1</w:t>
      </w:r>
    </w:p>
    <w:p w:rsidR="00704BDF" w:rsidRPr="00565F33" w:rsidRDefault="00704BDF" w:rsidP="00704BDF">
      <w:pPr>
        <w:snapToGrid w:val="0"/>
        <w:spacing w:after="120"/>
        <w:jc w:val="center"/>
        <w:rPr>
          <w:rFonts w:asciiTheme="minorHAnsi" w:eastAsia="MS PGothic" w:hAnsiTheme="minorHAnsi" w:cstheme="minorHAnsi"/>
          <w:i/>
          <w:iCs/>
          <w:color w:val="000000"/>
          <w:sz w:val="20"/>
          <w:lang w:val="en-US"/>
        </w:rPr>
      </w:pPr>
      <w:r w:rsidRPr="00565F33">
        <w:rPr>
          <w:rFonts w:asciiTheme="minorHAnsi" w:eastAsia="MS PGothic" w:hAnsiTheme="minorHAnsi" w:cstheme="minorHAnsi"/>
          <w:i/>
          <w:iCs/>
          <w:color w:val="000000"/>
          <w:sz w:val="20"/>
          <w:lang w:val="en-US"/>
        </w:rPr>
        <w:t xml:space="preserve">1 </w:t>
      </w:r>
      <w:r w:rsidR="004018FD" w:rsidRPr="00565F33">
        <w:rPr>
          <w:rFonts w:asciiTheme="minorHAnsi" w:eastAsia="MS PGothic" w:hAnsiTheme="minorHAnsi" w:cstheme="minorHAnsi"/>
          <w:i/>
          <w:iCs/>
          <w:color w:val="000000"/>
          <w:sz w:val="20"/>
          <w:lang w:val="en-US"/>
        </w:rPr>
        <w:t xml:space="preserve">Sustainable Process Integration Laboratory – SPIL, NETME Centre, Faculty of Mechanical Engineering, </w:t>
      </w:r>
      <w:r w:rsidR="004018FD" w:rsidRPr="00565F33">
        <w:rPr>
          <w:rFonts w:asciiTheme="minorHAnsi" w:eastAsia="MS PGothic" w:hAnsiTheme="minorHAnsi" w:cstheme="minorHAnsi"/>
          <w:i/>
          <w:iCs/>
          <w:color w:val="000000"/>
          <w:sz w:val="20"/>
          <w:lang w:val="en-US"/>
        </w:rPr>
        <w:br/>
        <w:t>Brno University of Technology, Brno, Czech Republic</w:t>
      </w:r>
      <w:r w:rsidRPr="00565F33">
        <w:rPr>
          <w:rFonts w:asciiTheme="minorHAnsi" w:eastAsia="MS PGothic" w:hAnsiTheme="minorHAnsi" w:cstheme="minorHAnsi"/>
          <w:i/>
          <w:iCs/>
          <w:color w:val="000000"/>
          <w:sz w:val="20"/>
          <w:lang w:val="en-US"/>
        </w:rPr>
        <w:t xml:space="preserve">; 2 </w:t>
      </w:r>
      <w:r w:rsidR="004018FD" w:rsidRPr="00565F33">
        <w:rPr>
          <w:rFonts w:asciiTheme="minorHAnsi" w:eastAsia="MS PGothic" w:hAnsiTheme="minorHAnsi" w:cstheme="minorHAnsi"/>
          <w:i/>
          <w:iCs/>
          <w:color w:val="000000"/>
          <w:sz w:val="20"/>
          <w:lang w:val="en-US"/>
        </w:rPr>
        <w:t>Energy Research Group, School of Engineering,</w:t>
      </w:r>
      <w:r w:rsidR="004018FD" w:rsidRPr="00565F33">
        <w:rPr>
          <w:rFonts w:asciiTheme="minorHAnsi" w:eastAsia="MS PGothic" w:hAnsiTheme="minorHAnsi" w:cstheme="minorHAnsi"/>
          <w:i/>
          <w:iCs/>
          <w:color w:val="000000"/>
          <w:sz w:val="20"/>
          <w:lang w:val="en-US"/>
        </w:rPr>
        <w:br/>
        <w:t>University of Waikato, Hamilton, New Zealand</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4018FD" w:rsidRPr="004018FD">
        <w:rPr>
          <w:rFonts w:asciiTheme="minorHAnsi" w:eastAsia="MS PGothic" w:hAnsiTheme="minorHAnsi"/>
          <w:bCs/>
          <w:i/>
          <w:iCs/>
          <w:sz w:val="20"/>
          <w:lang w:val="en-US"/>
        </w:rPr>
        <w:t>walmsley@fme.vutbr.cz</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BD6871" w:rsidP="00704BDF">
      <w:pPr>
        <w:pStyle w:val="AbstractBody"/>
        <w:numPr>
          <w:ilvl w:val="0"/>
          <w:numId w:val="16"/>
        </w:numPr>
        <w:rPr>
          <w:rFonts w:asciiTheme="minorHAnsi" w:hAnsiTheme="minorHAnsi"/>
        </w:rPr>
      </w:pPr>
      <w:r>
        <w:rPr>
          <w:rFonts w:asciiTheme="minorHAnsi" w:hAnsiTheme="minorHAnsi"/>
        </w:rPr>
        <w:t>Heat Exchanger Network retrofitting is becoming increasingly more urgent</w:t>
      </w:r>
    </w:p>
    <w:p w:rsidR="00BD6871" w:rsidRDefault="00BD6871" w:rsidP="00704BDF">
      <w:pPr>
        <w:pStyle w:val="AbstractBody"/>
        <w:numPr>
          <w:ilvl w:val="0"/>
          <w:numId w:val="16"/>
        </w:numPr>
        <w:rPr>
          <w:rFonts w:asciiTheme="minorHAnsi" w:hAnsiTheme="minorHAnsi"/>
        </w:rPr>
      </w:pPr>
      <w:r w:rsidRPr="0056092C">
        <w:rPr>
          <w:rFonts w:asciiTheme="minorHAnsi" w:hAnsiTheme="minorHAnsi"/>
        </w:rPr>
        <w:t xml:space="preserve">The Automated Retrofit Targeting algorithm is further developed </w:t>
      </w:r>
    </w:p>
    <w:p w:rsidR="00704BDF" w:rsidRDefault="00BD6871" w:rsidP="00704BDF">
      <w:pPr>
        <w:pStyle w:val="AbstractBody"/>
        <w:numPr>
          <w:ilvl w:val="0"/>
          <w:numId w:val="16"/>
        </w:numPr>
        <w:rPr>
          <w:rFonts w:asciiTheme="minorHAnsi" w:hAnsiTheme="minorHAnsi"/>
        </w:rPr>
      </w:pPr>
      <w:r>
        <w:rPr>
          <w:rFonts w:asciiTheme="minorHAnsi" w:hAnsiTheme="minorHAnsi"/>
        </w:rPr>
        <w:t xml:space="preserve">A petrochemical example is </w:t>
      </w:r>
      <w:proofErr w:type="spellStart"/>
      <w:r w:rsidR="00EF213C">
        <w:rPr>
          <w:rFonts w:asciiTheme="minorHAnsi" w:hAnsiTheme="minorHAnsi"/>
        </w:rPr>
        <w:t>analysed</w:t>
      </w:r>
      <w:proofErr w:type="spellEnd"/>
      <w:r>
        <w:rPr>
          <w:rFonts w:asciiTheme="minorHAnsi" w:hAnsiTheme="minorHAnsi"/>
        </w:rPr>
        <w:t xml:space="preserve">, developing </w:t>
      </w:r>
      <w:r w:rsidR="00F40432">
        <w:rPr>
          <w:rFonts w:asciiTheme="minorHAnsi" w:hAnsiTheme="minorHAnsi"/>
        </w:rPr>
        <w:t xml:space="preserve">many </w:t>
      </w:r>
      <w:r>
        <w:rPr>
          <w:rFonts w:asciiTheme="minorHAnsi" w:hAnsiTheme="minorHAnsi"/>
        </w:rPr>
        <w:t>retrofit investment plans</w:t>
      </w:r>
    </w:p>
    <w:p w:rsidR="00BD6871" w:rsidRPr="00911CF6" w:rsidRDefault="006A719A" w:rsidP="00704BDF">
      <w:pPr>
        <w:pStyle w:val="AbstractBody"/>
        <w:numPr>
          <w:ilvl w:val="0"/>
          <w:numId w:val="16"/>
        </w:numPr>
        <w:rPr>
          <w:rFonts w:asciiTheme="minorHAnsi" w:hAnsiTheme="minorHAnsi"/>
        </w:rPr>
      </w:pPr>
      <w:r w:rsidRPr="00911CF6">
        <w:rPr>
          <w:rFonts w:asciiTheme="minorHAnsi" w:hAnsiTheme="minorHAnsi"/>
        </w:rPr>
        <w:t xml:space="preserve">The best three-step retrofit option </w:t>
      </w:r>
      <w:r w:rsidR="005A7866" w:rsidRPr="00911CF6">
        <w:rPr>
          <w:rFonts w:asciiTheme="minorHAnsi" w:hAnsiTheme="minorHAnsi"/>
        </w:rPr>
        <w:t xml:space="preserve">saved </w:t>
      </w:r>
      <w:r w:rsidR="00911CF6" w:rsidRPr="00911CF6">
        <w:rPr>
          <w:rFonts w:asciiTheme="minorHAnsi" w:hAnsiTheme="minorHAnsi"/>
        </w:rPr>
        <w:t>7.3</w:t>
      </w:r>
      <w:r w:rsidR="005A7866" w:rsidRPr="00911CF6">
        <w:rPr>
          <w:rFonts w:asciiTheme="minorHAnsi" w:hAnsiTheme="minorHAnsi"/>
        </w:rPr>
        <w:t xml:space="preserve"> MW with a profit of </w:t>
      </w:r>
      <w:r w:rsidR="00911CF6" w:rsidRPr="00911CF6">
        <w:rPr>
          <w:rFonts w:asciiTheme="minorHAnsi" w:hAnsiTheme="minorHAnsi"/>
        </w:rPr>
        <w:t>1.3</w:t>
      </w:r>
      <w:r w:rsidR="005A7866" w:rsidRPr="00911CF6">
        <w:rPr>
          <w:rFonts w:asciiTheme="minorHAnsi" w:hAnsiTheme="minorHAnsi"/>
        </w:rPr>
        <w:t xml:space="preserve"> M EUR/y</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F1012" w:rsidRDefault="00347807" w:rsidP="00C867B1">
      <w:pPr>
        <w:snapToGrid w:val="0"/>
        <w:spacing w:after="120"/>
        <w:rPr>
          <w:rFonts w:asciiTheme="minorHAnsi" w:eastAsia="MS PGothic" w:hAnsiTheme="minorHAnsi"/>
          <w:color w:val="000000"/>
          <w:sz w:val="22"/>
          <w:szCs w:val="22"/>
          <w:lang w:val="en-US"/>
        </w:rPr>
      </w:pPr>
      <w:r w:rsidRPr="00C97FA0">
        <w:rPr>
          <w:rFonts w:asciiTheme="minorHAnsi" w:eastAsia="MS PGothic" w:hAnsiTheme="minorHAnsi"/>
          <w:noProof/>
          <w:color w:val="000000"/>
          <w:sz w:val="22"/>
          <w:szCs w:val="22"/>
          <w:lang w:val="en-US"/>
        </w:rPr>
        <w:t>Ever</w:t>
      </w:r>
      <w:r w:rsidR="00C97FA0">
        <w:rPr>
          <w:rFonts w:asciiTheme="minorHAnsi" w:eastAsia="MS PGothic" w:hAnsiTheme="minorHAnsi"/>
          <w:noProof/>
          <w:color w:val="000000"/>
          <w:sz w:val="22"/>
          <w:szCs w:val="22"/>
          <w:lang w:val="en-US"/>
        </w:rPr>
        <w:t>-</w:t>
      </w:r>
      <w:r w:rsidRPr="00C97FA0">
        <w:rPr>
          <w:rFonts w:asciiTheme="minorHAnsi" w:eastAsia="MS PGothic" w:hAnsiTheme="minorHAnsi"/>
          <w:noProof/>
          <w:color w:val="000000"/>
          <w:sz w:val="22"/>
          <w:szCs w:val="22"/>
          <w:lang w:val="en-US"/>
        </w:rPr>
        <w:t>rising</w:t>
      </w:r>
      <w:r w:rsidRPr="005D4D08">
        <w:rPr>
          <w:rFonts w:asciiTheme="minorHAnsi" w:eastAsia="MS PGothic" w:hAnsiTheme="minorHAnsi"/>
          <w:color w:val="000000"/>
          <w:sz w:val="22"/>
          <w:szCs w:val="22"/>
          <w:lang w:val="en-US"/>
        </w:rPr>
        <w:t xml:space="preserve"> </w:t>
      </w:r>
      <w:r w:rsidRPr="00347807">
        <w:rPr>
          <w:rFonts w:asciiTheme="minorHAnsi" w:eastAsia="MS PGothic" w:hAnsiTheme="minorHAnsi"/>
          <w:color w:val="000000"/>
          <w:sz w:val="22"/>
          <w:szCs w:val="22"/>
          <w:lang w:val="en-US"/>
        </w:rPr>
        <w:t xml:space="preserve">energy costs and environmental concern drives a cycle of continuous process energy improvement in the chemical and process industries. To remain competitive, industrial companies and sites need to retrofit and revamp their technology to keep pace with more energy-efficient new plants. Such options include disruptive projects – e.g. new reactor installation – </w:t>
      </w:r>
      <w:r w:rsidR="005F1012">
        <w:rPr>
          <w:rFonts w:asciiTheme="minorHAnsi" w:eastAsia="MS PGothic" w:hAnsiTheme="minorHAnsi"/>
          <w:color w:val="000000"/>
          <w:sz w:val="22"/>
          <w:szCs w:val="22"/>
          <w:lang w:val="en-US"/>
        </w:rPr>
        <w:t>and</w:t>
      </w:r>
      <w:r w:rsidRPr="00347807">
        <w:rPr>
          <w:rFonts w:asciiTheme="minorHAnsi" w:eastAsia="MS PGothic" w:hAnsiTheme="minorHAnsi"/>
          <w:color w:val="000000"/>
          <w:sz w:val="22"/>
          <w:szCs w:val="22"/>
          <w:lang w:val="en-US"/>
        </w:rPr>
        <w:t xml:space="preserve"> incremental improvement – e.g. new heat exchangers</w:t>
      </w:r>
      <w:r>
        <w:rPr>
          <w:rFonts w:asciiTheme="minorHAnsi" w:eastAsia="MS PGothic" w:hAnsiTheme="minorHAnsi"/>
          <w:color w:val="000000"/>
          <w:sz w:val="22"/>
          <w:szCs w:val="22"/>
          <w:lang w:val="en-US"/>
        </w:rPr>
        <w:t xml:space="preserve"> </w:t>
      </w:r>
      <w:r w:rsidRPr="00654628">
        <w:rPr>
          <w:rFonts w:ascii="Calibri" w:eastAsia="MS PGothic" w:hAnsi="Calibri" w:cs="Calibri"/>
          <w:sz w:val="22"/>
        </w:rPr>
        <w:t>[1]</w:t>
      </w:r>
      <w:r w:rsidRPr="00347807">
        <w:rPr>
          <w:rFonts w:asciiTheme="minorHAnsi" w:eastAsia="MS PGothic" w:hAnsiTheme="minorHAnsi"/>
          <w:color w:val="000000"/>
          <w:sz w:val="22"/>
          <w:szCs w:val="22"/>
          <w:lang w:val="en-US"/>
        </w:rPr>
        <w:t xml:space="preserve">. Due to the capital intensity of disruptive change, most companies </w:t>
      </w:r>
      <w:r w:rsidR="005F1012" w:rsidRPr="00C97FA0">
        <w:rPr>
          <w:rFonts w:asciiTheme="minorHAnsi" w:eastAsia="MS PGothic" w:hAnsiTheme="minorHAnsi"/>
          <w:noProof/>
          <w:color w:val="000000"/>
          <w:sz w:val="22"/>
          <w:szCs w:val="22"/>
          <w:lang w:val="en-US"/>
        </w:rPr>
        <w:t>favo</w:t>
      </w:r>
      <w:r w:rsidR="00C97FA0">
        <w:rPr>
          <w:rFonts w:asciiTheme="minorHAnsi" w:eastAsia="MS PGothic" w:hAnsiTheme="minorHAnsi"/>
          <w:noProof/>
          <w:color w:val="000000"/>
          <w:sz w:val="22"/>
          <w:szCs w:val="22"/>
          <w:lang w:val="en-US"/>
        </w:rPr>
        <w:t>u</w:t>
      </w:r>
      <w:r w:rsidR="005F1012" w:rsidRPr="00C97FA0">
        <w:rPr>
          <w:rFonts w:asciiTheme="minorHAnsi" w:eastAsia="MS PGothic" w:hAnsiTheme="minorHAnsi"/>
          <w:noProof/>
          <w:color w:val="000000"/>
          <w:sz w:val="22"/>
          <w:szCs w:val="22"/>
          <w:lang w:val="en-US"/>
        </w:rPr>
        <w:t>r</w:t>
      </w:r>
      <w:r w:rsidRPr="00347807">
        <w:rPr>
          <w:rFonts w:asciiTheme="minorHAnsi" w:eastAsia="MS PGothic" w:hAnsiTheme="minorHAnsi"/>
          <w:color w:val="000000"/>
          <w:sz w:val="22"/>
          <w:szCs w:val="22"/>
          <w:lang w:val="en-US"/>
        </w:rPr>
        <w:t xml:space="preserve"> incremental, low-risk </w:t>
      </w:r>
      <w:r w:rsidR="005F1012">
        <w:rPr>
          <w:rFonts w:asciiTheme="minorHAnsi" w:eastAsia="MS PGothic" w:hAnsiTheme="minorHAnsi"/>
          <w:color w:val="000000"/>
          <w:sz w:val="22"/>
          <w:szCs w:val="22"/>
          <w:lang w:val="en-US"/>
        </w:rPr>
        <w:t>retrofit</w:t>
      </w:r>
      <w:r w:rsidRPr="0034780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Recent efforts have focused on graphical retrofit techniques based on </w:t>
      </w:r>
      <w:r w:rsidRPr="00347807">
        <w:rPr>
          <w:rFonts w:asciiTheme="minorHAnsi" w:eastAsia="MS PGothic" w:hAnsiTheme="minorHAnsi"/>
          <w:color w:val="000000"/>
          <w:sz w:val="22"/>
          <w:szCs w:val="22"/>
          <w:lang w:val="en-US"/>
        </w:rPr>
        <w:t>individual process stream mapping</w:t>
      </w:r>
      <w:r>
        <w:rPr>
          <w:rFonts w:asciiTheme="minorHAnsi" w:eastAsia="MS PGothic" w:hAnsiTheme="minorHAnsi"/>
          <w:color w:val="000000"/>
          <w:sz w:val="22"/>
          <w:szCs w:val="22"/>
          <w:lang w:val="en-US"/>
        </w:rPr>
        <w:t xml:space="preserve"> </w:t>
      </w:r>
      <w:r w:rsidRPr="00347807">
        <w:rPr>
          <w:rFonts w:ascii="Calibri" w:eastAsia="MS PGothic" w:hAnsi="Calibri" w:cs="Calibri"/>
          <w:sz w:val="22"/>
        </w:rPr>
        <w:t>[2]</w:t>
      </w:r>
      <w:r>
        <w:rPr>
          <w:rFonts w:asciiTheme="minorHAnsi" w:eastAsia="MS PGothic" w:hAnsiTheme="minorHAnsi"/>
          <w:color w:val="000000"/>
          <w:sz w:val="22"/>
          <w:szCs w:val="22"/>
          <w:lang w:val="en-US"/>
        </w:rPr>
        <w:t xml:space="preserve"> and the Energy Transfer Diagram </w:t>
      </w:r>
      <w:r w:rsidRPr="00347807">
        <w:rPr>
          <w:rFonts w:ascii="Calibri" w:eastAsia="MS PGothic" w:hAnsi="Calibri" w:cs="Calibri"/>
          <w:sz w:val="22"/>
        </w:rPr>
        <w:t>[3]</w:t>
      </w:r>
      <w:r>
        <w:rPr>
          <w:rFonts w:asciiTheme="minorHAnsi" w:eastAsia="MS PGothic" w:hAnsiTheme="minorHAnsi"/>
          <w:color w:val="000000"/>
          <w:sz w:val="22"/>
          <w:szCs w:val="22"/>
          <w:lang w:val="en-US"/>
        </w:rPr>
        <w:t xml:space="preserve"> as well as mathematical optimization techniques </w:t>
      </w:r>
      <w:r w:rsidRPr="00347807">
        <w:rPr>
          <w:rFonts w:ascii="Calibri" w:eastAsia="MS PGothic" w:hAnsi="Calibri" w:cs="Calibri"/>
          <w:sz w:val="22"/>
        </w:rPr>
        <w:t>[4]</w:t>
      </w:r>
      <w:r>
        <w:rPr>
          <w:rFonts w:asciiTheme="minorHAnsi" w:eastAsia="MS PGothic" w:hAnsiTheme="minorHAnsi"/>
          <w:color w:val="000000"/>
          <w:sz w:val="22"/>
          <w:szCs w:val="22"/>
          <w:lang w:val="en-US"/>
        </w:rPr>
        <w:t>.</w:t>
      </w:r>
      <w:r w:rsidR="005F1012">
        <w:rPr>
          <w:rFonts w:asciiTheme="minorHAnsi" w:eastAsia="MS PGothic" w:hAnsiTheme="minorHAnsi"/>
          <w:color w:val="000000"/>
          <w:sz w:val="22"/>
          <w:szCs w:val="22"/>
          <w:lang w:val="en-US"/>
        </w:rPr>
        <w:t xml:space="preserve"> </w:t>
      </w:r>
    </w:p>
    <w:p w:rsidR="005D4D08" w:rsidRDefault="00347807" w:rsidP="00137DA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This </w:t>
      </w:r>
      <w:r w:rsidR="00565F33">
        <w:rPr>
          <w:rFonts w:asciiTheme="minorHAnsi" w:eastAsia="MS PGothic" w:hAnsiTheme="minorHAnsi"/>
          <w:color w:val="000000"/>
          <w:sz w:val="22"/>
          <w:szCs w:val="22"/>
          <w:lang w:val="en-US"/>
        </w:rPr>
        <w:t>paper</w:t>
      </w:r>
      <w:r>
        <w:rPr>
          <w:rFonts w:asciiTheme="minorHAnsi" w:eastAsia="MS PGothic" w:hAnsiTheme="minorHAnsi"/>
          <w:color w:val="000000"/>
          <w:sz w:val="22"/>
          <w:szCs w:val="22"/>
          <w:lang w:val="en-US"/>
        </w:rPr>
        <w:t xml:space="preserve"> presents an extension to the recently developed </w:t>
      </w:r>
      <w:r w:rsidRPr="00347807">
        <w:rPr>
          <w:rFonts w:asciiTheme="minorHAnsi" w:eastAsia="MS PGothic" w:hAnsiTheme="minorHAnsi"/>
          <w:color w:val="000000"/>
          <w:sz w:val="22"/>
          <w:szCs w:val="22"/>
          <w:lang w:val="en-US"/>
        </w:rPr>
        <w:t>Automated Retrofit Targeting – ART algorithm</w:t>
      </w:r>
      <w:r>
        <w:rPr>
          <w:rFonts w:asciiTheme="minorHAnsi" w:eastAsia="MS PGothic" w:hAnsiTheme="minorHAnsi"/>
          <w:color w:val="000000"/>
          <w:sz w:val="22"/>
          <w:szCs w:val="22"/>
          <w:lang w:val="en-US"/>
        </w:rPr>
        <w:t xml:space="preserve"> </w:t>
      </w:r>
      <w:r w:rsidRPr="00347807">
        <w:rPr>
          <w:rFonts w:ascii="Calibri" w:eastAsia="MS PGothic" w:hAnsi="Calibri" w:cs="Calibri"/>
          <w:sz w:val="22"/>
        </w:rPr>
        <w:t>[5]</w:t>
      </w:r>
      <w:r>
        <w:rPr>
          <w:rFonts w:asciiTheme="minorHAnsi" w:eastAsia="MS PGothic" w:hAnsiTheme="minorHAnsi"/>
          <w:color w:val="000000"/>
          <w:sz w:val="22"/>
          <w:szCs w:val="22"/>
          <w:lang w:val="en-US"/>
        </w:rPr>
        <w:t xml:space="preserve">. </w:t>
      </w:r>
      <w:r w:rsidRPr="00347807">
        <w:rPr>
          <w:rFonts w:asciiTheme="minorHAnsi" w:eastAsia="MS PGothic" w:hAnsiTheme="minorHAnsi"/>
          <w:color w:val="000000"/>
          <w:sz w:val="22"/>
          <w:szCs w:val="22"/>
          <w:lang w:val="en-US"/>
        </w:rPr>
        <w:t xml:space="preserve">A unique feature of the algorithm is the comprehensive search function that systematically looks at all </w:t>
      </w:r>
      <w:r w:rsidR="00565F33">
        <w:rPr>
          <w:rFonts w:asciiTheme="minorHAnsi" w:eastAsia="MS PGothic" w:hAnsiTheme="minorHAnsi"/>
          <w:color w:val="000000"/>
          <w:sz w:val="22"/>
          <w:szCs w:val="22"/>
          <w:lang w:val="en-US"/>
        </w:rPr>
        <w:t>practicable</w:t>
      </w:r>
      <w:r w:rsidRPr="00347807">
        <w:rPr>
          <w:rFonts w:asciiTheme="minorHAnsi" w:eastAsia="MS PGothic" w:hAnsiTheme="minorHAnsi"/>
          <w:color w:val="000000"/>
          <w:sz w:val="22"/>
          <w:szCs w:val="22"/>
          <w:lang w:val="en-US"/>
        </w:rPr>
        <w:t xml:space="preserve"> pathways </w:t>
      </w:r>
      <w:r w:rsidR="00565F33">
        <w:rPr>
          <w:rFonts w:asciiTheme="minorHAnsi" w:eastAsia="MS PGothic" w:hAnsiTheme="minorHAnsi"/>
          <w:color w:val="000000"/>
          <w:sz w:val="22"/>
          <w:szCs w:val="22"/>
          <w:lang w:val="en-US"/>
        </w:rPr>
        <w:t>for energy</w:t>
      </w:r>
      <w:r w:rsidRPr="00347807">
        <w:rPr>
          <w:rFonts w:asciiTheme="minorHAnsi" w:eastAsia="MS PGothic" w:hAnsiTheme="minorHAnsi"/>
          <w:color w:val="000000"/>
          <w:sz w:val="22"/>
          <w:szCs w:val="22"/>
          <w:lang w:val="en-US"/>
        </w:rPr>
        <w:t xml:space="preserve"> </w:t>
      </w:r>
      <w:r w:rsidR="00565F33">
        <w:rPr>
          <w:rFonts w:asciiTheme="minorHAnsi" w:eastAsia="MS PGothic" w:hAnsiTheme="minorHAnsi"/>
          <w:color w:val="000000"/>
          <w:sz w:val="22"/>
          <w:szCs w:val="22"/>
          <w:lang w:val="en-US"/>
        </w:rPr>
        <w:t>retrofits</w:t>
      </w:r>
      <w:r w:rsidRPr="00347807">
        <w:rPr>
          <w:rFonts w:asciiTheme="minorHAnsi" w:eastAsia="MS PGothic" w:hAnsiTheme="minorHAnsi"/>
          <w:color w:val="000000"/>
          <w:sz w:val="22"/>
          <w:szCs w:val="22"/>
          <w:lang w:val="en-US"/>
        </w:rPr>
        <w:t>.</w:t>
      </w:r>
      <w:r w:rsidR="005F1012">
        <w:rPr>
          <w:rFonts w:asciiTheme="minorHAnsi" w:eastAsia="MS PGothic" w:hAnsiTheme="minorHAnsi"/>
          <w:color w:val="000000"/>
          <w:sz w:val="22"/>
          <w:szCs w:val="22"/>
          <w:lang w:val="en-US"/>
        </w:rPr>
        <w:t xml:space="preserve"> This </w:t>
      </w:r>
      <w:r w:rsidR="005F1012" w:rsidRPr="00347807">
        <w:rPr>
          <w:rFonts w:asciiTheme="minorHAnsi" w:eastAsia="MS PGothic" w:hAnsiTheme="minorHAnsi"/>
          <w:color w:val="000000"/>
          <w:sz w:val="22"/>
          <w:szCs w:val="22"/>
          <w:lang w:val="en-US"/>
        </w:rPr>
        <w:t>algorithm</w:t>
      </w:r>
      <w:r w:rsidR="005F1012">
        <w:rPr>
          <w:rFonts w:asciiTheme="minorHAnsi" w:eastAsia="MS PGothic" w:hAnsiTheme="minorHAnsi"/>
          <w:color w:val="000000"/>
          <w:sz w:val="22"/>
          <w:szCs w:val="22"/>
          <w:lang w:val="en-US"/>
        </w:rPr>
        <w:t xml:space="preserve"> is now extended in this work to a multi-step approach, exponentially increasing the number of retrofit options</w:t>
      </w:r>
      <w:r w:rsidR="00137DAF">
        <w:rPr>
          <w:rFonts w:asciiTheme="minorHAnsi" w:eastAsia="MS PGothic" w:hAnsiTheme="minorHAnsi"/>
          <w:color w:val="000000"/>
          <w:sz w:val="22"/>
          <w:szCs w:val="22"/>
          <w:lang w:val="en-US"/>
        </w:rPr>
        <w:t xml:space="preserve"> while providing a long-term investment guide for energy projects</w:t>
      </w:r>
      <w:r w:rsidR="005F1012">
        <w:rPr>
          <w:rFonts w:asciiTheme="minorHAnsi" w:eastAsia="MS PGothic" w:hAnsiTheme="minorHAnsi"/>
          <w:color w:val="000000"/>
          <w:sz w:val="22"/>
          <w:szCs w:val="22"/>
          <w:lang w:val="en-US"/>
        </w:rPr>
        <w:t xml:space="preserve">. To help counteract the increase in complexity, </w:t>
      </w:r>
      <w:r w:rsidR="00137DAF">
        <w:rPr>
          <w:rFonts w:asciiTheme="minorHAnsi" w:eastAsia="MS PGothic" w:hAnsiTheme="minorHAnsi"/>
          <w:color w:val="000000"/>
          <w:sz w:val="22"/>
          <w:szCs w:val="22"/>
          <w:lang w:val="en-US"/>
        </w:rPr>
        <w:t xml:space="preserve">the extended ART determines the Pareto optimal solutions, together with </w:t>
      </w:r>
      <w:r w:rsidR="005F1012">
        <w:rPr>
          <w:rFonts w:asciiTheme="minorHAnsi" w:eastAsia="MS PGothic" w:hAnsiTheme="minorHAnsi"/>
          <w:color w:val="000000"/>
          <w:sz w:val="22"/>
          <w:szCs w:val="22"/>
          <w:lang w:val="en-US"/>
        </w:rPr>
        <w:t xml:space="preserve">logical and thermodynamic constraints </w:t>
      </w:r>
      <w:r w:rsidR="005F1012" w:rsidRPr="005F1012">
        <w:rPr>
          <w:rFonts w:ascii="Calibri" w:eastAsia="MS PGothic" w:hAnsi="Calibri" w:cs="Calibri"/>
          <w:sz w:val="22"/>
        </w:rPr>
        <w:t>[6]</w:t>
      </w:r>
      <w:r w:rsidR="005F1012">
        <w:rPr>
          <w:rFonts w:asciiTheme="minorHAnsi" w:eastAsia="MS PGothic" w:hAnsiTheme="minorHAnsi"/>
          <w:color w:val="000000"/>
          <w:sz w:val="22"/>
          <w:szCs w:val="22"/>
          <w:lang w:val="en-US"/>
        </w:rPr>
        <w:t xml:space="preserve">, </w:t>
      </w:r>
      <w:r w:rsidR="00137DAF">
        <w:rPr>
          <w:rFonts w:asciiTheme="minorHAnsi" w:eastAsia="MS PGothic" w:hAnsiTheme="minorHAnsi"/>
          <w:color w:val="000000"/>
          <w:sz w:val="22"/>
          <w:szCs w:val="22"/>
          <w:lang w:val="en-US"/>
        </w:rPr>
        <w:t xml:space="preserve">reducing </w:t>
      </w:r>
      <w:r w:rsidR="005F1012">
        <w:rPr>
          <w:rFonts w:asciiTheme="minorHAnsi" w:eastAsia="MS PGothic" w:hAnsiTheme="minorHAnsi"/>
          <w:color w:val="000000"/>
          <w:sz w:val="22"/>
          <w:szCs w:val="22"/>
          <w:lang w:val="en-US"/>
        </w:rPr>
        <w:t xml:space="preserve">the search space to a manageable size.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137DAF" w:rsidRDefault="00137DA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ART </w:t>
      </w:r>
      <w:r w:rsidRPr="00347807">
        <w:rPr>
          <w:rFonts w:asciiTheme="minorHAnsi" w:eastAsia="MS PGothic" w:hAnsiTheme="minorHAnsi"/>
          <w:color w:val="000000"/>
          <w:sz w:val="22"/>
          <w:szCs w:val="22"/>
          <w:lang w:val="en-US"/>
        </w:rPr>
        <w:t>algorithm</w:t>
      </w:r>
      <w:r>
        <w:rPr>
          <w:rFonts w:asciiTheme="minorHAnsi" w:eastAsia="MS PGothic" w:hAnsiTheme="minorHAnsi"/>
          <w:color w:val="000000"/>
          <w:sz w:val="22"/>
          <w:szCs w:val="22"/>
          <w:lang w:val="en-US"/>
        </w:rPr>
        <w:t xml:space="preserve"> was previously developed and explained by Walmsley et al. </w:t>
      </w:r>
      <w:r w:rsidRPr="00347807">
        <w:rPr>
          <w:rFonts w:ascii="Calibri" w:eastAsia="MS PGothic" w:hAnsi="Calibri" w:cs="Calibri"/>
          <w:sz w:val="22"/>
        </w:rPr>
        <w:t>[5]</w:t>
      </w:r>
      <w:r>
        <w:rPr>
          <w:rFonts w:asciiTheme="minorHAnsi" w:eastAsia="MS PGothic" w:hAnsiTheme="minorHAnsi"/>
          <w:color w:val="000000"/>
          <w:sz w:val="22"/>
          <w:szCs w:val="22"/>
          <w:lang w:val="en-US"/>
        </w:rPr>
        <w:t xml:space="preserve"> and further refined by Lal et al. </w:t>
      </w:r>
      <w:r w:rsidRPr="005F1012">
        <w:rPr>
          <w:rFonts w:ascii="Calibri" w:eastAsia="MS PGothic" w:hAnsi="Calibri" w:cs="Calibri"/>
          <w:sz w:val="22"/>
        </w:rPr>
        <w:t>[6]</w:t>
      </w:r>
      <w:r>
        <w:rPr>
          <w:rFonts w:asciiTheme="minorHAnsi" w:eastAsia="MS PGothic" w:hAnsiTheme="minorHAnsi"/>
          <w:color w:val="000000"/>
          <w:sz w:val="22"/>
          <w:szCs w:val="22"/>
          <w:lang w:val="en-US"/>
        </w:rPr>
        <w:t xml:space="preserve">. To main brevity, please refer to these works for method details. Two changes are proposed in this work. First, the extension implements an outer iterative loop to obtain multi-step retrofit solution, detailing the retrofit action required at each step. Second, the extension finds the Pareto optimal solutions using </w:t>
      </w:r>
    </w:p>
    <w:p w:rsidR="00EF213C" w:rsidRDefault="0070535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position w:val="-26"/>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31pt">
            <v:imagedata r:id="rId10" o:title=""/>
          </v:shape>
        </w:pict>
      </w:r>
      <w:r w:rsidR="00C43BE4">
        <w:rPr>
          <w:rFonts w:asciiTheme="minorHAnsi" w:eastAsia="MS PGothic" w:hAnsiTheme="minorHAnsi"/>
          <w:color w:val="000000"/>
          <w:sz w:val="22"/>
          <w:szCs w:val="22"/>
          <w:lang w:val="en-US"/>
        </w:rPr>
        <w:tab/>
      </w:r>
      <w:r w:rsidR="00C43BE4">
        <w:rPr>
          <w:rFonts w:asciiTheme="minorHAnsi" w:eastAsia="MS PGothic" w:hAnsiTheme="minorHAnsi"/>
          <w:color w:val="000000"/>
          <w:sz w:val="22"/>
          <w:szCs w:val="22"/>
          <w:lang w:val="en-US"/>
        </w:rPr>
        <w:tab/>
      </w:r>
      <w:r w:rsidR="00C43BE4">
        <w:rPr>
          <w:rFonts w:asciiTheme="minorHAnsi" w:eastAsia="MS PGothic" w:hAnsiTheme="minorHAnsi"/>
          <w:color w:val="000000"/>
          <w:sz w:val="22"/>
          <w:szCs w:val="22"/>
          <w:lang w:val="en-US"/>
        </w:rPr>
        <w:tab/>
        <w:t>(1)</w:t>
      </w:r>
    </w:p>
    <w:p w:rsidR="00C43BE4" w:rsidRDefault="00137DA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 xml:space="preserve">by varying values of </w:t>
      </w:r>
      <w:r w:rsidRPr="00C43BE4">
        <w:rPr>
          <w:rFonts w:asciiTheme="minorHAnsi" w:eastAsia="MS PGothic" w:hAnsiTheme="minorHAnsi"/>
          <w:i/>
          <w:color w:val="000000"/>
          <w:sz w:val="22"/>
          <w:szCs w:val="22"/>
          <w:lang w:val="en-US"/>
        </w:rPr>
        <w:t>k</w:t>
      </w:r>
      <w:r w:rsidR="00C43BE4">
        <w:rPr>
          <w:rFonts w:asciiTheme="minorHAnsi" w:eastAsia="MS PGothic" w:hAnsiTheme="minorHAnsi"/>
          <w:color w:val="000000"/>
          <w:sz w:val="22"/>
          <w:szCs w:val="22"/>
          <w:lang w:val="en-US"/>
        </w:rPr>
        <w:t xml:space="preserve"> and </w:t>
      </w:r>
      <w:r w:rsidR="00C43BE4" w:rsidRPr="00C43BE4">
        <w:rPr>
          <w:rFonts w:asciiTheme="minorHAnsi" w:eastAsia="MS PGothic" w:hAnsiTheme="minorHAnsi"/>
          <w:i/>
          <w:color w:val="000000"/>
          <w:sz w:val="22"/>
          <w:szCs w:val="22"/>
          <w:lang w:val="en-US"/>
        </w:rPr>
        <w:t>j</w:t>
      </w:r>
      <w:r>
        <w:rPr>
          <w:rFonts w:asciiTheme="minorHAnsi" w:eastAsia="MS PGothic" w:hAnsiTheme="minorHAnsi"/>
          <w:color w:val="000000"/>
          <w:sz w:val="22"/>
          <w:szCs w:val="22"/>
          <w:lang w:val="en-US"/>
        </w:rPr>
        <w:t xml:space="preserve"> </w:t>
      </w:r>
      <w:r w:rsidR="00BD6871">
        <w:rPr>
          <w:rFonts w:asciiTheme="minorHAnsi" w:eastAsia="MS PGothic" w:hAnsiTheme="minorHAnsi"/>
          <w:color w:val="000000"/>
          <w:sz w:val="22"/>
          <w:szCs w:val="22"/>
          <w:lang w:val="en-US"/>
        </w:rPr>
        <w:t>at steps of 0.</w:t>
      </w:r>
      <w:r>
        <w:rPr>
          <w:rFonts w:asciiTheme="minorHAnsi" w:eastAsia="MS PGothic" w:hAnsiTheme="minorHAnsi"/>
          <w:color w:val="000000"/>
          <w:sz w:val="22"/>
          <w:szCs w:val="22"/>
          <w:lang w:val="en-US"/>
        </w:rPr>
        <w:t xml:space="preserve">1. </w:t>
      </w:r>
      <w:r w:rsidR="00C43BE4">
        <w:rPr>
          <w:rFonts w:asciiTheme="minorHAnsi" w:eastAsia="MS PGothic" w:hAnsiTheme="minorHAnsi"/>
          <w:color w:val="000000"/>
          <w:sz w:val="22"/>
          <w:szCs w:val="22"/>
          <w:lang w:val="en-US"/>
        </w:rPr>
        <w:t xml:space="preserve">In Eq. 1, </w:t>
      </w:r>
      <w:r w:rsidR="00C43BE4" w:rsidRPr="00C43BE4">
        <w:rPr>
          <w:rFonts w:asciiTheme="minorHAnsi" w:eastAsia="MS PGothic" w:hAnsiTheme="minorHAnsi"/>
          <w:i/>
          <w:color w:val="000000"/>
          <w:sz w:val="22"/>
          <w:szCs w:val="22"/>
          <w:lang w:val="en-US"/>
        </w:rPr>
        <w:t>Q</w:t>
      </w:r>
      <w:r w:rsidR="00C43BE4">
        <w:rPr>
          <w:rFonts w:asciiTheme="minorHAnsi" w:eastAsia="MS PGothic" w:hAnsiTheme="minorHAnsi"/>
          <w:color w:val="000000"/>
          <w:sz w:val="22"/>
          <w:szCs w:val="22"/>
          <w:lang w:val="en-US"/>
        </w:rPr>
        <w:t xml:space="preserve"> is the heat savings, </w:t>
      </w:r>
      <w:r w:rsidR="00C43BE4" w:rsidRPr="00C43BE4">
        <w:rPr>
          <w:rFonts w:asciiTheme="minorHAnsi" w:eastAsia="MS PGothic" w:hAnsiTheme="minorHAnsi"/>
          <w:i/>
          <w:color w:val="000000"/>
          <w:sz w:val="22"/>
          <w:szCs w:val="22"/>
          <w:lang w:val="en-US"/>
        </w:rPr>
        <w:t>A</w:t>
      </w:r>
      <w:r w:rsidR="00C43BE4">
        <w:rPr>
          <w:rFonts w:asciiTheme="minorHAnsi" w:eastAsia="MS PGothic" w:hAnsiTheme="minorHAnsi"/>
          <w:color w:val="000000"/>
          <w:sz w:val="22"/>
          <w:szCs w:val="22"/>
          <w:lang w:val="en-US"/>
        </w:rPr>
        <w:t xml:space="preserve"> is the required new heat transfer area, and </w:t>
      </w:r>
      <w:r w:rsidR="00C43BE4" w:rsidRPr="00C43BE4">
        <w:rPr>
          <w:rFonts w:asciiTheme="minorHAnsi" w:eastAsia="MS PGothic" w:hAnsiTheme="minorHAnsi"/>
          <w:i/>
          <w:color w:val="000000"/>
          <w:sz w:val="22"/>
          <w:szCs w:val="22"/>
          <w:lang w:val="en-US"/>
        </w:rPr>
        <w:t>n</w:t>
      </w:r>
      <w:r w:rsidR="00C43BE4">
        <w:rPr>
          <w:rFonts w:asciiTheme="minorHAnsi" w:eastAsia="MS PGothic" w:hAnsiTheme="minorHAnsi"/>
          <w:color w:val="000000"/>
          <w:sz w:val="22"/>
          <w:szCs w:val="22"/>
          <w:lang w:val="en-US"/>
        </w:rPr>
        <w:t xml:space="preserve"> is the </w:t>
      </w:r>
      <w:r w:rsidR="00C43BE4" w:rsidRPr="00C97FA0">
        <w:rPr>
          <w:rFonts w:asciiTheme="minorHAnsi" w:eastAsia="MS PGothic" w:hAnsiTheme="minorHAnsi"/>
          <w:noProof/>
          <w:color w:val="000000"/>
          <w:sz w:val="22"/>
          <w:szCs w:val="22"/>
          <w:lang w:val="en-US"/>
        </w:rPr>
        <w:t>number</w:t>
      </w:r>
      <w:r w:rsidR="00C97FA0">
        <w:rPr>
          <w:rFonts w:asciiTheme="minorHAnsi" w:eastAsia="MS PGothic" w:hAnsiTheme="minorHAnsi"/>
          <w:noProof/>
          <w:color w:val="000000"/>
          <w:sz w:val="22"/>
          <w:szCs w:val="22"/>
          <w:lang w:val="en-US"/>
        </w:rPr>
        <w:t xml:space="preserve"> of</w:t>
      </w:r>
      <w:r w:rsidR="00C43BE4">
        <w:rPr>
          <w:rFonts w:asciiTheme="minorHAnsi" w:eastAsia="MS PGothic" w:hAnsiTheme="minorHAnsi"/>
          <w:color w:val="000000"/>
          <w:sz w:val="22"/>
          <w:szCs w:val="22"/>
          <w:lang w:val="en-US"/>
        </w:rPr>
        <w:t xml:space="preserve"> new heat exchanger units (modifications). The approach intentionally relied on non-economic results that are key dimensions that affect economics.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A7E0E" w:rsidRDefault="00911CF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This work re-examines the petrochemical case study of Walmsley et al. </w:t>
      </w:r>
      <w:r w:rsidRPr="00347807">
        <w:rPr>
          <w:rFonts w:ascii="Calibri" w:eastAsia="MS PGothic" w:hAnsi="Calibri" w:cs="Calibri"/>
          <w:sz w:val="22"/>
        </w:rPr>
        <w:t>[5]</w:t>
      </w:r>
      <w:r>
        <w:rPr>
          <w:rFonts w:ascii="Calibri" w:eastAsia="MS PGothic" w:hAnsi="Calibri" w:cs="Calibri"/>
          <w:sz w:val="22"/>
        </w:rPr>
        <w:t>. The number of retrofit “steps” was limited to 3</w:t>
      </w:r>
      <w:r w:rsidR="006064C4">
        <w:rPr>
          <w:rFonts w:ascii="Calibri" w:eastAsia="MS PGothic" w:hAnsi="Calibri" w:cs="Calibri"/>
          <w:sz w:val="22"/>
        </w:rPr>
        <w:t xml:space="preserve">. Figure 1 presents the results with the various colours representing each of the sequential steps with the “best” solution (i.e. the most profitable). The </w:t>
      </w:r>
      <w:r w:rsidR="006064C4" w:rsidRPr="00347807">
        <w:rPr>
          <w:rFonts w:asciiTheme="minorHAnsi" w:eastAsia="MS PGothic" w:hAnsiTheme="minorHAnsi"/>
          <w:color w:val="000000"/>
          <w:sz w:val="22"/>
          <w:szCs w:val="22"/>
          <w:lang w:val="en-US"/>
        </w:rPr>
        <w:t>algorithm</w:t>
      </w:r>
      <w:r w:rsidR="006064C4">
        <w:rPr>
          <w:rFonts w:asciiTheme="minorHAnsi" w:eastAsia="MS PGothic" w:hAnsiTheme="minorHAnsi"/>
          <w:color w:val="000000"/>
          <w:sz w:val="22"/>
          <w:szCs w:val="22"/>
          <w:lang w:val="en-US"/>
        </w:rPr>
        <w:t xml:space="preserve"> selected the retrofit option with the shortest payback (1.1 y) as the first step. The 48 possible first retrofit steps are not shown due to provide better clarity. </w:t>
      </w:r>
      <w:r w:rsidR="004A7E0E">
        <w:rPr>
          <w:rFonts w:asciiTheme="minorHAnsi" w:eastAsia="MS PGothic" w:hAnsiTheme="minorHAnsi"/>
          <w:color w:val="000000"/>
          <w:sz w:val="22"/>
          <w:szCs w:val="22"/>
          <w:lang w:val="en-US"/>
        </w:rPr>
        <w:t xml:space="preserve">Figure 1A shows the general trend that as successive retrofit steps are taken, the ratio Q/A decreases, </w:t>
      </w:r>
      <w:r w:rsidR="00C97FA0">
        <w:rPr>
          <w:rFonts w:asciiTheme="minorHAnsi" w:eastAsia="MS PGothic" w:hAnsiTheme="minorHAnsi"/>
          <w:color w:val="000000"/>
          <w:sz w:val="22"/>
          <w:szCs w:val="22"/>
          <w:lang w:val="en-US"/>
        </w:rPr>
        <w:t>i.e.</w:t>
      </w:r>
      <w:r w:rsidR="004A7E0E">
        <w:rPr>
          <w:rFonts w:asciiTheme="minorHAnsi" w:eastAsia="MS PGothic" w:hAnsiTheme="minorHAnsi"/>
          <w:color w:val="000000"/>
          <w:sz w:val="22"/>
          <w:szCs w:val="22"/>
          <w:lang w:val="en-US"/>
        </w:rPr>
        <w:t xml:space="preserve"> diminishing returns with </w:t>
      </w:r>
      <w:r w:rsidR="00C97FA0">
        <w:rPr>
          <w:rFonts w:asciiTheme="minorHAnsi" w:eastAsia="MS PGothic" w:hAnsiTheme="minorHAnsi"/>
          <w:color w:val="000000"/>
          <w:sz w:val="22"/>
          <w:szCs w:val="22"/>
          <w:lang w:val="en-US"/>
        </w:rPr>
        <w:t xml:space="preserve">the </w:t>
      </w:r>
      <w:r w:rsidR="004A7E0E" w:rsidRPr="00C97FA0">
        <w:rPr>
          <w:rFonts w:asciiTheme="minorHAnsi" w:eastAsia="MS PGothic" w:hAnsiTheme="minorHAnsi"/>
          <w:noProof/>
          <w:color w:val="000000"/>
          <w:sz w:val="22"/>
          <w:szCs w:val="22"/>
          <w:lang w:val="en-US"/>
        </w:rPr>
        <w:t>additional</w:t>
      </w:r>
      <w:r w:rsidR="004A7E0E">
        <w:rPr>
          <w:rFonts w:asciiTheme="minorHAnsi" w:eastAsia="MS PGothic" w:hAnsiTheme="minorHAnsi"/>
          <w:color w:val="000000"/>
          <w:sz w:val="22"/>
          <w:szCs w:val="22"/>
          <w:lang w:val="en-US"/>
        </w:rPr>
        <w:t xml:space="preserve"> area. </w:t>
      </w:r>
    </w:p>
    <w:p w:rsidR="00704BDF" w:rsidRPr="00DE0019" w:rsidRDefault="00911CF6" w:rsidP="00704BDF">
      <w:pPr>
        <w:snapToGrid w:val="0"/>
        <w:spacing w:after="120"/>
        <w:jc w:val="center"/>
        <w:rPr>
          <w:rFonts w:asciiTheme="minorHAnsi" w:eastAsia="MS PGothic" w:hAnsiTheme="minorHAnsi"/>
          <w:color w:val="000000"/>
        </w:rPr>
      </w:pPr>
      <w:r w:rsidRPr="00911CF6">
        <w:rPr>
          <w:rFonts w:eastAsia="MS PGothic"/>
          <w:noProof/>
        </w:rPr>
        <w:drawing>
          <wp:inline distT="0" distB="0" distL="0" distR="0">
            <wp:extent cx="5578475" cy="22250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t="3435" b="5379"/>
                    <a:stretch/>
                  </pic:blipFill>
                  <pic:spPr bwMode="auto">
                    <a:xfrm>
                      <a:off x="0" y="0"/>
                      <a:ext cx="5579745" cy="2225547"/>
                    </a:xfrm>
                    <a:prstGeom prst="rect">
                      <a:avLst/>
                    </a:prstGeom>
                    <a:noFill/>
                    <a:ln>
                      <a:noFill/>
                    </a:ln>
                    <a:extLst>
                      <a:ext uri="{53640926-AAD7-44D8-BBD7-CCE9431645EC}">
                        <a14:shadowObscured xmlns:a14="http://schemas.microsoft.com/office/drawing/2010/main"/>
                      </a:ext>
                    </a:extLst>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56092C">
        <w:rPr>
          <w:rFonts w:asciiTheme="minorHAnsi" w:hAnsiTheme="minorHAnsi"/>
          <w:lang w:val="en-US"/>
        </w:rPr>
        <w:t>Pareto front of Heat Exchanger Network retrofit options - (A) Trade-off between area and heat recovery duty. (B) Economic performance</w:t>
      </w:r>
      <w:bookmarkStart w:id="0" w:name="_GoBack"/>
      <w:bookmarkEnd w:id="0"/>
      <w:r w:rsidRPr="00DE0019">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681EC0" w:rsidRDefault="00C479D7"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extended multi-step </w:t>
      </w:r>
      <w:r w:rsidRPr="00347807">
        <w:rPr>
          <w:rFonts w:asciiTheme="minorHAnsi" w:eastAsia="MS PGothic" w:hAnsiTheme="minorHAnsi"/>
          <w:color w:val="000000"/>
          <w:sz w:val="22"/>
          <w:szCs w:val="22"/>
          <w:lang w:val="en-US"/>
        </w:rPr>
        <w:t>Automated Retrofit Targeting algorithm</w:t>
      </w:r>
      <w:r>
        <w:rPr>
          <w:rFonts w:asciiTheme="minorHAnsi" w:eastAsia="MS PGothic" w:hAnsiTheme="minorHAnsi"/>
          <w:color w:val="000000"/>
          <w:sz w:val="22"/>
          <w:szCs w:val="22"/>
          <w:lang w:val="en-US"/>
        </w:rPr>
        <w:t xml:space="preserve">, combined with </w:t>
      </w:r>
      <w:r w:rsidR="00C97FA0">
        <w:rPr>
          <w:rFonts w:asciiTheme="minorHAnsi" w:eastAsia="MS PGothic" w:hAnsiTheme="minorHAnsi"/>
          <w:color w:val="000000"/>
          <w:sz w:val="22"/>
          <w:szCs w:val="22"/>
          <w:lang w:val="en-US"/>
        </w:rPr>
        <w:t xml:space="preserve">the </w:t>
      </w:r>
      <w:r w:rsidRPr="00C97FA0">
        <w:rPr>
          <w:rFonts w:asciiTheme="minorHAnsi" w:eastAsia="MS PGothic" w:hAnsiTheme="minorHAnsi"/>
          <w:noProof/>
          <w:color w:val="000000"/>
          <w:sz w:val="22"/>
          <w:szCs w:val="22"/>
          <w:lang w:val="en-US"/>
        </w:rPr>
        <w:t>identification</w:t>
      </w:r>
      <w:r w:rsidR="00C97FA0">
        <w:rPr>
          <w:rFonts w:asciiTheme="minorHAnsi" w:eastAsia="MS PGothic" w:hAnsiTheme="minorHAnsi"/>
          <w:color w:val="000000"/>
          <w:sz w:val="22"/>
          <w:szCs w:val="22"/>
          <w:lang w:val="en-US"/>
        </w:rPr>
        <w:t xml:space="preserve"> of the Pareto front</w:t>
      </w:r>
      <w:r>
        <w:rPr>
          <w:rFonts w:asciiTheme="minorHAnsi" w:eastAsia="MS PGothic" w:hAnsiTheme="minorHAnsi"/>
          <w:color w:val="000000"/>
          <w:sz w:val="22"/>
          <w:szCs w:val="22"/>
          <w:lang w:val="en-US"/>
        </w:rPr>
        <w:t xml:space="preserve">, has enabled a new tool for retrofit investment planning. A petrochemical plant example is solved, providing multiple options for investment in Heat Exchanger Network </w:t>
      </w:r>
      <w:r w:rsidRPr="00911CF6">
        <w:rPr>
          <w:rFonts w:asciiTheme="minorHAnsi" w:eastAsia="MS PGothic" w:hAnsiTheme="minorHAnsi"/>
          <w:color w:val="000000"/>
          <w:sz w:val="22"/>
          <w:szCs w:val="22"/>
          <w:lang w:val="en-US"/>
        </w:rPr>
        <w:t xml:space="preserve">retrofit with an estimated final profit of </w:t>
      </w:r>
      <w:r w:rsidR="00911CF6" w:rsidRPr="00911CF6">
        <w:rPr>
          <w:rFonts w:asciiTheme="minorHAnsi" w:eastAsia="MS PGothic" w:hAnsiTheme="minorHAnsi"/>
          <w:color w:val="000000"/>
          <w:sz w:val="22"/>
          <w:szCs w:val="22"/>
          <w:lang w:val="en-US"/>
        </w:rPr>
        <w:t>1.3 M</w:t>
      </w:r>
      <w:r w:rsidRPr="00911CF6">
        <w:rPr>
          <w:rFonts w:asciiTheme="minorHAnsi" w:eastAsia="MS PGothic" w:hAnsiTheme="minorHAnsi"/>
          <w:color w:val="000000"/>
          <w:sz w:val="22"/>
          <w:szCs w:val="22"/>
          <w:lang w:val="en-US"/>
        </w:rPr>
        <w:t xml:space="preserve"> EUR/y and a payback of </w:t>
      </w:r>
      <w:r w:rsidR="00911CF6" w:rsidRPr="00911CF6">
        <w:rPr>
          <w:rFonts w:asciiTheme="minorHAnsi" w:eastAsia="MS PGothic" w:hAnsiTheme="minorHAnsi"/>
          <w:color w:val="000000"/>
          <w:sz w:val="22"/>
          <w:szCs w:val="22"/>
          <w:lang w:val="en-US"/>
        </w:rPr>
        <w:t>1.6</w:t>
      </w:r>
      <w:r w:rsidRPr="00911CF6">
        <w:rPr>
          <w:rFonts w:asciiTheme="minorHAnsi" w:eastAsia="MS PGothic" w:hAnsiTheme="minorHAnsi"/>
          <w:color w:val="000000"/>
          <w:sz w:val="22"/>
          <w:szCs w:val="22"/>
          <w:lang w:val="en-US"/>
        </w:rPr>
        <w:t xml:space="preserve"> y for the best solution.</w:t>
      </w:r>
      <w:r>
        <w:rPr>
          <w:rFonts w:asciiTheme="minorHAnsi" w:eastAsia="MS PGothic" w:hAnsiTheme="minorHAnsi"/>
          <w:color w:val="000000"/>
          <w:sz w:val="22"/>
          <w:szCs w:val="22"/>
          <w:lang w:val="en-US"/>
        </w:rPr>
        <w:t xml:space="preserve"> </w:t>
      </w:r>
      <w:r w:rsidR="00911CF6">
        <w:rPr>
          <w:rFonts w:asciiTheme="minorHAnsi" w:eastAsia="MS PGothic" w:hAnsiTheme="minorHAnsi"/>
          <w:color w:val="000000"/>
          <w:sz w:val="22"/>
          <w:szCs w:val="22"/>
          <w:lang w:val="en-US"/>
        </w:rPr>
        <w:t>With a heat savings of 7.3 MW, the estimated greenhouse gas emission reduction is 11,800 t/y.</w:t>
      </w:r>
    </w:p>
    <w:p w:rsidR="004A7E0E" w:rsidRPr="008D0BEB" w:rsidRDefault="004A7E0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new </w:t>
      </w:r>
      <w:r w:rsidRPr="00347807">
        <w:rPr>
          <w:rFonts w:asciiTheme="minorHAnsi" w:eastAsia="MS PGothic" w:hAnsiTheme="minorHAnsi"/>
          <w:color w:val="000000"/>
          <w:sz w:val="22"/>
          <w:szCs w:val="22"/>
          <w:lang w:val="en-US"/>
        </w:rPr>
        <w:t>Automated Retrofit Targeting algorithm</w:t>
      </w:r>
      <w:r>
        <w:rPr>
          <w:rFonts w:asciiTheme="minorHAnsi" w:eastAsia="MS PGothic" w:hAnsiTheme="minorHAnsi"/>
          <w:color w:val="000000"/>
          <w:sz w:val="22"/>
          <w:szCs w:val="22"/>
          <w:lang w:val="en-US"/>
        </w:rPr>
        <w:t xml:space="preserve"> has many facets that will continue to be developed in future work. Some directions include heat pump integration, lifecycle analysis, detailed heat exchanger design, and network simulation. </w:t>
      </w:r>
    </w:p>
    <w:p w:rsidR="00704BDF" w:rsidRPr="008D0BEB" w:rsidRDefault="00654628"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BC318D" w:rsidRPr="00BC318D" w:rsidRDefault="00BC318D" w:rsidP="00BC318D">
      <w:pPr>
        <w:pStyle w:val="Bibliography"/>
        <w:rPr>
          <w:rFonts w:ascii="Calibri" w:hAnsi="Calibri" w:cs="Calibri"/>
        </w:rPr>
      </w:pPr>
      <w:r w:rsidRPr="00BC318D">
        <w:rPr>
          <w:rFonts w:ascii="Calibri" w:hAnsi="Calibri" w:cs="Calibri"/>
        </w:rPr>
        <w:t>[1]</w:t>
      </w:r>
      <w:r w:rsidRPr="00BC318D">
        <w:rPr>
          <w:rFonts w:ascii="Calibri" w:hAnsi="Calibri" w:cs="Calibri"/>
        </w:rPr>
        <w:tab/>
        <w:t xml:space="preserve">L. Čuček, S. Boldyryev, J.J. Klemeš, Z. Kravanja, G. Krajačić, P.S. Varbanov, N. </w:t>
      </w:r>
      <w:proofErr w:type="spellStart"/>
      <w:r w:rsidRPr="00BC318D">
        <w:rPr>
          <w:rFonts w:ascii="Calibri" w:hAnsi="Calibri" w:cs="Calibri"/>
        </w:rPr>
        <w:t>Duić</w:t>
      </w:r>
      <w:proofErr w:type="spellEnd"/>
      <w:r w:rsidRPr="00BC318D">
        <w:rPr>
          <w:rFonts w:ascii="Calibri" w:hAnsi="Calibri" w:cs="Calibri"/>
        </w:rPr>
        <w:t>, J</w:t>
      </w:r>
      <w:r w:rsidR="00681EC0">
        <w:rPr>
          <w:rFonts w:ascii="Calibri" w:hAnsi="Calibri" w:cs="Calibri"/>
        </w:rPr>
        <w:t xml:space="preserve">ournal of </w:t>
      </w:r>
      <w:r w:rsidRPr="00BC318D">
        <w:rPr>
          <w:rFonts w:ascii="Calibri" w:hAnsi="Calibri" w:cs="Calibri"/>
        </w:rPr>
        <w:t>Clean</w:t>
      </w:r>
      <w:r w:rsidR="00681EC0">
        <w:rPr>
          <w:rFonts w:ascii="Calibri" w:hAnsi="Calibri" w:cs="Calibri"/>
        </w:rPr>
        <w:t>er</w:t>
      </w:r>
      <w:r w:rsidRPr="00BC318D">
        <w:rPr>
          <w:rFonts w:ascii="Calibri" w:hAnsi="Calibri" w:cs="Calibri"/>
        </w:rPr>
        <w:t xml:space="preserve"> Prod</w:t>
      </w:r>
      <w:r w:rsidR="00681EC0">
        <w:rPr>
          <w:rFonts w:ascii="Calibri" w:hAnsi="Calibri" w:cs="Calibri"/>
        </w:rPr>
        <w:t>uction</w:t>
      </w:r>
      <w:r w:rsidRPr="00BC318D">
        <w:rPr>
          <w:rFonts w:ascii="Calibri" w:hAnsi="Calibri" w:cs="Calibri"/>
        </w:rPr>
        <w:t xml:space="preserve"> 211 (2019) 884–894.</w:t>
      </w:r>
    </w:p>
    <w:p w:rsidR="00BC318D" w:rsidRPr="00BC318D" w:rsidRDefault="00BC318D" w:rsidP="00BC318D">
      <w:pPr>
        <w:pStyle w:val="Bibliography"/>
        <w:rPr>
          <w:rFonts w:ascii="Calibri" w:hAnsi="Calibri" w:cs="Calibri"/>
        </w:rPr>
      </w:pPr>
      <w:r w:rsidRPr="00BC318D">
        <w:rPr>
          <w:rFonts w:ascii="Calibri" w:hAnsi="Calibri" w:cs="Calibri"/>
        </w:rPr>
        <w:t>[2]</w:t>
      </w:r>
      <w:r w:rsidRPr="00BC318D">
        <w:rPr>
          <w:rFonts w:ascii="Calibri" w:hAnsi="Calibri" w:cs="Calibri"/>
        </w:rPr>
        <w:tab/>
        <w:t>Y.Q. Lai, Z.A. Manan, S.R. Wan Alwi, Energy 155 (2018) 1113–1128.</w:t>
      </w:r>
    </w:p>
    <w:p w:rsidR="00BC318D" w:rsidRPr="00BC318D" w:rsidRDefault="00BC318D" w:rsidP="00BC318D">
      <w:pPr>
        <w:pStyle w:val="Bibliography"/>
        <w:rPr>
          <w:rFonts w:ascii="Calibri" w:hAnsi="Calibri" w:cs="Calibri"/>
        </w:rPr>
      </w:pPr>
      <w:r w:rsidRPr="00BC318D">
        <w:rPr>
          <w:rFonts w:ascii="Calibri" w:hAnsi="Calibri" w:cs="Calibri"/>
        </w:rPr>
        <w:t>[3]</w:t>
      </w:r>
      <w:r w:rsidRPr="00BC318D">
        <w:rPr>
          <w:rFonts w:ascii="Calibri" w:hAnsi="Calibri" w:cs="Calibri"/>
        </w:rPr>
        <w:tab/>
        <w:t>J.-C. Bonhivers, B. Srinivasan, P.R. Stuart, Applied Thermal Engineering 119 (2017) 659–669.</w:t>
      </w:r>
    </w:p>
    <w:p w:rsidR="00BC318D" w:rsidRPr="00BC318D" w:rsidRDefault="00BC318D" w:rsidP="00BC318D">
      <w:pPr>
        <w:pStyle w:val="Bibliography"/>
        <w:rPr>
          <w:rFonts w:ascii="Calibri" w:hAnsi="Calibri" w:cs="Calibri"/>
        </w:rPr>
      </w:pPr>
      <w:r w:rsidRPr="00BC318D">
        <w:rPr>
          <w:rFonts w:ascii="Calibri" w:hAnsi="Calibri" w:cs="Calibri"/>
        </w:rPr>
        <w:t>[4]</w:t>
      </w:r>
      <w:r w:rsidRPr="00BC318D">
        <w:rPr>
          <w:rFonts w:ascii="Calibri" w:hAnsi="Calibri" w:cs="Calibri"/>
        </w:rPr>
        <w:tab/>
        <w:t>N. Jiang, W. Han, F. Guo, H. Yu, Y. Xu, N. Mao, Energy Conversion and Management 177 (2018) 477–492.</w:t>
      </w:r>
    </w:p>
    <w:p w:rsidR="00BC318D" w:rsidRPr="00BC318D" w:rsidRDefault="00BC318D" w:rsidP="00BC318D">
      <w:pPr>
        <w:pStyle w:val="Bibliography"/>
        <w:rPr>
          <w:rFonts w:ascii="Calibri" w:hAnsi="Calibri" w:cs="Calibri"/>
        </w:rPr>
      </w:pPr>
      <w:r w:rsidRPr="00BC318D">
        <w:rPr>
          <w:rFonts w:ascii="Calibri" w:hAnsi="Calibri" w:cs="Calibri"/>
        </w:rPr>
        <w:t>[5]</w:t>
      </w:r>
      <w:r w:rsidRPr="00BC318D">
        <w:rPr>
          <w:rFonts w:ascii="Calibri" w:hAnsi="Calibri" w:cs="Calibri"/>
        </w:rPr>
        <w:tab/>
        <w:t xml:space="preserve">T.G. Walmsley, N.S. Lal, P.S. Varbanov, J.J. Klemeš, Frontiers of Chemical Science and Engineering </w:t>
      </w:r>
      <w:r w:rsidR="00681EC0">
        <w:rPr>
          <w:rFonts w:ascii="Calibri" w:hAnsi="Calibri" w:cs="Calibri"/>
        </w:rPr>
        <w:t xml:space="preserve">12 </w:t>
      </w:r>
      <w:r w:rsidRPr="00BC318D">
        <w:rPr>
          <w:rFonts w:ascii="Calibri" w:hAnsi="Calibri" w:cs="Calibri"/>
        </w:rPr>
        <w:t>(2018)</w:t>
      </w:r>
      <w:r w:rsidR="00681EC0">
        <w:rPr>
          <w:rFonts w:ascii="Calibri" w:hAnsi="Calibri" w:cs="Calibri"/>
        </w:rPr>
        <w:t xml:space="preserve"> </w:t>
      </w:r>
      <w:r w:rsidR="00681EC0" w:rsidRPr="00681EC0">
        <w:rPr>
          <w:rFonts w:ascii="Calibri" w:hAnsi="Calibri" w:cs="Calibri"/>
        </w:rPr>
        <w:t>630–642</w:t>
      </w:r>
      <w:r w:rsidRPr="00BC318D">
        <w:rPr>
          <w:rFonts w:ascii="Calibri" w:hAnsi="Calibri" w:cs="Calibri"/>
        </w:rPr>
        <w:t>.</w:t>
      </w:r>
    </w:p>
    <w:p w:rsidR="00BD6871" w:rsidRPr="00681EC0" w:rsidRDefault="00BC318D" w:rsidP="00681EC0">
      <w:pPr>
        <w:pStyle w:val="Bibliography"/>
        <w:rPr>
          <w:rFonts w:ascii="Calibri" w:hAnsi="Calibri" w:cs="Calibri"/>
        </w:rPr>
      </w:pPr>
      <w:r w:rsidRPr="00BC318D">
        <w:rPr>
          <w:rFonts w:ascii="Calibri" w:hAnsi="Calibri" w:cs="Calibri"/>
        </w:rPr>
        <w:t>[6]</w:t>
      </w:r>
      <w:r w:rsidRPr="00BC318D">
        <w:rPr>
          <w:rFonts w:ascii="Calibri" w:hAnsi="Calibri" w:cs="Calibri"/>
        </w:rPr>
        <w:tab/>
        <w:t>N.S. Lal, T.G. Walmsley, M.J. Atkins, M.R.W. Walmsley, J.R. Neale, 1 70 (2018) 1951–1956.</w:t>
      </w:r>
    </w:p>
    <w:sectPr w:rsidR="00BD6871" w:rsidRPr="00681EC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356" w:rsidRDefault="00705356" w:rsidP="004F5E36">
      <w:r>
        <w:separator/>
      </w:r>
    </w:p>
  </w:endnote>
  <w:endnote w:type="continuationSeparator" w:id="0">
    <w:p w:rsidR="00705356" w:rsidRDefault="0070535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356" w:rsidRDefault="00705356" w:rsidP="004F5E36">
      <w:r>
        <w:separator/>
      </w:r>
    </w:p>
  </w:footnote>
  <w:footnote w:type="continuationSeparator" w:id="0">
    <w:p w:rsidR="00705356" w:rsidRDefault="00705356"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xNDC0NDUxMDU3tzRR0lEKTi0uzszPAymwqAUADzJN6ywAAAA="/>
  </w:docVars>
  <w:rsids>
    <w:rsidRoot w:val="000E414A"/>
    <w:rsid w:val="000027C0"/>
    <w:rsid w:val="000117CB"/>
    <w:rsid w:val="0003148D"/>
    <w:rsid w:val="000530CE"/>
    <w:rsid w:val="00062A9A"/>
    <w:rsid w:val="000A03B2"/>
    <w:rsid w:val="000C1124"/>
    <w:rsid w:val="000D34BE"/>
    <w:rsid w:val="000E36F1"/>
    <w:rsid w:val="000E3A73"/>
    <w:rsid w:val="000E414A"/>
    <w:rsid w:val="0013121F"/>
    <w:rsid w:val="00134DE4"/>
    <w:rsid w:val="00137DAF"/>
    <w:rsid w:val="00150E59"/>
    <w:rsid w:val="00182FCF"/>
    <w:rsid w:val="00184AD6"/>
    <w:rsid w:val="001B65C1"/>
    <w:rsid w:val="001C684B"/>
    <w:rsid w:val="001D53FC"/>
    <w:rsid w:val="001F2EC7"/>
    <w:rsid w:val="002065DB"/>
    <w:rsid w:val="002447EF"/>
    <w:rsid w:val="00251550"/>
    <w:rsid w:val="00266984"/>
    <w:rsid w:val="0027221A"/>
    <w:rsid w:val="00275B61"/>
    <w:rsid w:val="00277C57"/>
    <w:rsid w:val="002D1F12"/>
    <w:rsid w:val="002E4947"/>
    <w:rsid w:val="003009B7"/>
    <w:rsid w:val="0030469C"/>
    <w:rsid w:val="00347807"/>
    <w:rsid w:val="003723D4"/>
    <w:rsid w:val="003747D5"/>
    <w:rsid w:val="003A7D1C"/>
    <w:rsid w:val="003D4B70"/>
    <w:rsid w:val="004018FD"/>
    <w:rsid w:val="004551B4"/>
    <w:rsid w:val="0046164A"/>
    <w:rsid w:val="00462DCD"/>
    <w:rsid w:val="004A7E0E"/>
    <w:rsid w:val="004D1162"/>
    <w:rsid w:val="004E4DD6"/>
    <w:rsid w:val="004F5E36"/>
    <w:rsid w:val="005119A5"/>
    <w:rsid w:val="005278B7"/>
    <w:rsid w:val="005346C8"/>
    <w:rsid w:val="00543F4D"/>
    <w:rsid w:val="0056092C"/>
    <w:rsid w:val="00565F33"/>
    <w:rsid w:val="00577104"/>
    <w:rsid w:val="00594E9F"/>
    <w:rsid w:val="005A7866"/>
    <w:rsid w:val="005B61E6"/>
    <w:rsid w:val="005C77E1"/>
    <w:rsid w:val="005D4D08"/>
    <w:rsid w:val="005D6A2F"/>
    <w:rsid w:val="005E1A82"/>
    <w:rsid w:val="005F0A28"/>
    <w:rsid w:val="005F0E5E"/>
    <w:rsid w:val="005F1012"/>
    <w:rsid w:val="006005AC"/>
    <w:rsid w:val="006064C4"/>
    <w:rsid w:val="00613A95"/>
    <w:rsid w:val="00620DEE"/>
    <w:rsid w:val="00625639"/>
    <w:rsid w:val="0064184D"/>
    <w:rsid w:val="00654628"/>
    <w:rsid w:val="00660E3E"/>
    <w:rsid w:val="00662E74"/>
    <w:rsid w:val="00681EC0"/>
    <w:rsid w:val="006A58D2"/>
    <w:rsid w:val="006A719A"/>
    <w:rsid w:val="006C5579"/>
    <w:rsid w:val="00704BDF"/>
    <w:rsid w:val="00705356"/>
    <w:rsid w:val="00736B13"/>
    <w:rsid w:val="007447F3"/>
    <w:rsid w:val="007661C8"/>
    <w:rsid w:val="007D52CD"/>
    <w:rsid w:val="00813288"/>
    <w:rsid w:val="008168FC"/>
    <w:rsid w:val="008479A2"/>
    <w:rsid w:val="0087637F"/>
    <w:rsid w:val="008A1512"/>
    <w:rsid w:val="008D0BEB"/>
    <w:rsid w:val="008E566E"/>
    <w:rsid w:val="00901EB6"/>
    <w:rsid w:val="00911CF6"/>
    <w:rsid w:val="009450CE"/>
    <w:rsid w:val="0095164B"/>
    <w:rsid w:val="00996483"/>
    <w:rsid w:val="00996608"/>
    <w:rsid w:val="009A0435"/>
    <w:rsid w:val="009E788A"/>
    <w:rsid w:val="00A1763D"/>
    <w:rsid w:val="00A17CEC"/>
    <w:rsid w:val="00A27EF0"/>
    <w:rsid w:val="00A76EFC"/>
    <w:rsid w:val="00A9626B"/>
    <w:rsid w:val="00A97F29"/>
    <w:rsid w:val="00AB0964"/>
    <w:rsid w:val="00AE377D"/>
    <w:rsid w:val="00B61DBF"/>
    <w:rsid w:val="00BC30C9"/>
    <w:rsid w:val="00BC318D"/>
    <w:rsid w:val="00BD6871"/>
    <w:rsid w:val="00BE3E58"/>
    <w:rsid w:val="00C01616"/>
    <w:rsid w:val="00C0162B"/>
    <w:rsid w:val="00C345B1"/>
    <w:rsid w:val="00C40142"/>
    <w:rsid w:val="00C43BE4"/>
    <w:rsid w:val="00C479D7"/>
    <w:rsid w:val="00C57182"/>
    <w:rsid w:val="00C655FD"/>
    <w:rsid w:val="00C867B1"/>
    <w:rsid w:val="00C94434"/>
    <w:rsid w:val="00C97FA0"/>
    <w:rsid w:val="00CA1C95"/>
    <w:rsid w:val="00CA5A9C"/>
    <w:rsid w:val="00CD5FE2"/>
    <w:rsid w:val="00D02B4C"/>
    <w:rsid w:val="00D84576"/>
    <w:rsid w:val="00DE0019"/>
    <w:rsid w:val="00DE264A"/>
    <w:rsid w:val="00E041E7"/>
    <w:rsid w:val="00E23CA1"/>
    <w:rsid w:val="00E409A8"/>
    <w:rsid w:val="00E7209D"/>
    <w:rsid w:val="00EA50E1"/>
    <w:rsid w:val="00EE0131"/>
    <w:rsid w:val="00EF213C"/>
    <w:rsid w:val="00F20B1E"/>
    <w:rsid w:val="00F30C64"/>
    <w:rsid w:val="00F40432"/>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872FD"/>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unhideWhenUsed/>
    <w:rsid w:val="00654628"/>
    <w:pPr>
      <w:tabs>
        <w:tab w:val="clear" w:pos="7100"/>
        <w:tab w:val="left" w:pos="384"/>
      </w:tabs>
      <w:spacing w:line="240" w:lineRule="auto"/>
      <w:ind w:left="641" w:hanging="641"/>
    </w:pPr>
    <w:rPr>
      <w:rFonts w:asciiTheme="minorHAnsi" w:hAnsiTheme="minorHAnsi"/>
      <w:sz w:val="20"/>
    </w:r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C7E7-8323-41BD-8138-405293E2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4294</Characters>
  <Application>Microsoft Office Word</Application>
  <DocSecurity>0</DocSecurity>
  <Lines>35</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TW</cp:lastModifiedBy>
  <cp:revision>2</cp:revision>
  <cp:lastPrinted>2015-05-12T18:31:00Z</cp:lastPrinted>
  <dcterms:created xsi:type="dcterms:W3CDTF">2019-05-30T08:13:00Z</dcterms:created>
  <dcterms:modified xsi:type="dcterms:W3CDTF">2019-05-30T08:13:00Z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id="0Owyi8zQ"/&gt;&lt;style id="http://www.zotero.org/styles/elsevier-without-titles" hasBibliography="1" bibliographyStyleHasBeenSet="1"/&gt;&lt;prefs&gt;&lt;pref name="fieldType" value="Field"/&gt;&lt;pref name="storeR</vt:lpwstr>
  </property>
  <property fmtid="{D5CDD505-2E9C-101B-9397-08002B2CF9AE}" pid="3" name="ZOTERO_PREF_2">
    <vt:lpwstr>eferences" value="true"/&gt;&lt;pref name="automaticJournalAbbreviations" value=""/&gt;&lt;pref name="noteType" value=""/&gt;&lt;/prefs&gt;&lt;/data&gt;</vt:lpwstr>
  </property>
</Properties>
</file>