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D9" w:rsidRPr="00B705D9" w:rsidRDefault="00B705D9" w:rsidP="00B705D9">
      <w:pPr>
        <w:keepNext/>
        <w:tabs>
          <w:tab w:val="right" w:pos="9070"/>
        </w:tabs>
        <w:suppressAutoHyphens/>
        <w:spacing w:after="120" w:line="264" w:lineRule="auto"/>
        <w:jc w:val="both"/>
        <w:rPr>
          <w:rFonts w:ascii="Arial" w:eastAsia="Times New Roman" w:hAnsi="Arial" w:cs="Times New Roman"/>
          <w:noProof/>
          <w:sz w:val="24"/>
          <w:szCs w:val="20"/>
          <w:lang w:val="en-US"/>
        </w:rPr>
        <w:sectPr w:rsidR="00B705D9" w:rsidRPr="00B705D9" w:rsidSect="00B705D9">
          <w:headerReference w:type="default" r:id="rId7"/>
          <w:headerReference w:type="first" r:id="rId8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B705D9" w:rsidRPr="00B705D9" w:rsidRDefault="00B705D9" w:rsidP="00B7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705D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B705D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br/>
      </w:r>
    </w:p>
    <w:p w:rsidR="00B705D9" w:rsidRPr="00B705D9" w:rsidRDefault="00B705D9" w:rsidP="00B705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b/>
          <w:color w:val="000000"/>
          <w:sz w:val="28"/>
          <w:szCs w:val="20"/>
          <w:lang w:val="en-GB"/>
        </w:rPr>
        <w:t xml:space="preserve">Oxidative coupling of methane: performance comparison of powdered, pelletized and 3D </w:t>
      </w:r>
      <w:r w:rsidR="006C4CE9">
        <w:rPr>
          <w:rFonts w:ascii="Calibri" w:eastAsia="Times New Roman" w:hAnsi="Calibri" w:cs="Times New Roman"/>
          <w:b/>
          <w:color w:val="000000"/>
          <w:sz w:val="28"/>
          <w:szCs w:val="20"/>
          <w:lang w:val="en-GB"/>
        </w:rPr>
        <w:t>printed</w:t>
      </w:r>
      <w:r w:rsidRPr="00B705D9">
        <w:rPr>
          <w:rFonts w:ascii="Calibri" w:eastAsia="Times New Roman" w:hAnsi="Calibri" w:cs="Times New Roman"/>
          <w:b/>
          <w:color w:val="000000"/>
          <w:sz w:val="28"/>
          <w:szCs w:val="20"/>
          <w:lang w:val="en-GB"/>
        </w:rPr>
        <w:t xml:space="preserve"> catalysts </w:t>
      </w:r>
      <w:r w:rsidRPr="00B705D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t>at</w:t>
      </w:r>
      <w:r w:rsidR="006C4CE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B705D9">
        <w:rPr>
          <w:rFonts w:ascii="Calibri" w:eastAsia="Times New Roman" w:hAnsi="Calibri" w:cs="Times New Roman"/>
          <w:b/>
          <w:color w:val="000000"/>
          <w:sz w:val="28"/>
          <w:szCs w:val="20"/>
          <w:lang w:val="en-GB"/>
        </w:rPr>
        <w:t>miniplant scale</w:t>
      </w:r>
    </w:p>
    <w:p w:rsidR="00B705D9" w:rsidRPr="00B705D9" w:rsidRDefault="00B705D9" w:rsidP="00B705D9">
      <w:pPr>
        <w:tabs>
          <w:tab w:val="right" w:pos="7100"/>
        </w:tabs>
        <w:snapToGrid w:val="0"/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nl-NL"/>
        </w:rPr>
      </w:pPr>
      <w:r w:rsidRPr="00B705D9">
        <w:rPr>
          <w:rFonts w:ascii="Calibri" w:eastAsia="Times New Roman" w:hAnsi="Calibri" w:cs="Times New Roman"/>
          <w:color w:val="000000"/>
          <w:sz w:val="24"/>
          <w:szCs w:val="20"/>
          <w:u w:val="single"/>
          <w:lang w:val="nl-NL"/>
        </w:rPr>
        <w:t>Tim Karsten</w:t>
      </w:r>
      <w:r w:rsidRPr="00162058">
        <w:rPr>
          <w:rFonts w:ascii="Calibri" w:eastAsia="Times New Roman" w:hAnsi="Calibri" w:cs="Times New Roman"/>
          <w:color w:val="000000"/>
          <w:sz w:val="24"/>
          <w:szCs w:val="20"/>
          <w:vertAlign w:val="superscript"/>
          <w:lang w:val="nl-NL"/>
        </w:rPr>
        <w:t>1</w:t>
      </w:r>
      <w:r w:rsidRPr="00B705D9">
        <w:rPr>
          <w:rFonts w:ascii="Calibri" w:eastAsia="Times New Roman" w:hAnsi="Calibri" w:cs="Times New Roman"/>
          <w:color w:val="000000"/>
          <w:sz w:val="24"/>
          <w:szCs w:val="20"/>
          <w:lang w:val="nl-NL"/>
        </w:rPr>
        <w:t xml:space="preserve">, Vesna </w:t>
      </w:r>
      <w:r w:rsidRPr="00162058">
        <w:rPr>
          <w:rFonts w:ascii="Calibri" w:eastAsia="SimSun" w:hAnsi="Calibri" w:cs="Times New Roman"/>
          <w:color w:val="000000"/>
          <w:sz w:val="24"/>
          <w:szCs w:val="24"/>
          <w:lang w:val="en-GB" w:eastAsia="zh-CN"/>
        </w:rPr>
        <w:t>Middelkoop</w:t>
      </w:r>
      <w:r w:rsidRPr="00B705D9">
        <w:rPr>
          <w:rFonts w:ascii="Calibri" w:eastAsia="Times New Roman" w:hAnsi="Calibri" w:cs="Times New Roman"/>
          <w:color w:val="000000"/>
          <w:sz w:val="24"/>
          <w:szCs w:val="20"/>
          <w:lang w:val="nl-NL"/>
        </w:rPr>
        <w:t xml:space="preserve">², </w:t>
      </w:r>
      <w:r w:rsidR="00162058">
        <w:rPr>
          <w:rFonts w:ascii="Calibri" w:eastAsia="Times New Roman" w:hAnsi="Calibri" w:cs="Times New Roman"/>
          <w:color w:val="000000"/>
          <w:sz w:val="24"/>
          <w:szCs w:val="20"/>
          <w:lang w:val="nl-NL"/>
        </w:rPr>
        <w:t>Hamid Reza Godini</w:t>
      </w:r>
      <w:r w:rsidR="00162058" w:rsidRPr="00162058">
        <w:rPr>
          <w:rFonts w:ascii="Calibri" w:eastAsia="Times New Roman" w:hAnsi="Calibri" w:cs="Times New Roman"/>
          <w:color w:val="000000"/>
          <w:sz w:val="24"/>
          <w:szCs w:val="20"/>
          <w:vertAlign w:val="superscript"/>
          <w:lang w:val="nl-NL"/>
        </w:rPr>
        <w:t>3</w:t>
      </w:r>
      <w:r w:rsidR="00162058">
        <w:rPr>
          <w:rFonts w:ascii="Calibri" w:eastAsia="Times New Roman" w:hAnsi="Calibri" w:cs="Times New Roman"/>
          <w:color w:val="000000"/>
          <w:sz w:val="24"/>
          <w:szCs w:val="20"/>
          <w:lang w:val="nl-NL"/>
        </w:rPr>
        <w:t xml:space="preserve">, </w:t>
      </w:r>
      <w:r w:rsidRPr="00B705D9">
        <w:rPr>
          <w:rFonts w:ascii="Calibri" w:eastAsia="Times New Roman" w:hAnsi="Calibri" w:cs="Times New Roman"/>
          <w:color w:val="000000"/>
          <w:sz w:val="24"/>
          <w:szCs w:val="20"/>
          <w:lang w:val="nl-NL"/>
        </w:rPr>
        <w:t>Jens Uwe Repke</w:t>
      </w:r>
      <w:r w:rsidRPr="00162058">
        <w:rPr>
          <w:rFonts w:ascii="Calibri" w:eastAsia="Times New Roman" w:hAnsi="Calibri" w:cs="Times New Roman"/>
          <w:color w:val="000000"/>
          <w:sz w:val="24"/>
          <w:szCs w:val="20"/>
          <w:vertAlign w:val="superscript"/>
          <w:lang w:val="nl-NL"/>
        </w:rPr>
        <w:t>1</w:t>
      </w:r>
    </w:p>
    <w:p w:rsidR="00162058" w:rsidRDefault="00B705D9" w:rsidP="00162058">
      <w:pPr>
        <w:spacing w:after="120" w:line="240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</w:pPr>
      <w:r w:rsidRPr="00162058">
        <w:rPr>
          <w:rFonts w:ascii="Calibri" w:eastAsia="Times New Roman" w:hAnsi="Calibri" w:cs="Times New Roman"/>
          <w:i/>
          <w:color w:val="000000"/>
          <w:sz w:val="20"/>
          <w:szCs w:val="20"/>
          <w:vertAlign w:val="superscript"/>
          <w:lang w:val="en-GB"/>
        </w:rPr>
        <w:t>1</w:t>
      </w:r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 xml:space="preserve">Process Dynamics and Operation Group, Sekr, KWT-9, </w:t>
      </w:r>
      <w:proofErr w:type="spellStart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Technische</w:t>
      </w:r>
      <w:proofErr w:type="spellEnd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Universität</w:t>
      </w:r>
      <w:proofErr w:type="spellEnd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 xml:space="preserve"> Berlin, Germany. </w:t>
      </w:r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br/>
        <w:t xml:space="preserve">²Flemish Institute for Technological Research, VITO NV, </w:t>
      </w:r>
      <w:proofErr w:type="spellStart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Boeretang</w:t>
      </w:r>
      <w:proofErr w:type="spellEnd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 xml:space="preserve"> 200, </w:t>
      </w:r>
      <w:proofErr w:type="spellStart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Mol</w:t>
      </w:r>
      <w:proofErr w:type="spellEnd"/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, Belgium.</w:t>
      </w:r>
      <w:r w:rsidR="00162058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br/>
      </w:r>
      <w:r w:rsidR="00162058" w:rsidRPr="00162058">
        <w:rPr>
          <w:rFonts w:ascii="Calibri" w:eastAsia="Times New Roman" w:hAnsi="Calibri" w:cs="Times New Roman"/>
          <w:i/>
          <w:color w:val="000000"/>
          <w:sz w:val="20"/>
          <w:szCs w:val="20"/>
          <w:vertAlign w:val="superscript"/>
          <w:lang w:val="en-GB"/>
        </w:rPr>
        <w:t>3</w:t>
      </w:r>
      <w:r w:rsidR="00162058" w:rsidRPr="00162058">
        <w:rPr>
          <w:lang w:val="en-US"/>
        </w:rPr>
        <w:t xml:space="preserve"> </w:t>
      </w:r>
      <w:r w:rsidR="00162058" w:rsidRPr="00162058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 xml:space="preserve">Dept. Chemical Engineering and Chemistry, Eindhoven University of Technology, Eindhoven, </w:t>
      </w:r>
      <w:proofErr w:type="gramStart"/>
      <w:r w:rsidR="00162058" w:rsidRPr="00162058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The</w:t>
      </w:r>
      <w:proofErr w:type="gramEnd"/>
      <w:r w:rsidR="00162058" w:rsidRPr="00162058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 xml:space="preserve"> Netherlands.</w:t>
      </w:r>
    </w:p>
    <w:p w:rsidR="00162058" w:rsidRPr="00B705D9" w:rsidRDefault="00162058" w:rsidP="00B705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B705D9" w:rsidRPr="00B705D9" w:rsidRDefault="00B705D9" w:rsidP="00B70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i/>
          <w:color w:val="000000"/>
          <w:sz w:val="20"/>
          <w:szCs w:val="20"/>
          <w:lang w:val="en-GB"/>
        </w:rPr>
        <w:t>*Corresponding author: tim.karsten@tu-berlin.de</w:t>
      </w:r>
    </w:p>
    <w:p w:rsidR="00B705D9" w:rsidRPr="00B705D9" w:rsidRDefault="00B705D9" w:rsidP="00B705D9">
      <w:pPr>
        <w:spacing w:before="24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b/>
          <w:i/>
          <w:color w:val="000000"/>
          <w:sz w:val="20"/>
          <w:szCs w:val="20"/>
          <w:lang w:val="en-GB"/>
        </w:rPr>
        <w:t>Highlights</w:t>
      </w:r>
    </w:p>
    <w:p w:rsidR="00B705D9" w:rsidRPr="00B705D9" w:rsidRDefault="00B705D9" w:rsidP="00B705D9">
      <w:pPr>
        <w:numPr>
          <w:ilvl w:val="0"/>
          <w:numId w:val="1"/>
        </w:numPr>
        <w:tabs>
          <w:tab w:val="right" w:pos="7100"/>
        </w:tabs>
        <w:spacing w:after="0" w:line="240" w:lineRule="auto"/>
        <w:ind w:left="1440" w:right="720"/>
        <w:jc w:val="both"/>
        <w:textAlignment w:val="baseline"/>
        <w:rPr>
          <w:rFonts w:ascii="Calibri" w:eastAsia="Times New Roman" w:hAnsi="Calibri" w:cs="Times New Roman"/>
          <w:sz w:val="18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>3D structured catalysts show promising performance and low pressure drop</w:t>
      </w:r>
    </w:p>
    <w:p w:rsidR="00B705D9" w:rsidRPr="00B705D9" w:rsidRDefault="00B705D9" w:rsidP="00B705D9">
      <w:pPr>
        <w:numPr>
          <w:ilvl w:val="0"/>
          <w:numId w:val="1"/>
        </w:numPr>
        <w:tabs>
          <w:tab w:val="right" w:pos="7100"/>
        </w:tabs>
        <w:spacing w:after="0" w:line="240" w:lineRule="auto"/>
        <w:ind w:left="1440" w:right="72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>Examined correlation between pressure profile and reactor performance</w:t>
      </w:r>
    </w:p>
    <w:p w:rsidR="00B705D9" w:rsidRPr="00B705D9" w:rsidRDefault="00B705D9" w:rsidP="00B705D9">
      <w:pPr>
        <w:numPr>
          <w:ilvl w:val="0"/>
          <w:numId w:val="1"/>
        </w:numPr>
        <w:tabs>
          <w:tab w:val="right" w:pos="7100"/>
        </w:tabs>
        <w:spacing w:after="0" w:line="240" w:lineRule="auto"/>
        <w:ind w:left="1440" w:right="72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>Performance of a scaled up reactor for OCM demonstrated</w:t>
      </w:r>
    </w:p>
    <w:p w:rsidR="00B705D9" w:rsidRPr="00B705D9" w:rsidRDefault="00B705D9" w:rsidP="00B7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B705D9" w:rsidRPr="00B705D9" w:rsidRDefault="00B705D9" w:rsidP="00B70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b/>
          <w:color w:val="000000"/>
          <w:szCs w:val="20"/>
          <w:lang w:val="en-GB"/>
        </w:rPr>
        <w:t>1. Introduction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Powdered catalysts in most cases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offer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high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reactivity and specific surface area,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both for 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oxidative coupling of methane (OCM)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and other gas phase reactions.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However,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powdered catalysts have significant drawbacks too. Their use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often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results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in high specific pressure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drops and </w:t>
      </w:r>
      <w:r w:rsidR="007D6758">
        <w:rPr>
          <w:rFonts w:ascii="Calibri" w:eastAsia="Times New Roman" w:hAnsi="Calibri" w:cs="Calibri"/>
          <w:color w:val="000000"/>
          <w:lang w:val="en-GB" w:eastAsia="en-GB"/>
        </w:rPr>
        <w:t>they are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difficult to handle and maintain. This is the reason that powdered catalysts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are rarely used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in large-scale applications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. On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the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other </w:t>
      </w:r>
      <w:r w:rsidR="00162058" w:rsidRPr="00B705D9">
        <w:rPr>
          <w:rFonts w:ascii="Calibri" w:eastAsia="Times New Roman" w:hAnsi="Calibri" w:cs="Calibri"/>
          <w:color w:val="000000"/>
          <w:lang w:val="en-GB" w:eastAsia="en-GB"/>
        </w:rPr>
        <w:t>hand,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pelletized catalysts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are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conventionally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r w:rsidR="00162058"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used</w:t>
      </w:r>
      <w:proofErr w:type="gramEnd"/>
      <w:r w:rsidR="00162058"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,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as they are easier to work with and show a decent compromise between reactivity and pressure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drop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. The use of modern 3D printers opens up the possibility to print catalyst material directly.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3D printed catalysts represent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 real alternative to pellets with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tuneable porosity,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high surface area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,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low pressure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drop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and improved heat and mass transfer</w:t>
      </w:r>
      <w:r w:rsidR="007D6758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The aim of this work is 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>a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comparative investigation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into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powdered, pelletized and </w:t>
      </w:r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3D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structured catalysts on a miniplant scale using the example of the oxidative coupling of methane.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The </w:t>
      </w:r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>OCM reaction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is a promising way to produce ethylene directly from natural gas or biogas. </w:t>
      </w:r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>It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presents an attractive</w:t>
      </w:r>
      <w:r w:rsidR="006C4CE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alternative to naphtha cracking as it can utilizes different and more widely available feedstock. </w:t>
      </w:r>
    </w:p>
    <w:p w:rsidR="00B705D9" w:rsidRPr="00B705D9" w:rsidRDefault="00B705D9" w:rsidP="00B705D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b/>
          <w:color w:val="000000"/>
          <w:szCs w:val="20"/>
          <w:lang w:val="en-GB"/>
        </w:rPr>
        <w:t>2. Methods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For all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experiments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that </w:t>
      </w:r>
      <w:proofErr w:type="gramStart"/>
      <w:r w:rsidRPr="00B705D9">
        <w:rPr>
          <w:rFonts w:ascii="Calibri" w:eastAsia="Times New Roman" w:hAnsi="Calibri" w:cs="Calibri"/>
          <w:color w:val="000000"/>
          <w:lang w:val="en-GB" w:eastAsia="en-GB"/>
        </w:rPr>
        <w:t>were carried out</w:t>
      </w:r>
      <w:r w:rsidR="007D6758">
        <w:rPr>
          <w:rFonts w:ascii="Calibri" w:eastAsia="Times New Roman" w:hAnsi="Calibri" w:cs="Calibri"/>
          <w:color w:val="000000"/>
          <w:lang w:val="en-GB" w:eastAsia="en-GB"/>
        </w:rPr>
        <w:t>,</w:t>
      </w:r>
      <w:proofErr w:type="gramEnd"/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MnNa2WO4/SiO2, provided by Johnson Matthey,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was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used as catalyst for the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OCM reaction testing. 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powder was first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pressed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and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subsequently ground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to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obtain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 particle size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range </w:t>
      </w:r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of </w:t>
      </w:r>
      <w:proofErr w:type="spellStart"/>
      <w:proofErr w:type="gramStart"/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>dp</w:t>
      </w:r>
      <w:proofErr w:type="spellEnd"/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>=</w:t>
      </w:r>
      <w:proofErr w:type="gramEnd"/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>400-600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µm. The pellets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,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provided by Johnson Matthey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too,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were produced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through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extrusion with a particle size of </w:t>
      </w:r>
      <w:r w:rsidR="00162058">
        <w:rPr>
          <w:rFonts w:ascii="Calibri" w:eastAsia="Times New Roman" w:hAnsi="Calibri" w:cs="Times New Roman"/>
          <w:color w:val="000000"/>
          <w:szCs w:val="20"/>
          <w:lang w:val="en-GB"/>
        </w:rPr>
        <w:t>2.7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mm.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catalyst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powder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 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was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printed by VITO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into catalyst structures with periodic lattices,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using a direct write technique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that offers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 high degree of control over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the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composition, surface area and geometry.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lastRenderedPageBreak/>
        <w:t xml:space="preserve">The structures, pellets and source powder 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(Figure 1)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were tested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in a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miniplant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scale reactor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at TU Berlin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with a total </w:t>
      </w:r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reactor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volume of 1.8l. The performance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in terms of </w:t>
      </w:r>
      <w:r w:rsidRPr="00B705D9">
        <w:rPr>
          <w:rFonts w:ascii="Calibri" w:eastAsia="Times New Roman" w:hAnsi="Calibri" w:cs="Times New Roman"/>
          <w:szCs w:val="20"/>
          <w:lang w:val="en-US"/>
        </w:rPr>
        <w:t>C2 yield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was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assessed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under different temperatures and feed rates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. </w:t>
      </w:r>
      <w:r w:rsidR="007D6758">
        <w:rPr>
          <w:rFonts w:ascii="Calibri" w:eastAsia="Times New Roman" w:hAnsi="Calibri" w:cs="Times New Roman"/>
          <w:color w:val="000000"/>
          <w:szCs w:val="20"/>
          <w:lang w:val="en-GB"/>
        </w:rPr>
        <w:t>O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ther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parameters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, such as 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CH</w:t>
      </w:r>
      <w:r w:rsidRPr="00B705D9">
        <w:rPr>
          <w:rFonts w:ascii="Calibri" w:eastAsia="Times New Roman" w:hAnsi="Calibri" w:cs="Times New Roman"/>
          <w:color w:val="000000"/>
          <w:sz w:val="13"/>
          <w:szCs w:val="20"/>
          <w:vertAlign w:val="subscript"/>
          <w:lang w:val="en-GB"/>
        </w:rPr>
        <w:t>4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to O</w:t>
      </w:r>
      <w:r w:rsidRPr="00B705D9">
        <w:rPr>
          <w:rFonts w:ascii="Calibri" w:eastAsia="Times New Roman" w:hAnsi="Calibri" w:cs="Times New Roman"/>
          <w:color w:val="000000"/>
          <w:sz w:val="13"/>
          <w:szCs w:val="20"/>
          <w:vertAlign w:val="subscript"/>
          <w:lang w:val="en-GB"/>
        </w:rPr>
        <w:t>2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ratio, pressure and dilution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were kept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constant.</w:t>
      </w:r>
    </w:p>
    <w:p w:rsidR="007D6758" w:rsidRDefault="00B705D9" w:rsidP="00B705D9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In order to examine the possible loss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of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reactivity due to the fabrication process, a second set of experiments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was performed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.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pellets and structures were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ground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back to a powder with the same particle size as the source material.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Subsequently, 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three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powder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samples were tested in a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smaller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size</w:t>
      </w:r>
      <w:proofErr w:type="gramEnd"/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fixed bed reactor under the same operating conditions.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364480" cy="1546860"/>
            <wp:effectExtent l="0" t="0" r="7620" b="0"/>
            <wp:docPr id="1" name="Picture 3" descr="https://lh3.googleusercontent.com/xwQtnASIdcX0pYK4hsRPBrotMsEaBdfzRVZwb67DHBDW7WZxYmbgRvekQBk0XxzPNSs9strhM-SxTsJi4jn3WZXBdS02--kqWEQG9GmJiZ4mfs7VSOABrWliYI6nw8-d8o_t-EN0bIEKdEx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wQtnASIdcX0pYK4hsRPBrotMsEaBdfzRVZwb67DHBDW7WZxYmbgRvekQBk0XxzPNSs9strhM-SxTsJi4jn3WZXBdS02--kqWEQG9GmJiZ4mfs7VSOABrWliYI6nw8-d8o_t-EN0bIEKdExI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D9" w:rsidRPr="00B705D9" w:rsidRDefault="00B705D9" w:rsidP="00B70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bookmarkStart w:id="0" w:name="_Ref531179671"/>
      <w:r w:rsidRPr="00B705D9">
        <w:rPr>
          <w:rFonts w:ascii="Calibri" w:eastAsia="Times New Roman" w:hAnsi="Calibri" w:cs="Times New Roman"/>
          <w:b/>
          <w:color w:val="000000"/>
          <w:sz w:val="18"/>
          <w:szCs w:val="20"/>
          <w:lang w:val="en-GB"/>
        </w:rPr>
        <w:t xml:space="preserve">Figure </w:t>
      </w:r>
      <w:bookmarkEnd w:id="0"/>
      <w:r w:rsidRPr="00B705D9">
        <w:rPr>
          <w:rFonts w:ascii="Calibri" w:eastAsia="Times New Roman" w:hAnsi="Calibri" w:cs="Calibri"/>
          <w:b/>
          <w:bCs/>
          <w:color w:val="000000"/>
          <w:sz w:val="18"/>
          <w:szCs w:val="18"/>
          <w:lang w:val="en-GB" w:eastAsia="en-GB"/>
        </w:rPr>
        <w:t>1.</w:t>
      </w:r>
      <w:r w:rsidRPr="00B705D9">
        <w:rPr>
          <w:rFonts w:ascii="Calibri" w:eastAsia="Times New Roman" w:hAnsi="Calibri" w:cs="Times New Roman"/>
          <w:b/>
          <w:color w:val="000000"/>
          <w:sz w:val="18"/>
          <w:szCs w:val="20"/>
          <w:lang w:val="en-GB"/>
        </w:rPr>
        <w:t xml:space="preserve"> MnNa2WO4/SiO2 catalysts for OCM </w:t>
      </w:r>
      <w:r w:rsidRPr="00B705D9">
        <w:rPr>
          <w:rFonts w:ascii="Calibri" w:eastAsia="MS PGothic" w:hAnsi="Calibri" w:cs="Times New Roman"/>
          <w:b/>
          <w:color w:val="000000"/>
          <w:sz w:val="18"/>
          <w:szCs w:val="20"/>
          <w:lang w:val="en-US"/>
        </w:rPr>
        <w:t>reaction tests</w:t>
      </w:r>
      <w:r w:rsidRPr="00B705D9">
        <w:rPr>
          <w:rFonts w:ascii="Calibri" w:eastAsia="Times New Roman" w:hAnsi="Calibri" w:cs="Times New Roman"/>
          <w:b/>
          <w:color w:val="000000"/>
          <w:sz w:val="18"/>
          <w:szCs w:val="20"/>
          <w:lang w:val="en-GB"/>
        </w:rPr>
        <w:t>; powdered (left), pelletized (middle), 3D printed</w:t>
      </w:r>
      <w:r w:rsidR="000E47E0">
        <w:rPr>
          <w:rFonts w:ascii="Calibri" w:eastAsia="Times New Roman" w:hAnsi="Calibri" w:cs="Times New Roman"/>
          <w:b/>
          <w:color w:val="000000"/>
          <w:sz w:val="18"/>
          <w:szCs w:val="20"/>
          <w:lang w:val="en-GB"/>
        </w:rPr>
        <w:t xml:space="preserve"> </w:t>
      </w:r>
      <w:bookmarkStart w:id="1" w:name="_GoBack"/>
      <w:bookmarkEnd w:id="1"/>
      <w:r w:rsidRPr="00B705D9">
        <w:rPr>
          <w:rFonts w:ascii="Calibri" w:eastAsia="MS PGothic" w:hAnsi="Calibri" w:cs="Times New Roman"/>
          <w:b/>
          <w:color w:val="000000"/>
          <w:sz w:val="18"/>
          <w:szCs w:val="20"/>
          <w:lang w:val="en-US"/>
        </w:rPr>
        <w:t>structures</w:t>
      </w:r>
      <w:r w:rsidRPr="00B705D9">
        <w:rPr>
          <w:rFonts w:ascii="Calibri" w:eastAsia="Times New Roman" w:hAnsi="Calibri" w:cs="Times New Roman"/>
          <w:b/>
          <w:color w:val="000000"/>
          <w:sz w:val="18"/>
          <w:szCs w:val="20"/>
          <w:lang w:val="en-GB"/>
        </w:rPr>
        <w:t xml:space="preserve"> (right)</w:t>
      </w:r>
    </w:p>
    <w:p w:rsidR="00B705D9" w:rsidRPr="00B705D9" w:rsidRDefault="00B705D9" w:rsidP="00B70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B705D9" w:rsidRPr="00B705D9" w:rsidRDefault="00B705D9" w:rsidP="00B705D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b/>
          <w:color w:val="000000"/>
          <w:szCs w:val="20"/>
          <w:lang w:val="en-GB"/>
        </w:rPr>
        <w:t>3. Results and discussion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The 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>main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design 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>considerations in the scaled-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up reactor were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(1.) facilitating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the stacking of the 3D printed structures and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(2.)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ensuring a robust seal between the perimeter of the structures and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the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inner wall of the reactor tube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in order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to prevent gas from bypassing along the length of the reactor.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The resulting</w:t>
      </w:r>
      <w:r w:rsidR="006C4CE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scaled-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up reactor demonstrates the design modularity and ability to perform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OCM reactions in applications that are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larger than lab scale.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The preliminary results of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testing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the structured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catalysts 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are promising when compared to the conventional packed bed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configurations.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The influence of the different catalyst shapes on the pressure drop along the reactor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was examined</w:t>
      </w:r>
      <w:proofErr w:type="gramEnd"/>
      <w:r w:rsidRPr="00B705D9">
        <w:rPr>
          <w:rFonts w:ascii="Calibri" w:eastAsia="Times New Roman" w:hAnsi="Calibri" w:cs="Calibri"/>
          <w:color w:val="000000"/>
          <w:lang w:val="en-GB" w:eastAsia="en-GB"/>
        </w:rPr>
        <w:t xml:space="preserve"> and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quantified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showing a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correlation between the specific surface area and the reactivity, or C2 yield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6C4CE9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Furthermore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, it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can be seen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to what extent the production process of the pellets and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3D printed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structures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influence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the reactivity of the catalyst.</w:t>
      </w:r>
    </w:p>
    <w:p w:rsidR="00B705D9" w:rsidRPr="00B705D9" w:rsidRDefault="00B705D9" w:rsidP="00B705D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b/>
          <w:color w:val="000000"/>
          <w:szCs w:val="20"/>
          <w:lang w:val="en-GB"/>
        </w:rPr>
        <w:t>4. Conclusions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In this work, the different shapes of OCM catalysts and their influence on C2 yield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ha</w:t>
      </w:r>
      <w:r w:rsidR="00DF5A3D">
        <w:rPr>
          <w:rFonts w:ascii="Calibri" w:eastAsia="Times New Roman" w:hAnsi="Calibri" w:cs="Times New Roman"/>
          <w:color w:val="000000"/>
          <w:szCs w:val="20"/>
          <w:lang w:val="en-GB"/>
        </w:rPr>
        <w:t>ve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been quantified and compared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. It </w:t>
      </w:r>
      <w:proofErr w:type="gramStart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has been shown</w:t>
      </w:r>
      <w:proofErr w:type="gramEnd"/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that 3D printed structures have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the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potential to provide </w:t>
      </w:r>
      <w:r w:rsidRPr="00B705D9">
        <w:rPr>
          <w:rFonts w:ascii="Calibri" w:eastAsia="Times New Roman" w:hAnsi="Calibri" w:cs="Calibri"/>
          <w:color w:val="000000"/>
          <w:lang w:val="en-GB" w:eastAsia="en-GB"/>
        </w:rPr>
        <w:t>tailor-made catalysts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for </w:t>
      </w:r>
      <w:r w:rsidR="00162058" w:rsidRPr="00B705D9">
        <w:rPr>
          <w:rFonts w:ascii="Calibri" w:eastAsia="Times New Roman" w:hAnsi="Calibri" w:cs="Times New Roman"/>
          <w:color w:val="000000"/>
          <w:szCs w:val="20"/>
          <w:lang w:val="en-GB"/>
        </w:rPr>
        <w:t>large-scale</w:t>
      </w:r>
      <w:r w:rsidRPr="00B705D9">
        <w:rPr>
          <w:rFonts w:ascii="Calibri" w:eastAsia="Times New Roman" w:hAnsi="Calibri" w:cs="Times New Roman"/>
          <w:color w:val="000000"/>
          <w:szCs w:val="20"/>
          <w:lang w:val="en-GB"/>
        </w:rPr>
        <w:t xml:space="preserve"> applications, offering increased accessibility of the active sites within their engineered porosity.</w:t>
      </w:r>
    </w:p>
    <w:p w:rsidR="00B705D9" w:rsidRPr="00B705D9" w:rsidRDefault="00B705D9" w:rsidP="00B70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705D9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:rsidR="006C4CE9" w:rsidRPr="006C4CE9" w:rsidRDefault="006C4CE9" w:rsidP="006C4CE9">
      <w:pPr>
        <w:tabs>
          <w:tab w:val="right" w:pos="7100"/>
        </w:tabs>
        <w:snapToGrid w:val="0"/>
        <w:spacing w:after="120" w:line="264" w:lineRule="auto"/>
        <w:jc w:val="both"/>
        <w:rPr>
          <w:rFonts w:ascii="Calibri" w:eastAsia="MS PGothic" w:hAnsi="Calibri" w:cs="Times New Roman"/>
          <w:color w:val="000000"/>
          <w:lang w:val="en-US"/>
        </w:rPr>
      </w:pPr>
    </w:p>
    <w:p w:rsidR="006C4CE9" w:rsidRPr="006C4CE9" w:rsidRDefault="006C4CE9" w:rsidP="006C4CE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4"/>
          <w:lang w:val="en-GB" w:eastAsia="pl-PL"/>
        </w:rPr>
      </w:pPr>
      <w:r w:rsidRPr="006C4CE9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216595</wp:posOffset>
            </wp:positionV>
            <wp:extent cx="354965" cy="240030"/>
            <wp:effectExtent l="0" t="0" r="6985" b="7620"/>
            <wp:wrapSquare wrapText="bothSides"/>
            <wp:docPr id="8" name="Picture 1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CE9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val="en-GB" w:eastAsia="pl-PL"/>
        </w:rPr>
        <w:t>Acknowledgments</w:t>
      </w:r>
    </w:p>
    <w:p w:rsidR="006C4CE9" w:rsidRPr="006C4CE9" w:rsidRDefault="006C4CE9" w:rsidP="006C4CE9">
      <w:pPr>
        <w:tabs>
          <w:tab w:val="right" w:pos="7100"/>
        </w:tabs>
        <w:spacing w:after="0" w:line="264" w:lineRule="auto"/>
        <w:jc w:val="both"/>
        <w:rPr>
          <w:rFonts w:ascii="Arial" w:eastAsia="Times New Roman" w:hAnsi="Arial" w:cs="Times New Roman"/>
          <w:i/>
          <w:sz w:val="16"/>
          <w:szCs w:val="16"/>
          <w:lang w:val="en-GB"/>
        </w:rPr>
      </w:pPr>
      <w:r w:rsidRPr="006C4CE9">
        <w:rPr>
          <w:rFonts w:ascii="Arial" w:eastAsia="Times New Roman" w:hAnsi="Arial" w:cs="Times New Roman"/>
          <w:i/>
          <w:sz w:val="16"/>
          <w:szCs w:val="16"/>
          <w:lang w:val="en-GB"/>
        </w:rPr>
        <w:t>This project has received funding from the European Union’s Horizon 2020 research and innovation programme under grant agreement No 679933</w:t>
      </w:r>
    </w:p>
    <w:p w:rsidR="00B705D9" w:rsidRPr="00B705D9" w:rsidRDefault="00B705D9" w:rsidP="00B705D9">
      <w:pPr>
        <w:tabs>
          <w:tab w:val="right" w:pos="7100"/>
        </w:tabs>
        <w:spacing w:after="0" w:line="264" w:lineRule="auto"/>
        <w:jc w:val="both"/>
        <w:rPr>
          <w:rFonts w:ascii="Arial" w:eastAsia="Times New Roman" w:hAnsi="Arial" w:cs="Times New Roman"/>
          <w:i/>
          <w:sz w:val="16"/>
          <w:szCs w:val="16"/>
          <w:lang w:val="en-GB"/>
        </w:rPr>
      </w:pPr>
    </w:p>
    <w:p w:rsidR="00282E6F" w:rsidRPr="00B705D9" w:rsidRDefault="002D3E18">
      <w:pPr>
        <w:rPr>
          <w:lang w:val="en-GB"/>
        </w:rPr>
      </w:pPr>
    </w:p>
    <w:sectPr w:rsidR="00282E6F" w:rsidRPr="00B705D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18" w:rsidRDefault="002D3E18">
      <w:pPr>
        <w:spacing w:after="0" w:line="240" w:lineRule="auto"/>
      </w:pPr>
      <w:r>
        <w:separator/>
      </w:r>
    </w:p>
  </w:endnote>
  <w:endnote w:type="continuationSeparator" w:id="0">
    <w:p w:rsidR="002D3E18" w:rsidRDefault="002D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18" w:rsidRDefault="002D3E18">
      <w:pPr>
        <w:spacing w:after="0" w:line="240" w:lineRule="auto"/>
      </w:pPr>
      <w:r>
        <w:separator/>
      </w:r>
    </w:p>
  </w:footnote>
  <w:footnote w:type="continuationSeparator" w:id="0">
    <w:p w:rsidR="002D3E18" w:rsidRDefault="002D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D9" w:rsidRDefault="007559B9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799464</wp:posOffset>
              </wp:positionV>
              <wp:extent cx="5581650" cy="0"/>
              <wp:effectExtent l="38100" t="38100" r="57150" b="76200"/>
              <wp:wrapNone/>
              <wp:docPr id="86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DC574" id="Connettore 1 8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705D9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5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D9" w:rsidRPr="00DE0019" w:rsidRDefault="00B705D9" w:rsidP="00704BDF">
    <w:pPr>
      <w:ind w:left="-426" w:right="-285"/>
      <w:jc w:val="center"/>
      <w:rPr>
        <w:b/>
        <w:i/>
        <w:color w:val="002060"/>
        <w:sz w:val="24"/>
        <w:szCs w:val="24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6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0019">
      <w:rPr>
        <w:b/>
        <w:i/>
        <w:color w:val="002060"/>
        <w:sz w:val="24"/>
        <w:szCs w:val="24"/>
        <w:lang w:val="en-US"/>
      </w:rPr>
      <w:t>ECCE12</w:t>
    </w:r>
    <w:r w:rsidRPr="00DE0019">
      <w:rPr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b/>
        <w:i/>
        <w:color w:val="002060"/>
        <w:sz w:val="24"/>
        <w:szCs w:val="24"/>
        <w:vertAlign w:val="superscript"/>
        <w:lang w:val="en-US"/>
      </w:rPr>
      <w:t>th</w:t>
    </w:r>
    <w:r w:rsidRPr="00DE0019">
      <w:rPr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B705D9" w:rsidRPr="00B705D9" w:rsidRDefault="00B705D9">
    <w:pPr>
      <w:pStyle w:val="Kopfzeile"/>
      <w:rPr>
        <w:lang w:val="en-US"/>
      </w:rPr>
    </w:pPr>
  </w:p>
  <w:p w:rsidR="00B705D9" w:rsidRDefault="007559B9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76199</wp:posOffset>
              </wp:positionV>
              <wp:extent cx="5581650" cy="0"/>
              <wp:effectExtent l="38100" t="38100" r="57150" b="7620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E341B" id="Connettore 1 1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48E"/>
    <w:multiLevelType w:val="multilevel"/>
    <w:tmpl w:val="985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9"/>
    <w:rsid w:val="000E47E0"/>
    <w:rsid w:val="00162058"/>
    <w:rsid w:val="002D3E18"/>
    <w:rsid w:val="00374CEA"/>
    <w:rsid w:val="00386F3B"/>
    <w:rsid w:val="004354C5"/>
    <w:rsid w:val="006C4CE9"/>
    <w:rsid w:val="007559B9"/>
    <w:rsid w:val="007D6758"/>
    <w:rsid w:val="00842AA8"/>
    <w:rsid w:val="00857A37"/>
    <w:rsid w:val="008B687A"/>
    <w:rsid w:val="008C010B"/>
    <w:rsid w:val="00B705D9"/>
    <w:rsid w:val="00C0288C"/>
    <w:rsid w:val="00C66A61"/>
    <w:rsid w:val="00DF5A3D"/>
    <w:rsid w:val="00E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0C7CF"/>
  <w15:docId w15:val="{2D99C5BD-9D88-4343-ACE3-214A19E1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60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7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05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</dc:creator>
  <cp:lastModifiedBy>Karsten, Tim</cp:lastModifiedBy>
  <cp:revision>3</cp:revision>
  <dcterms:created xsi:type="dcterms:W3CDTF">2019-01-15T14:31:00Z</dcterms:created>
  <dcterms:modified xsi:type="dcterms:W3CDTF">2019-01-15T14:31:00Z</dcterms:modified>
</cp:coreProperties>
</file>