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C022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5FAA1C7" w14:textId="251A2E69" w:rsidR="00704BDF" w:rsidRPr="00585BB9" w:rsidRDefault="00EE430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M</w:t>
      </w:r>
      <w:r w:rsidR="00585BB9" w:rsidRPr="00585BB9">
        <w:rPr>
          <w:rFonts w:asciiTheme="minorHAnsi" w:eastAsia="MS PGothic" w:hAnsiTheme="minorHAnsi"/>
          <w:b/>
          <w:bCs/>
          <w:sz w:val="28"/>
          <w:szCs w:val="28"/>
          <w:lang w:val="en-US"/>
        </w:rPr>
        <w:t>odel-based</w:t>
      </w:r>
      <w:r w:rsidR="006D4C86" w:rsidRPr="00585BB9">
        <w:rPr>
          <w:rFonts w:asciiTheme="majorHAnsi" w:eastAsiaTheme="majorEastAsia" w:hAnsi="Calibri" w:cstheme="majorBidi"/>
          <w:sz w:val="40"/>
          <w:szCs w:val="40"/>
          <w:lang w:val="pl-PL"/>
        </w:rPr>
        <w:t xml:space="preserve"> </w:t>
      </w:r>
      <w:r w:rsidR="006D4C86" w:rsidRPr="00585BB9">
        <w:rPr>
          <w:rFonts w:asciiTheme="minorHAnsi" w:eastAsia="MS PGothic" w:hAnsiTheme="minorHAnsi"/>
          <w:b/>
          <w:bCs/>
          <w:sz w:val="28"/>
          <w:szCs w:val="28"/>
          <w:lang w:val="pl-PL"/>
        </w:rPr>
        <w:t xml:space="preserve">Solvent </w:t>
      </w:r>
      <w:r w:rsidR="006D4C86" w:rsidRPr="00902579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6D4C86" w:rsidRPr="00585BB9">
        <w:rPr>
          <w:rFonts w:asciiTheme="minorHAnsi" w:eastAsia="MS PGothic" w:hAnsiTheme="minorHAnsi"/>
          <w:b/>
          <w:bCs/>
          <w:sz w:val="28"/>
          <w:szCs w:val="28"/>
          <w:lang w:val="pl-PL"/>
        </w:rPr>
        <w:t>creening for</w:t>
      </w:r>
      <w:r w:rsidR="00651CA4">
        <w:rPr>
          <w:rFonts w:asciiTheme="minorHAnsi" w:eastAsia="MS PGothic" w:hAnsiTheme="minorHAnsi"/>
          <w:b/>
          <w:bCs/>
          <w:sz w:val="28"/>
          <w:szCs w:val="28"/>
          <w:lang w:val="pl-PL"/>
        </w:rPr>
        <w:t xml:space="preserve"> a</w:t>
      </w:r>
      <w:r w:rsidR="006D4C86" w:rsidRPr="00585BB9">
        <w:rPr>
          <w:rFonts w:asciiTheme="minorHAnsi" w:eastAsia="MS PGothic" w:hAnsiTheme="minorHAnsi"/>
          <w:b/>
          <w:bCs/>
          <w:sz w:val="28"/>
          <w:szCs w:val="28"/>
          <w:lang w:val="pl-PL"/>
        </w:rPr>
        <w:t xml:space="preserve"> </w:t>
      </w:r>
      <w:r w:rsidR="001C0E17" w:rsidRPr="00902579">
        <w:rPr>
          <w:rFonts w:asciiTheme="minorHAnsi" w:eastAsia="MS PGothic" w:hAnsiTheme="minorHAnsi"/>
          <w:b/>
          <w:bCs/>
          <w:sz w:val="28"/>
          <w:szCs w:val="28"/>
          <w:lang w:val="en-US"/>
        </w:rPr>
        <w:t>Reductive</w:t>
      </w:r>
      <w:r w:rsidR="00BD79A7" w:rsidRPr="0090257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Amination</w:t>
      </w:r>
      <w:r w:rsidR="00F4262F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r w:rsidR="006D4C86" w:rsidRPr="00585BB9">
        <w:rPr>
          <w:rFonts w:asciiTheme="minorHAnsi" w:eastAsia="MS PGothic" w:hAnsiTheme="minorHAnsi"/>
          <w:b/>
          <w:bCs/>
          <w:sz w:val="28"/>
          <w:szCs w:val="28"/>
          <w:lang w:val="pl-PL"/>
        </w:rPr>
        <w:t xml:space="preserve"> </w:t>
      </w:r>
    </w:p>
    <w:p w14:paraId="3B1D1773" w14:textId="783CEAFA" w:rsidR="00DE0019" w:rsidRPr="00902579" w:rsidRDefault="00B5416C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902579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Fabian Huxoll</w:t>
      </w:r>
      <w:r w:rsidR="00B762C5" w:rsidRPr="004C03D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B762C5"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Jonas Bianga</w:t>
      </w:r>
      <w:r w:rsidRPr="009025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B762C5"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DC70B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Thomas Seidensticker</w:t>
      </w:r>
      <w:r w:rsidR="00DC70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B762C5"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Dieter Vogt</w:t>
      </w:r>
      <w:r w:rsidR="00B762C5" w:rsidRPr="009025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B762C5"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Gabriele Sadowski</w:t>
      </w:r>
      <w:r w:rsidR="00B762C5" w:rsidRPr="009025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5B5602" w:rsidRPr="009025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*</w:t>
      </w:r>
    </w:p>
    <w:p w14:paraId="66196D8B" w14:textId="77777777" w:rsidR="00B762C5" w:rsidRDefault="00704BDF" w:rsidP="00015B6E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218A5">
        <w:rPr>
          <w:rFonts w:eastAsia="MS PGothic" w:cs="Arial"/>
          <w:i/>
          <w:iCs/>
          <w:color w:val="000000"/>
          <w:sz w:val="20"/>
          <w:lang w:val="en-US"/>
        </w:rPr>
        <w:t>1</w:t>
      </w:r>
      <w:r w:rsidRPr="00861DF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762C5" w:rsidRPr="00B762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 of Thermodynamics, TU Dortmund Uni</w:t>
      </w:r>
      <w:r w:rsidR="00B762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versity, 44227 Dortmund, Germany</w:t>
      </w:r>
    </w:p>
    <w:p w14:paraId="788C545F" w14:textId="77777777" w:rsidR="00B762C5" w:rsidRDefault="00B762C5" w:rsidP="00B762C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proofErr w:type="gramStart"/>
      <w:r w:rsidR="00B5416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</w:t>
      </w:r>
      <w:proofErr w:type="gramEnd"/>
      <w:r w:rsidR="00B7493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Industrial Chemistry</w:t>
      </w:r>
      <w:r w:rsidRPr="00B762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TU Dortmund University, 44227 Dortmund, Germany</w:t>
      </w:r>
    </w:p>
    <w:p w14:paraId="3A8DA969" w14:textId="77777777" w:rsidR="00704BDF" w:rsidRPr="00DE0019" w:rsidRDefault="00704BDF" w:rsidP="00B762C5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B762C5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="00B762C5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B762C5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 xml:space="preserve"> </w:t>
      </w:r>
      <w:r w:rsidR="005B560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gabriele</w:t>
      </w:r>
      <w:r w:rsidR="00B762C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.</w:t>
      </w:r>
      <w:r w:rsidR="005B560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sadowski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B762C5">
        <w:rPr>
          <w:rFonts w:asciiTheme="minorHAnsi" w:eastAsia="MS PGothic" w:hAnsiTheme="minorHAnsi"/>
          <w:bCs/>
          <w:i/>
          <w:iCs/>
          <w:sz w:val="20"/>
          <w:lang w:val="en-US"/>
        </w:rPr>
        <w:t>tu-dortmund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B762C5">
        <w:rPr>
          <w:rFonts w:asciiTheme="minorHAnsi" w:eastAsia="MS PGothic" w:hAnsiTheme="minorHAnsi"/>
          <w:bCs/>
          <w:i/>
          <w:iCs/>
          <w:sz w:val="20"/>
          <w:lang w:val="en-US"/>
        </w:rPr>
        <w:t>de</w:t>
      </w:r>
    </w:p>
    <w:p w14:paraId="67A9065F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A66538F" w14:textId="540F74FA" w:rsidR="00141B25" w:rsidRPr="00141B25" w:rsidRDefault="00141B25" w:rsidP="00141B2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85BB9">
        <w:rPr>
          <w:rFonts w:asciiTheme="minorHAnsi" w:hAnsiTheme="minorHAnsi"/>
        </w:rPr>
        <w:t xml:space="preserve">Application of an activity coefficient-based approach </w:t>
      </w:r>
      <w:r>
        <w:rPr>
          <w:rFonts w:asciiTheme="minorHAnsi" w:hAnsiTheme="minorHAnsi"/>
        </w:rPr>
        <w:t>for a fast solvent screening</w:t>
      </w:r>
      <w:r w:rsidR="00F4262F">
        <w:rPr>
          <w:rFonts w:asciiTheme="minorHAnsi" w:hAnsiTheme="minorHAnsi"/>
        </w:rPr>
        <w:t>.</w:t>
      </w:r>
    </w:p>
    <w:p w14:paraId="22A0881E" w14:textId="700773E8" w:rsidR="004E62C6" w:rsidRPr="004E62C6" w:rsidRDefault="005C1F9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E62C6">
        <w:rPr>
          <w:rFonts w:asciiTheme="minorHAnsi" w:hAnsiTheme="minorHAnsi"/>
        </w:rPr>
        <w:t xml:space="preserve">Solvent </w:t>
      </w:r>
      <w:r w:rsidR="003F6432">
        <w:rPr>
          <w:rFonts w:asciiTheme="minorHAnsi" w:hAnsiTheme="minorHAnsi"/>
        </w:rPr>
        <w:t>influence on reaction equilibrium</w:t>
      </w:r>
      <w:r w:rsidRPr="004E62C6">
        <w:rPr>
          <w:rFonts w:asciiTheme="minorHAnsi" w:hAnsiTheme="minorHAnsi"/>
        </w:rPr>
        <w:t xml:space="preserve"> and reaction </w:t>
      </w:r>
      <w:r w:rsidR="005E09EB" w:rsidRPr="004E62C6">
        <w:rPr>
          <w:rFonts w:asciiTheme="minorHAnsi" w:hAnsiTheme="minorHAnsi"/>
        </w:rPr>
        <w:t>rate</w:t>
      </w:r>
      <w:r w:rsidRPr="004E62C6">
        <w:rPr>
          <w:rFonts w:asciiTheme="minorHAnsi" w:hAnsiTheme="minorHAnsi"/>
        </w:rPr>
        <w:t xml:space="preserve"> can be </w:t>
      </w:r>
      <w:r w:rsidR="00861DFC" w:rsidRPr="004E62C6">
        <w:rPr>
          <w:rFonts w:asciiTheme="minorHAnsi" w:hAnsiTheme="minorHAnsi"/>
        </w:rPr>
        <w:t>predicted</w:t>
      </w:r>
      <w:r w:rsidR="00F4262F">
        <w:rPr>
          <w:rFonts w:asciiTheme="minorHAnsi" w:hAnsiTheme="minorHAnsi"/>
        </w:rPr>
        <w:t>.</w:t>
      </w:r>
    </w:p>
    <w:p w14:paraId="0392A159" w14:textId="68F68A5C" w:rsidR="005C1F96" w:rsidRPr="004E62C6" w:rsidRDefault="004E62C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E62C6">
        <w:rPr>
          <w:rFonts w:asciiTheme="minorHAnsi" w:hAnsiTheme="minorHAnsi"/>
        </w:rPr>
        <w:t>No</w:t>
      </w:r>
      <w:r w:rsidR="005C1F96" w:rsidRPr="004E62C6">
        <w:rPr>
          <w:rFonts w:asciiTheme="minorHAnsi" w:hAnsiTheme="minorHAnsi"/>
        </w:rPr>
        <w:t xml:space="preserve"> experimental reaction data</w:t>
      </w:r>
      <w:r w:rsidRPr="004E62C6">
        <w:rPr>
          <w:rFonts w:asciiTheme="minorHAnsi" w:hAnsiTheme="minorHAnsi"/>
        </w:rPr>
        <w:t xml:space="preserve"> needed</w:t>
      </w:r>
      <w:r w:rsidR="00F4262F">
        <w:rPr>
          <w:rFonts w:asciiTheme="minorHAnsi" w:hAnsiTheme="minorHAnsi"/>
        </w:rPr>
        <w:t>.</w:t>
      </w:r>
    </w:p>
    <w:p w14:paraId="2B447A85" w14:textId="5526C7A8" w:rsidR="00704BDF" w:rsidRDefault="005C1F96" w:rsidP="005C1F9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C1F96">
        <w:rPr>
          <w:rFonts w:asciiTheme="minorHAnsi" w:hAnsiTheme="minorHAnsi"/>
        </w:rPr>
        <w:t>Promising solvents could be confirmed by experiments</w:t>
      </w:r>
      <w:r w:rsidR="00F4262F">
        <w:rPr>
          <w:rFonts w:asciiTheme="minorHAnsi" w:hAnsiTheme="minorHAnsi"/>
        </w:rPr>
        <w:t>.</w:t>
      </w:r>
    </w:p>
    <w:p w14:paraId="7D1D1A14" w14:textId="77777777" w:rsidR="005C1F96" w:rsidRPr="005C1F96" w:rsidRDefault="005C1F96" w:rsidP="00CE4157">
      <w:pPr>
        <w:pStyle w:val="AbstractBody"/>
        <w:ind w:left="0"/>
        <w:jc w:val="center"/>
        <w:rPr>
          <w:rFonts w:asciiTheme="minorHAnsi" w:hAnsiTheme="minorHAnsi"/>
          <w:color w:val="002060"/>
        </w:rPr>
      </w:pPr>
    </w:p>
    <w:p w14:paraId="607E6255" w14:textId="77777777" w:rsidR="00AD389B" w:rsidRPr="001C0E17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1C0E1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B8F3476" w14:textId="2433A0CC" w:rsidR="00EE4309" w:rsidRDefault="00861DFC" w:rsidP="00704BDF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R</w:t>
      </w:r>
      <w:r w:rsidR="00CA411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eaction </w:t>
      </w:r>
      <w:r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equilibri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um</w:t>
      </w:r>
      <w:r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and reaction </w:t>
      </w:r>
      <w:r w:rsidR="00D426A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rate</w:t>
      </w:r>
      <w:r w:rsidR="00FF60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of</w:t>
      </w:r>
      <w:r w:rsidR="00CA411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chemical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reactions </w:t>
      </w:r>
      <w:r w:rsidR="00EE430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are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significantly influenced by the solvent used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  <w:r w:rsidR="001C0E1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Therefore, to optimize </w:t>
      </w:r>
      <w:r w:rsidR="009709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the equilibrium position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</w:t>
      </w:r>
      <w:r w:rsidR="009709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EE430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to </w:t>
      </w:r>
      <w:r w:rsidR="009709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increase the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selectivity</w:t>
      </w:r>
      <w:r w:rsidR="009709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towards the </w:t>
      </w:r>
      <w:r w:rsidR="00C446D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product of interest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and </w:t>
      </w:r>
      <w:r w:rsidR="009709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to enhance the reaction rate</w:t>
      </w:r>
      <w:r w:rsidR="00AD389B" w:rsidRPr="00AD389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, it is important to consider the solvent </w:t>
      </w:r>
      <w:r w:rsidR="0090257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influence</w:t>
      </w:r>
      <w:r w:rsidR="006373C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on a reaction [</w:t>
      </w:r>
      <w:r w:rsidR="004C79B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1, </w:t>
      </w:r>
      <w:r w:rsidR="00C568E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2]</w:t>
      </w:r>
      <w:r w:rsidR="00424B0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  <w:r w:rsidR="00611E67" w:rsidRPr="00611E67">
        <w:t xml:space="preserve"> </w:t>
      </w:r>
      <w:r w:rsidR="00611E67" w:rsidRPr="00611E6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State-of-the-art </w:t>
      </w:r>
      <w:r w:rsidR="00257C8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lab screening </w:t>
      </w:r>
      <w:r w:rsidR="00611E67" w:rsidRPr="00611E6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is highly time-consuming and</w:t>
      </w:r>
      <w:r w:rsidR="00FF60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therewith </w:t>
      </w:r>
      <w:r w:rsidR="00611E67" w:rsidRPr="00611E6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cost-intensive.</w:t>
      </w:r>
      <w:r w:rsidR="00611E6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</w:p>
    <w:p w14:paraId="6FDC8E0C" w14:textId="2067D4FA" w:rsidR="001C0E17" w:rsidRPr="00424B0B" w:rsidRDefault="00585BB9" w:rsidP="00704BDF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 w:rsidRPr="00B762C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</w:t>
      </w:r>
      <w:r w:rsidR="00637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RA (reductive amination)</w:t>
      </w:r>
      <w:r w:rsidR="00863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 w:rsidR="00863977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ndecanal</w:t>
      </w:r>
      <w:proofErr w:type="spellEnd"/>
      <w:r w:rsidR="00863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863977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iethylamine</w:t>
      </w:r>
      <w:proofErr w:type="spellEnd"/>
      <w:r w:rsidR="009025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2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39C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DEAU (</w:t>
      </w:r>
      <w:r w:rsidR="001939CB" w:rsidRPr="001939CB">
        <w:rPr>
          <w:rFonts w:asciiTheme="minorHAnsi" w:eastAsia="MS PGothic" w:hAnsiTheme="minorHAnsi"/>
          <w:color w:val="000000"/>
          <w:sz w:val="22"/>
          <w:szCs w:val="22"/>
        </w:rPr>
        <w:t>1-</w:t>
      </w:r>
      <w:r w:rsidR="004C79B9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1939CB" w:rsidRPr="001939CB">
        <w:rPr>
          <w:rFonts w:asciiTheme="minorHAnsi" w:eastAsia="MS PGothic" w:hAnsiTheme="minorHAnsi"/>
          <w:color w:val="000000"/>
          <w:sz w:val="22"/>
          <w:szCs w:val="22"/>
        </w:rPr>
        <w:t>iethylamino-undecan</w:t>
      </w:r>
      <w:r w:rsidR="00842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water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38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investigated.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Appropriate </w:t>
      </w:r>
      <w:r w:rsidR="001C0E17" w:rsidRP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solvents were identified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EE4309" w:rsidRP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thermodynamic</w:t>
      </w:r>
      <w:r w:rsidR="00EE4309" w:rsidRP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</w:t>
      </w:r>
      <w:r w:rsid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C0E17" w:rsidRP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subsequently </w:t>
      </w:r>
      <w:r w:rsidR="00823234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validated</w:t>
      </w:r>
      <w:r w:rsidR="001C0E17" w:rsidRPr="001C0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experiments.</w:t>
      </w:r>
    </w:p>
    <w:p w14:paraId="7B4253DF" w14:textId="77777777" w:rsidR="00704BDF" w:rsidRDefault="00704BDF" w:rsidP="008B0E85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A989968" w14:textId="77777777" w:rsidR="00CA460D" w:rsidRDefault="00272B7E" w:rsidP="00D90E52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thermodynamic equilibrium constant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</w:t>
      </w:r>
      <w:proofErr w:type="spellEnd"/>
      <w:r w:rsidR="00522E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does NOT </w:t>
      </w: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solvent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nor</w:t>
      </w:r>
      <w:proofErr w:type="gramEnd"/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</w:t>
      </w:r>
      <w:r w:rsidR="00E411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reactant concentrations</w:t>
      </w: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 as the starting point </w:t>
      </w: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3F6A13" w:rsidRPr="003F6A1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</w:t>
      </w:r>
      <w:proofErr w:type="spellEnd"/>
      <w:r w:rsidR="003F6A1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 product of </w:t>
      </w:r>
      <w:proofErr w:type="spellStart"/>
      <w:r w:rsidR="003F6A13" w:rsidRP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3F6A13" w:rsidRPr="003F6A1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proofErr w:type="spellEnd"/>
      <w:r w:rsid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contains the equilibrium concentrations</w:t>
      </w:r>
      <w:r w:rsid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x</w:t>
      </w:r>
      <w:r w:rsidR="00CA460D" w:rsidRPr="00CA460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r w:rsidR="00522E8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,</w:t>
      </w:r>
      <w:r w:rsid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6A13" w:rsidRP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 w:rsidR="003F6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3F6A13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γ</w:t>
      </w:r>
      <w:proofErr w:type="spellEnd"/>
      <w:r w:rsidR="003F6A13" w:rsidRPr="003F6A1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="003F6A1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which contains the activity coefficients</w:t>
      </w:r>
      <w:r w:rsidR="00CA460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E4117C">
        <w:rPr>
          <w:rFonts w:ascii="Symbol" w:eastAsia="MS PGothic" w:hAnsi="Symbol" w:cstheme="minorHAnsi"/>
          <w:color w:val="000000"/>
          <w:sz w:val="22"/>
          <w:szCs w:val="22"/>
          <w:lang w:val="en-US"/>
        </w:rPr>
        <w:t></w:t>
      </w:r>
      <w:proofErr w:type="spellStart"/>
      <w:r w:rsidR="00CA460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i</w:t>
      </w:r>
      <w:proofErr w:type="spellEnd"/>
      <w:r w:rsidR="003F6A1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CA460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CA460D" w:rsidRP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the activity coefficients may strongly depend on the solvent whereas </w:t>
      </w:r>
      <w:proofErr w:type="spellStart"/>
      <w:r w:rsidR="00CA460D" w:rsidRP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CA460D" w:rsidRPr="00CA460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</w:t>
      </w:r>
      <w:proofErr w:type="spellEnd"/>
      <w:r w:rsidR="00CA460D" w:rsidRP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does not,</w:t>
      </w:r>
      <w:r w:rsidR="004303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460D" w:rsidRP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CA460D" w:rsidRPr="00CA460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proofErr w:type="spellEnd"/>
      <w:r w:rsidR="00CA460D" w:rsidRP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E411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</w:t>
      </w:r>
      <w:r w:rsidR="00CA460D" w:rsidRP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strongly influenced by the solvent</w:t>
      </w:r>
      <w:r w:rsidR="00CA46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B420D51" w14:textId="77777777" w:rsidR="00322484" w:rsidRPr="00CA460D" w:rsidRDefault="00322484" w:rsidP="00D90E52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</w:t>
      </w:r>
      <w:r w:rsidR="00F17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equation 1</w:t>
      </w:r>
      <w:r w:rsidR="00E9711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7F0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ncreasing activity coefficients </w:t>
      </w:r>
      <w:r w:rsidR="00BD47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C44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reactants</w:t>
      </w:r>
      <w:r w:rsidR="00BD47C8" w:rsidRPr="00BD47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711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</w:t>
      </w:r>
      <w:r w:rsidR="00BD47C8" w:rsidRPr="00BD47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increase of</w:t>
      </w:r>
      <w:r w:rsidR="00BD47C8" w:rsidRPr="00BD47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 concentrations</w:t>
      </w:r>
      <w:r w:rsidR="00736D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5C4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</w:t>
      </w:r>
      <w:r w:rsidR="00736D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equilibrium</w:t>
      </w:r>
      <w:r w:rsidR="00BD47C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72B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</w:t>
      </w:r>
      <w:r w:rsidR="00E9711D" w:rsidRPr="00A21B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activity coefficients of the </w:t>
      </w:r>
      <w:r w:rsidR="00C44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reactants</w:t>
      </w:r>
      <w:r w:rsidR="00E9711D" w:rsidRPr="00A21B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imply a high reaction rate</w:t>
      </w:r>
      <w:r w:rsidR="00E97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(2).</w:t>
      </w:r>
      <w:r w:rsidR="008B2A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8B2A68" w:rsidRPr="008B2A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ccordingly, the aim of this approach is to identify solvents </w:t>
      </w:r>
      <w:r w:rsidR="00FF60C6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lead to</w:t>
      </w:r>
      <w:r w:rsidR="008B2A68" w:rsidRPr="008B2A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activity coefficients of the </w:t>
      </w:r>
      <w:r w:rsidR="00C44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reactants</w:t>
      </w:r>
      <w:r w:rsidR="008B2A6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597"/>
      </w:tblGrid>
      <w:tr w:rsidR="00D90E52" w14:paraId="63B4E23A" w14:textId="77777777" w:rsidTr="00D90E52">
        <w:tc>
          <w:tcPr>
            <w:tcW w:w="8330" w:type="dxa"/>
          </w:tcPr>
          <w:p w14:paraId="00058A70" w14:textId="77777777" w:rsidR="00D90E52" w:rsidRPr="00D90E52" w:rsidRDefault="001317C7" w:rsidP="00322484">
            <w:pPr>
              <w:snapToGrid w:val="0"/>
              <w:spacing w:before="240" w:line="300" w:lineRule="auto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Product,1</m:t>
                        </m:r>
                      </m:sub>
                    </m:s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Product,2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Reactant,1</m:t>
                        </m:r>
                      </m:sub>
                    </m:s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Reactant,2</m:t>
                        </m:r>
                      </m:sub>
                    </m:sSub>
                  </m:den>
                </m:f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 ∙ </m:t>
                </m:r>
                <m:f>
                  <m:f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Product,1</m:t>
                        </m:r>
                      </m:sub>
                    </m:s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Product,2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Reactant,1</m:t>
                        </m:r>
                      </m:sub>
                    </m:s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eastAsia="MS PGothic" w:hAnsi="Cambria Math"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-US"/>
                          </w:rPr>
                          <m:t>Reactant,2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97" w:type="dxa"/>
          </w:tcPr>
          <w:p w14:paraId="6F9C8C07" w14:textId="77777777" w:rsidR="00D90E52" w:rsidRDefault="00D90E52" w:rsidP="00322484">
            <w:pPr>
              <w:snapToGrid w:val="0"/>
              <w:spacing w:before="240" w:line="300" w:lineRule="auto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(1)</w:t>
            </w:r>
          </w:p>
        </w:tc>
      </w:tr>
      <w:tr w:rsidR="00D90E52" w14:paraId="6831AD5A" w14:textId="77777777" w:rsidTr="00D90E52">
        <w:tc>
          <w:tcPr>
            <w:tcW w:w="8330" w:type="dxa"/>
          </w:tcPr>
          <w:p w14:paraId="2D57B23F" w14:textId="77777777" w:rsidR="00D90E52" w:rsidRPr="00D90E52" w:rsidRDefault="00D90E52" w:rsidP="00952410">
            <w:pPr>
              <w:snapToGrid w:val="0"/>
              <w:spacing w:before="240" w:line="300" w:lineRule="auto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r =k ∙ 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Reactant,1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Reactant,1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 ∙ 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Reactant,2</m:t>
                    </m:r>
                  </m:sub>
                </m:s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  <m:t>Reactant,2</m:t>
                    </m:r>
                  </m:sub>
                </m:sSub>
              </m:oMath>
            </m:oMathPara>
          </w:p>
        </w:tc>
        <w:tc>
          <w:tcPr>
            <w:tcW w:w="597" w:type="dxa"/>
          </w:tcPr>
          <w:p w14:paraId="185DF94D" w14:textId="77777777" w:rsidR="00D90E52" w:rsidRDefault="00D90E52" w:rsidP="00184FA4">
            <w:pPr>
              <w:snapToGrid w:val="0"/>
              <w:spacing w:before="240" w:line="300" w:lineRule="auto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(2)</w:t>
            </w:r>
          </w:p>
        </w:tc>
      </w:tr>
    </w:tbl>
    <w:p w14:paraId="54D4403E" w14:textId="77777777" w:rsidR="008B0E85" w:rsidRDefault="00065AFB" w:rsidP="00065AF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lastRenderedPageBreak/>
        <w:tab/>
      </w:r>
      <w:r w:rsidR="00EE4309" w:rsidRPr="00223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solvent</w:t>
      </w:r>
      <w:r w:rsidR="00EE4309" w:rsidRPr="00223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screening,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wide range of different solvents was investigated. </w:t>
      </w:r>
      <w:r w:rsidR="00491A9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Using the </w:t>
      </w:r>
      <w:r w:rsidR="005E09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modified</w:t>
      </w:r>
      <w:r w:rsidR="00935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group contribution method UNIFAC [3]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35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1A9C" w:rsidRPr="0049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activity coefficients </w:t>
      </w:r>
      <w:r w:rsidR="0049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EE4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predicted without using any </w:t>
      </w:r>
      <w:r w:rsidR="00BD47C8" w:rsidRPr="00BD47C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data.</w:t>
      </w:r>
      <w:r w:rsidR="00737A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045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F045D" w:rsidRPr="00992418">
        <w:rPr>
          <w:rFonts w:asciiTheme="minorHAnsi" w:eastAsia="MS PGothic" w:hAnsiTheme="minorHAnsi"/>
          <w:color w:val="000000"/>
          <w:sz w:val="22"/>
          <w:szCs w:val="22"/>
          <w:lang w:val="en-US"/>
        </w:rPr>
        <w:t>olvents</w:t>
      </w:r>
      <w:r w:rsidR="007F0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identified </w:t>
      </w:r>
      <w:r w:rsidR="007F045D" w:rsidRPr="009924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lead to the highest possible </w:t>
      </w:r>
      <w:r w:rsidR="007F045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reactant-activity coefficients</w:t>
      </w:r>
      <w:r w:rsidR="007F045D" w:rsidRPr="0099241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F04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7F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Afterwards, the most promising solvents of the screening were validated regarding reaction equilibrium and reaction rate. </w:t>
      </w:r>
    </w:p>
    <w:p w14:paraId="6DB16F99" w14:textId="77777777" w:rsidR="00DF7BD4" w:rsidRPr="008907A8" w:rsidRDefault="00704BDF" w:rsidP="008907A8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9F31D3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B13420F" w14:textId="77777777" w:rsidR="00E4117C" w:rsidRPr="0056726A" w:rsidRDefault="00C368D8" w:rsidP="00E9711D">
      <w:pPr>
        <w:tabs>
          <w:tab w:val="clear" w:pos="7100"/>
        </w:tabs>
        <w:autoSpaceDE w:val="0"/>
        <w:autoSpaceDN w:val="0"/>
        <w:adjustRightIn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</w:pP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Based on the </w:t>
      </w:r>
      <w:r w:rsidR="00F462E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predicted</w:t>
      </w:r>
      <w:r w:rsidR="00F462E5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activity coefficients, it could be shown that</w:t>
      </w:r>
      <w:r w:rsidR="00E522DE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the applied solvents significantly </w:t>
      </w:r>
      <w:r w:rsidR="00F462E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influenc</w:t>
      </w:r>
      <w:r w:rsidR="00491A9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e</w:t>
      </w:r>
      <w:r w:rsidR="00E522DE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the reaction rate and the reaction equilibrium. </w:t>
      </w:r>
      <w:r w:rsidR="009F31D3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he activity coefficients of the </w:t>
      </w:r>
      <w:r w:rsidR="00F462E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reactants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deviated </w:t>
      </w:r>
      <w:r w:rsidR="00C9357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f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r</w:t>
      </w:r>
      <w:r w:rsidR="00C9357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o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m </w:t>
      </w:r>
      <w:r w:rsidR="00491A9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each other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by </w:t>
      </w:r>
      <w:r w:rsidR="008212B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a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factor </w:t>
      </w:r>
      <w:r w:rsidR="008212B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of 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up</w:t>
      </w:r>
      <w:r w:rsidR="00DA203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to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20.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Out of 1</w:t>
      </w:r>
      <w:r w:rsidR="007B163A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4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investigated solvents, methanol, </w:t>
      </w:r>
      <w:r w:rsidR="00863977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DMF (</w:t>
      </w:r>
      <w:r w:rsidR="00863977" w:rsidRPr="00F4262F">
        <w:rPr>
          <w:rFonts w:asciiTheme="minorHAnsi" w:eastAsia="MS PGothic" w:hAnsiTheme="minorHAnsi"/>
          <w:bCs/>
          <w:i/>
          <w:color w:val="000000"/>
          <w:sz w:val="22"/>
          <w:szCs w:val="22"/>
          <w:lang w:eastAsia="ko-KR"/>
        </w:rPr>
        <w:t>N</w:t>
      </w:r>
      <w:proofErr w:type="gramStart"/>
      <w:r w:rsidR="00863977" w:rsidRPr="00F4262F">
        <w:rPr>
          <w:rFonts w:asciiTheme="minorHAnsi" w:eastAsia="MS PGothic" w:hAnsiTheme="minorHAnsi"/>
          <w:bCs/>
          <w:i/>
          <w:color w:val="000000"/>
          <w:sz w:val="22"/>
          <w:szCs w:val="22"/>
          <w:lang w:eastAsia="ko-KR"/>
        </w:rPr>
        <w:t>,N</w:t>
      </w:r>
      <w:proofErr w:type="gramEnd"/>
      <w:r w:rsidR="00863977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-</w:t>
      </w:r>
      <w:proofErr w:type="spellStart"/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d</w:t>
      </w:r>
      <w:r w:rsidR="005216D6" w:rsidRP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imethylformamide</w:t>
      </w:r>
      <w:proofErr w:type="spellEnd"/>
      <w:r w:rsidR="00863977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)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and</w:t>
      </w:r>
      <w:r w:rsidR="00863977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ACN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</w:t>
      </w:r>
      <w:r w:rsidR="00863977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(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acetonitrile</w:t>
      </w:r>
      <w:r w:rsidR="00863977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)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turned out to be the most promising ones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(see Figure 1)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. </w:t>
      </w:r>
    </w:p>
    <w:p w14:paraId="3CDA0E7E" w14:textId="77777777" w:rsidR="00E4117C" w:rsidRPr="0056726A" w:rsidRDefault="0056726A" w:rsidP="0056726A">
      <w:pPr>
        <w:tabs>
          <w:tab w:val="clear" w:pos="7100"/>
        </w:tabs>
        <w:autoSpaceDE w:val="0"/>
        <w:autoSpaceDN w:val="0"/>
        <w:adjustRightInd w:val="0"/>
        <w:spacing w:line="300" w:lineRule="auto"/>
        <w:jc w:val="center"/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</w:pPr>
      <w:r>
        <w:rPr>
          <w:rFonts w:asciiTheme="minorHAnsi" w:eastAsia="MS PGothic" w:hAnsiTheme="minorHAnsi"/>
          <w:bCs/>
          <w:noProof/>
          <w:color w:val="000000"/>
          <w:sz w:val="22"/>
          <w:szCs w:val="22"/>
          <w:lang w:val="de-DE" w:eastAsia="de-DE"/>
        </w:rPr>
        <w:drawing>
          <wp:inline distT="0" distB="0" distL="0" distR="0" wp14:anchorId="27E474B4" wp14:editId="025DE6E6">
            <wp:extent cx="2698103" cy="2139461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E 2019 _V2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" t="3702" r="14650" b="2630"/>
                    <a:stretch/>
                  </pic:blipFill>
                  <pic:spPr bwMode="auto">
                    <a:xfrm>
                      <a:off x="0" y="0"/>
                      <a:ext cx="2723213" cy="2159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AD7D6" w14:textId="4D593092" w:rsidR="00E4117C" w:rsidRPr="0056726A" w:rsidRDefault="006E7E70" w:rsidP="0056726A">
      <w:pPr>
        <w:snapToGrid w:val="0"/>
        <w:spacing w:after="120"/>
        <w:jc w:val="center"/>
        <w:rPr>
          <w:rFonts w:ascii="Calibri" w:eastAsia="MS PGothic" w:hAnsi="Calibri"/>
          <w:color w:val="000000"/>
          <w:szCs w:val="18"/>
          <w:lang w:val="en-US"/>
        </w:rPr>
      </w:pPr>
      <w:proofErr w:type="gramStart"/>
      <w:r>
        <w:rPr>
          <w:rFonts w:ascii="Calibri" w:eastAsia="MS PGothic" w:hAnsi="Calibri"/>
          <w:b/>
          <w:color w:val="000000"/>
          <w:szCs w:val="18"/>
          <w:lang w:val="en-US"/>
        </w:rPr>
        <w:t>Figure 1</w:t>
      </w:r>
      <w:r>
        <w:rPr>
          <w:rFonts w:ascii="Calibri" w:eastAsia="MS PGothic" w:hAnsi="Calibri"/>
          <w:b/>
          <w:color w:val="000000"/>
          <w:szCs w:val="18"/>
          <w:lang w:val="en-US" w:eastAsia="ko-KR"/>
        </w:rPr>
        <w:t>.</w:t>
      </w:r>
      <w:proofErr w:type="gramEnd"/>
      <w:r w:rsidR="00997A1A">
        <w:rPr>
          <w:rFonts w:ascii="Calibri" w:eastAsia="MS PGothic" w:hAnsi="Calibri"/>
          <w:color w:val="000000"/>
          <w:szCs w:val="18"/>
          <w:lang w:val="en-US"/>
        </w:rPr>
        <w:t xml:space="preserve"> </w:t>
      </w:r>
      <w:proofErr w:type="gramStart"/>
      <w:r w:rsidR="004A45EC">
        <w:rPr>
          <w:rFonts w:ascii="Calibri" w:eastAsia="MS PGothic" w:hAnsi="Calibri"/>
          <w:color w:val="000000"/>
          <w:szCs w:val="18"/>
          <w:lang w:val="en-US"/>
        </w:rPr>
        <w:t>RA-r</w:t>
      </w:r>
      <w:r w:rsidR="003C5F8D">
        <w:rPr>
          <w:rFonts w:ascii="Calibri" w:eastAsia="MS PGothic" w:hAnsi="Calibri"/>
          <w:color w:val="000000"/>
          <w:szCs w:val="18"/>
          <w:lang w:val="en-US"/>
        </w:rPr>
        <w:t>eactant a</w:t>
      </w:r>
      <w:r w:rsidR="004D62C9" w:rsidRPr="004D62C9">
        <w:rPr>
          <w:rFonts w:ascii="Calibri" w:eastAsia="MS PGothic" w:hAnsi="Calibri"/>
          <w:color w:val="000000"/>
          <w:szCs w:val="18"/>
          <w:lang w:val="en-US"/>
        </w:rPr>
        <w:t xml:space="preserve">ctivity coefficient </w:t>
      </w:r>
      <w:r w:rsidR="004A45EC">
        <w:rPr>
          <w:rFonts w:ascii="Calibri" w:eastAsia="MS PGothic" w:hAnsi="Calibri"/>
          <w:color w:val="000000"/>
          <w:szCs w:val="18"/>
          <w:lang w:val="en-US"/>
        </w:rPr>
        <w:t xml:space="preserve">for reaction mixtures in </w:t>
      </w:r>
      <w:r w:rsidR="003C5F8D">
        <w:rPr>
          <w:rFonts w:ascii="Calibri" w:eastAsia="MS PGothic" w:hAnsi="Calibri"/>
          <w:color w:val="000000"/>
          <w:szCs w:val="18"/>
          <w:lang w:val="en-US"/>
        </w:rPr>
        <w:t>different solvents.</w:t>
      </w:r>
      <w:proofErr w:type="gramEnd"/>
    </w:p>
    <w:p w14:paraId="61E6DAF9" w14:textId="15C54443" w:rsidR="00135BCB" w:rsidRPr="005216D6" w:rsidRDefault="008907A8" w:rsidP="00E9711D">
      <w:pPr>
        <w:tabs>
          <w:tab w:val="clear" w:pos="7100"/>
        </w:tabs>
        <w:autoSpaceDE w:val="0"/>
        <w:autoSpaceDN w:val="0"/>
        <w:adjustRightIn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</w:pP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To validate </w:t>
      </w:r>
      <w:r w:rsidR="005216D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the</w:t>
      </w:r>
      <w:r w:rsidR="007A5A4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se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results</w:t>
      </w:r>
      <w:r w:rsidR="00491A9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e</w:t>
      </w:r>
      <w:r w:rsidR="00C368D8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xperiments were performe</w:t>
      </w:r>
      <w:bookmarkStart w:id="0" w:name="_GoBack"/>
      <w:bookmarkEnd w:id="0"/>
      <w:r w:rsidR="00C368D8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d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in</w:t>
      </w:r>
      <w:r w:rsidR="00AC077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these solvents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at 30 </w:t>
      </w:r>
      <w:proofErr w:type="gramStart"/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bar</w:t>
      </w:r>
      <w:proofErr w:type="gramEnd"/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and 100 °C.</w:t>
      </w:r>
      <w:r w:rsidR="00706FF4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424B0B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Results showed that the highest </w:t>
      </w:r>
      <w:r w:rsidR="00522E8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product concentration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</w:t>
      </w:r>
      <w:r w:rsidR="00424B0B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and </w:t>
      </w:r>
      <w:r w:rsidR="00706FF4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reaction rate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</w:t>
      </w:r>
      <w:r w:rsidR="00424B0B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were </w:t>
      </w:r>
      <w:r w:rsidR="008212B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indeed </w:t>
      </w:r>
      <w:r w:rsidR="00424B0B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achieved </w:t>
      </w:r>
      <w:r w:rsidR="00E4117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 the three top </w:t>
      </w:r>
      <w:r w:rsidR="00084E3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solvents</w:t>
      </w:r>
      <w:r w:rsidR="00424B0B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of the screening.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Furthermore, </w:t>
      </w:r>
      <w:r w:rsidR="004A45E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using </w:t>
      </w:r>
      <w:r w:rsidR="004A45EC"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this approach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it was possible to qualitatively predict the influence of </w:t>
      </w:r>
      <w:r w:rsidR="00CF5C4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initial 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substrate concentrations on reaction</w:t>
      </w:r>
      <w:r w:rsidR="004A45E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yield and kinetics</w:t>
      </w:r>
      <w:r w:rsidRPr="00E9711D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</w:p>
    <w:p w14:paraId="706B5F11" w14:textId="77777777" w:rsidR="00A920DA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</w:pPr>
      <w:r w:rsidRPr="009F31D3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4. Conclusion</w:t>
      </w:r>
      <w:r w:rsidRPr="009F31D3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22AFC7F" w14:textId="77777777" w:rsidR="00A920DA" w:rsidRDefault="00A920DA" w:rsidP="00E9711D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Applying a thermodynamic approach allows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fast solvent screening without</w:t>
      </w:r>
      <w:r w:rsidR="00AC07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need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any experimental reaction data</w:t>
      </w:r>
      <w:r w:rsidR="00AC07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parameter estimations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P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redictions and experimental results were in </w:t>
      </w:r>
      <w:r w:rsidR="00AC07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</w:t>
      </w:r>
      <w:r w:rsidRPr="005B5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good agreement</w:t>
      </w:r>
      <w:r w:rsidR="00AC077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showcasing the advantages of thermodynamic models in order to screen possible solvents over the experimental and thus time and cost consuming lab screening.</w:t>
      </w:r>
    </w:p>
    <w:p w14:paraId="26256E94" w14:textId="77777777" w:rsidR="00E522DE" w:rsidRPr="00491A9C" w:rsidRDefault="00E522DE" w:rsidP="00704BDF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</w:p>
    <w:p w14:paraId="050FE076" w14:textId="77777777" w:rsidR="00704BDF" w:rsidRPr="008D0BEB" w:rsidRDefault="00D81AE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D22C74A" w14:textId="77777777" w:rsidR="00AD389B" w:rsidRPr="00AA3FB8" w:rsidRDefault="00842819" w:rsidP="00377BE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 w:rsidRPr="00AA3FB8">
        <w:rPr>
          <w:rFonts w:asciiTheme="minorHAnsi" w:hAnsiTheme="minorHAnsi"/>
          <w:color w:val="000000"/>
          <w:lang w:val="de-DE"/>
        </w:rPr>
        <w:t xml:space="preserve">M. Lemberg, R. Schomäcker, G. Sadowski, </w:t>
      </w:r>
      <w:r w:rsidRPr="00AA3FB8">
        <w:rPr>
          <w:rFonts w:asciiTheme="minorHAnsi" w:hAnsiTheme="minorHAnsi"/>
          <w:iCs/>
          <w:color w:val="000000"/>
          <w:lang w:val="de-DE"/>
        </w:rPr>
        <w:t xml:space="preserve">Chem. Eng. </w:t>
      </w:r>
      <w:proofErr w:type="spellStart"/>
      <w:r w:rsidRPr="00AA3FB8">
        <w:rPr>
          <w:rFonts w:asciiTheme="minorHAnsi" w:hAnsiTheme="minorHAnsi"/>
          <w:iCs/>
          <w:color w:val="000000"/>
          <w:lang w:val="de-DE"/>
        </w:rPr>
        <w:t>Sci</w:t>
      </w:r>
      <w:proofErr w:type="spellEnd"/>
      <w:r w:rsidRPr="00AA3FB8">
        <w:rPr>
          <w:rFonts w:asciiTheme="minorHAnsi" w:hAnsiTheme="minorHAnsi"/>
          <w:iCs/>
          <w:color w:val="000000"/>
          <w:lang w:val="de-DE"/>
        </w:rPr>
        <w:t>. 176 (2018) 264-269</w:t>
      </w:r>
      <w:r w:rsidR="00AA3FB8" w:rsidRPr="00AA3FB8">
        <w:rPr>
          <w:rFonts w:asciiTheme="minorHAnsi" w:hAnsiTheme="minorHAnsi"/>
          <w:iCs/>
          <w:color w:val="000000"/>
          <w:lang w:val="de-DE"/>
        </w:rPr>
        <w:t>.</w:t>
      </w:r>
    </w:p>
    <w:p w14:paraId="4A44331B" w14:textId="77777777" w:rsidR="008907A8" w:rsidRPr="00AA3FB8" w:rsidRDefault="000058E3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AA3FB8">
        <w:rPr>
          <w:rFonts w:asciiTheme="minorHAnsi" w:eastAsia="SimSun" w:hAnsiTheme="minorHAnsi"/>
          <w:lang w:eastAsia="zh-CN"/>
        </w:rPr>
        <w:t xml:space="preserve">C. </w:t>
      </w:r>
      <w:proofErr w:type="spellStart"/>
      <w:r w:rsidRPr="00AA3FB8">
        <w:rPr>
          <w:rFonts w:asciiTheme="minorHAnsi" w:eastAsia="SimSun" w:hAnsiTheme="minorHAnsi"/>
          <w:lang w:eastAsia="zh-CN"/>
        </w:rPr>
        <w:t>Reichardt</w:t>
      </w:r>
      <w:proofErr w:type="spellEnd"/>
      <w:r w:rsidRPr="00AA3FB8">
        <w:rPr>
          <w:rFonts w:asciiTheme="minorHAnsi" w:eastAsia="SimSun" w:hAnsiTheme="minorHAnsi"/>
          <w:lang w:eastAsia="zh-CN"/>
        </w:rPr>
        <w:t xml:space="preserve">, T. </w:t>
      </w:r>
      <w:proofErr w:type="spellStart"/>
      <w:r w:rsidRPr="00AA3FB8">
        <w:rPr>
          <w:rFonts w:asciiTheme="minorHAnsi" w:eastAsia="SimSun" w:hAnsiTheme="minorHAnsi"/>
          <w:lang w:eastAsia="zh-CN"/>
        </w:rPr>
        <w:t>Welton</w:t>
      </w:r>
      <w:proofErr w:type="spellEnd"/>
      <w:r w:rsidRPr="00AA3FB8">
        <w:rPr>
          <w:rFonts w:asciiTheme="minorHAnsi" w:eastAsia="SimSun" w:hAnsiTheme="minorHAnsi"/>
          <w:lang w:eastAsia="zh-CN"/>
        </w:rPr>
        <w:t>, Solvents and solvent effects in organic chemistry, VCH</w:t>
      </w:r>
      <w:r w:rsidR="00AA3FB8" w:rsidRPr="00AA3FB8">
        <w:rPr>
          <w:rFonts w:asciiTheme="minorHAnsi" w:eastAsia="SimSun" w:hAnsiTheme="minorHAnsi"/>
          <w:lang w:eastAsia="zh-CN"/>
        </w:rPr>
        <w:t xml:space="preserve">, </w:t>
      </w:r>
      <w:proofErr w:type="spellStart"/>
      <w:r w:rsidR="00AA3FB8" w:rsidRPr="00AA3FB8">
        <w:rPr>
          <w:rFonts w:asciiTheme="minorHAnsi" w:eastAsia="SimSun" w:hAnsiTheme="minorHAnsi"/>
          <w:lang w:eastAsia="zh-CN"/>
        </w:rPr>
        <w:t>Weinheim</w:t>
      </w:r>
      <w:proofErr w:type="spellEnd"/>
      <w:r w:rsidR="00AA3FB8" w:rsidRPr="00AA3FB8">
        <w:rPr>
          <w:rFonts w:asciiTheme="minorHAnsi" w:eastAsia="SimSun" w:hAnsiTheme="minorHAnsi"/>
          <w:lang w:eastAsia="zh-CN"/>
        </w:rPr>
        <w:t>,</w:t>
      </w:r>
      <w:r w:rsidRPr="00AA3FB8">
        <w:rPr>
          <w:rFonts w:asciiTheme="minorHAnsi" w:eastAsia="SimSun" w:hAnsiTheme="minorHAnsi"/>
          <w:lang w:eastAsia="zh-CN"/>
        </w:rPr>
        <w:t xml:space="preserve"> 2010</w:t>
      </w:r>
      <w:r w:rsidR="00AA3FB8" w:rsidRPr="00AA3FB8">
        <w:rPr>
          <w:rFonts w:asciiTheme="minorHAnsi" w:eastAsia="SimSun" w:hAnsiTheme="minorHAnsi"/>
          <w:lang w:eastAsia="zh-CN"/>
        </w:rPr>
        <w:t>.</w:t>
      </w:r>
      <w:r w:rsidRPr="00AA3FB8">
        <w:rPr>
          <w:rFonts w:asciiTheme="minorHAnsi" w:eastAsia="SimSun" w:hAnsiTheme="minorHAnsi"/>
          <w:lang w:eastAsia="zh-CN"/>
        </w:rPr>
        <w:t xml:space="preserve"> </w:t>
      </w:r>
    </w:p>
    <w:p w14:paraId="356968C1" w14:textId="77777777" w:rsidR="00704BDF" w:rsidRPr="00AA3FB8" w:rsidRDefault="00842819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AA3FB8">
        <w:rPr>
          <w:rFonts w:asciiTheme="minorHAnsi" w:hAnsiTheme="minorHAnsi"/>
          <w:color w:val="000000"/>
          <w:lang w:val="de-DE"/>
        </w:rPr>
        <w:t xml:space="preserve">J. Lohmann, R. </w:t>
      </w:r>
      <w:proofErr w:type="spellStart"/>
      <w:r w:rsidRPr="00AA3FB8">
        <w:rPr>
          <w:rFonts w:asciiTheme="minorHAnsi" w:hAnsiTheme="minorHAnsi"/>
          <w:color w:val="000000"/>
          <w:lang w:val="de-DE"/>
        </w:rPr>
        <w:t>Joh</w:t>
      </w:r>
      <w:proofErr w:type="spellEnd"/>
      <w:r w:rsidRPr="00AA3FB8">
        <w:rPr>
          <w:rFonts w:asciiTheme="minorHAnsi" w:hAnsiTheme="minorHAnsi"/>
          <w:color w:val="000000"/>
          <w:lang w:val="de-DE"/>
        </w:rPr>
        <w:t xml:space="preserve">, J. </w:t>
      </w:r>
      <w:proofErr w:type="spellStart"/>
      <w:r w:rsidRPr="00AA3FB8">
        <w:rPr>
          <w:rFonts w:asciiTheme="minorHAnsi" w:hAnsiTheme="minorHAnsi"/>
          <w:color w:val="000000"/>
          <w:lang w:val="de-DE"/>
        </w:rPr>
        <w:t>Gmehling</w:t>
      </w:r>
      <w:proofErr w:type="spellEnd"/>
      <w:r w:rsidRPr="00AA3FB8">
        <w:rPr>
          <w:rFonts w:asciiTheme="minorHAnsi" w:hAnsiTheme="minorHAnsi"/>
          <w:color w:val="000000"/>
          <w:lang w:val="de-DE"/>
        </w:rPr>
        <w:t xml:space="preserve">, </w:t>
      </w:r>
      <w:proofErr w:type="spellStart"/>
      <w:r w:rsidR="001B507A" w:rsidRPr="00AA3FB8">
        <w:rPr>
          <w:rFonts w:asciiTheme="minorHAnsi" w:hAnsiTheme="minorHAnsi"/>
          <w:color w:val="000000"/>
          <w:lang w:val="de-DE"/>
        </w:rPr>
        <w:t>Ind</w:t>
      </w:r>
      <w:proofErr w:type="spellEnd"/>
      <w:r w:rsidR="001B507A" w:rsidRPr="00AA3FB8">
        <w:rPr>
          <w:rFonts w:asciiTheme="minorHAnsi" w:hAnsiTheme="minorHAnsi"/>
          <w:color w:val="000000"/>
          <w:lang w:val="de-DE"/>
        </w:rPr>
        <w:t xml:space="preserve">. Eng. </w:t>
      </w:r>
      <w:r w:rsidR="000058E3" w:rsidRPr="00AA3FB8">
        <w:rPr>
          <w:rFonts w:asciiTheme="minorHAnsi" w:hAnsiTheme="minorHAnsi"/>
          <w:color w:val="000000"/>
        </w:rPr>
        <w:t>Chem. Res. 40</w:t>
      </w:r>
      <w:r w:rsidR="001B507A" w:rsidRPr="00AA3FB8">
        <w:rPr>
          <w:rFonts w:asciiTheme="minorHAnsi" w:hAnsiTheme="minorHAnsi"/>
          <w:color w:val="000000"/>
        </w:rPr>
        <w:t xml:space="preserve"> (2001) 957-964</w:t>
      </w:r>
      <w:r w:rsidR="00960282">
        <w:rPr>
          <w:rFonts w:asciiTheme="minorHAnsi" w:hAnsiTheme="minorHAnsi"/>
          <w:color w:val="000000"/>
        </w:rPr>
        <w:t>.</w:t>
      </w:r>
    </w:p>
    <w:sectPr w:rsidR="00704BDF" w:rsidRPr="00AA3FB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30BDE" w16cid:durableId="1FE789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8C707" w14:textId="77777777" w:rsidR="008F4C5A" w:rsidRDefault="008F4C5A" w:rsidP="004F5E36">
      <w:r>
        <w:separator/>
      </w:r>
    </w:p>
  </w:endnote>
  <w:endnote w:type="continuationSeparator" w:id="0">
    <w:p w14:paraId="4E448B5F" w14:textId="77777777" w:rsidR="008F4C5A" w:rsidRDefault="008F4C5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559BC" w14:textId="77777777" w:rsidR="008F4C5A" w:rsidRDefault="008F4C5A" w:rsidP="004F5E36">
      <w:r>
        <w:separator/>
      </w:r>
    </w:p>
  </w:footnote>
  <w:footnote w:type="continuationSeparator" w:id="0">
    <w:p w14:paraId="6DB8C21A" w14:textId="77777777" w:rsidR="008F4C5A" w:rsidRDefault="008F4C5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FF259" w14:textId="77777777"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201348" wp14:editId="50905AD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498213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CF8DD77" wp14:editId="0254FA6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9ECC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116B834" wp14:editId="2FA56F9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0B6EC05" w14:textId="77777777" w:rsidR="00704BDF" w:rsidRDefault="00704BDF">
    <w:pPr>
      <w:pStyle w:val="Kopfzeile"/>
    </w:pPr>
  </w:p>
  <w:p w14:paraId="34897BF2" w14:textId="77777777"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B7F13D" wp14:editId="43AEA02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E36CE7D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anga, Jonas">
    <w15:presenceInfo w15:providerId="AD" w15:userId="S-1-5-21-1504887961-821798933-785805622-20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58E3"/>
    <w:rsid w:val="000117CB"/>
    <w:rsid w:val="00015B6E"/>
    <w:rsid w:val="000203D2"/>
    <w:rsid w:val="0003148D"/>
    <w:rsid w:val="00056CEB"/>
    <w:rsid w:val="00062A9A"/>
    <w:rsid w:val="00065AFB"/>
    <w:rsid w:val="000839EF"/>
    <w:rsid w:val="00084E39"/>
    <w:rsid w:val="000A03B2"/>
    <w:rsid w:val="000C4122"/>
    <w:rsid w:val="000D34BE"/>
    <w:rsid w:val="000E36F1"/>
    <w:rsid w:val="000E3A73"/>
    <w:rsid w:val="000E3D7D"/>
    <w:rsid w:val="000E414A"/>
    <w:rsid w:val="000F5F6E"/>
    <w:rsid w:val="000F7192"/>
    <w:rsid w:val="0013121F"/>
    <w:rsid w:val="001317C7"/>
    <w:rsid w:val="00134DE4"/>
    <w:rsid w:val="00135BCB"/>
    <w:rsid w:val="00141B25"/>
    <w:rsid w:val="001425E5"/>
    <w:rsid w:val="001503FA"/>
    <w:rsid w:val="00150E59"/>
    <w:rsid w:val="0015147B"/>
    <w:rsid w:val="00164993"/>
    <w:rsid w:val="00184AD6"/>
    <w:rsid w:val="001939CB"/>
    <w:rsid w:val="00194DCB"/>
    <w:rsid w:val="001A1054"/>
    <w:rsid w:val="001B4B01"/>
    <w:rsid w:val="001B507A"/>
    <w:rsid w:val="001B65C1"/>
    <w:rsid w:val="001C0E17"/>
    <w:rsid w:val="001C109D"/>
    <w:rsid w:val="001C684B"/>
    <w:rsid w:val="001C7AD9"/>
    <w:rsid w:val="001D53FC"/>
    <w:rsid w:val="001F2EC7"/>
    <w:rsid w:val="002065DB"/>
    <w:rsid w:val="0022192F"/>
    <w:rsid w:val="00223D05"/>
    <w:rsid w:val="0022743E"/>
    <w:rsid w:val="002436E8"/>
    <w:rsid w:val="002447EF"/>
    <w:rsid w:val="00251550"/>
    <w:rsid w:val="00257C8E"/>
    <w:rsid w:val="0027221A"/>
    <w:rsid w:val="00272B7E"/>
    <w:rsid w:val="00275B61"/>
    <w:rsid w:val="0029632A"/>
    <w:rsid w:val="002D1F12"/>
    <w:rsid w:val="002D2F46"/>
    <w:rsid w:val="002D7C8F"/>
    <w:rsid w:val="003009B7"/>
    <w:rsid w:val="0030469C"/>
    <w:rsid w:val="0030689D"/>
    <w:rsid w:val="00322484"/>
    <w:rsid w:val="003307B6"/>
    <w:rsid w:val="00353744"/>
    <w:rsid w:val="00365EF0"/>
    <w:rsid w:val="00370CAA"/>
    <w:rsid w:val="003723D4"/>
    <w:rsid w:val="003858FE"/>
    <w:rsid w:val="003A7D1C"/>
    <w:rsid w:val="003C5F8D"/>
    <w:rsid w:val="003D2296"/>
    <w:rsid w:val="003F6432"/>
    <w:rsid w:val="003F6A13"/>
    <w:rsid w:val="00422AD0"/>
    <w:rsid w:val="00424B0B"/>
    <w:rsid w:val="00430376"/>
    <w:rsid w:val="0043556B"/>
    <w:rsid w:val="00454B88"/>
    <w:rsid w:val="0046164A"/>
    <w:rsid w:val="00462DCD"/>
    <w:rsid w:val="004857EF"/>
    <w:rsid w:val="00487292"/>
    <w:rsid w:val="00491A9C"/>
    <w:rsid w:val="004A45EC"/>
    <w:rsid w:val="004B63DA"/>
    <w:rsid w:val="004C03D2"/>
    <w:rsid w:val="004C79B9"/>
    <w:rsid w:val="004D1162"/>
    <w:rsid w:val="004D62C9"/>
    <w:rsid w:val="004E4DD6"/>
    <w:rsid w:val="004E62C6"/>
    <w:rsid w:val="004F5E36"/>
    <w:rsid w:val="005119A5"/>
    <w:rsid w:val="00520E10"/>
    <w:rsid w:val="00521486"/>
    <w:rsid w:val="005216D6"/>
    <w:rsid w:val="00522E8F"/>
    <w:rsid w:val="00525FE8"/>
    <w:rsid w:val="005278B7"/>
    <w:rsid w:val="005346C8"/>
    <w:rsid w:val="005523DE"/>
    <w:rsid w:val="0056726A"/>
    <w:rsid w:val="00585BB9"/>
    <w:rsid w:val="00594E9F"/>
    <w:rsid w:val="005A695E"/>
    <w:rsid w:val="005B5602"/>
    <w:rsid w:val="005B61E6"/>
    <w:rsid w:val="005C1F96"/>
    <w:rsid w:val="005C77E1"/>
    <w:rsid w:val="005D0CD2"/>
    <w:rsid w:val="005D6A2F"/>
    <w:rsid w:val="005E09EB"/>
    <w:rsid w:val="005E1A82"/>
    <w:rsid w:val="005E3C54"/>
    <w:rsid w:val="005E4697"/>
    <w:rsid w:val="005E769B"/>
    <w:rsid w:val="005F0A28"/>
    <w:rsid w:val="005F0E5E"/>
    <w:rsid w:val="005F5AC7"/>
    <w:rsid w:val="00611E67"/>
    <w:rsid w:val="00620DEE"/>
    <w:rsid w:val="00625639"/>
    <w:rsid w:val="006342E5"/>
    <w:rsid w:val="006373C0"/>
    <w:rsid w:val="0064184D"/>
    <w:rsid w:val="0064365C"/>
    <w:rsid w:val="00651CA4"/>
    <w:rsid w:val="00655F18"/>
    <w:rsid w:val="00660E3E"/>
    <w:rsid w:val="00662E74"/>
    <w:rsid w:val="00667E87"/>
    <w:rsid w:val="00675EE7"/>
    <w:rsid w:val="006854CC"/>
    <w:rsid w:val="00687211"/>
    <w:rsid w:val="006A4ED2"/>
    <w:rsid w:val="006A58D2"/>
    <w:rsid w:val="006C5579"/>
    <w:rsid w:val="006C79BA"/>
    <w:rsid w:val="006D4C86"/>
    <w:rsid w:val="006E3FBC"/>
    <w:rsid w:val="006E7E70"/>
    <w:rsid w:val="006F7F81"/>
    <w:rsid w:val="00704BDF"/>
    <w:rsid w:val="00706FF4"/>
    <w:rsid w:val="00735217"/>
    <w:rsid w:val="00736B13"/>
    <w:rsid w:val="00736D93"/>
    <w:rsid w:val="00737AF4"/>
    <w:rsid w:val="007447F3"/>
    <w:rsid w:val="00746672"/>
    <w:rsid w:val="0075229D"/>
    <w:rsid w:val="0075238F"/>
    <w:rsid w:val="007661C8"/>
    <w:rsid w:val="007A5A45"/>
    <w:rsid w:val="007B163A"/>
    <w:rsid w:val="007C093F"/>
    <w:rsid w:val="007D52CD"/>
    <w:rsid w:val="007E438A"/>
    <w:rsid w:val="007F045D"/>
    <w:rsid w:val="00805AF5"/>
    <w:rsid w:val="00813288"/>
    <w:rsid w:val="008168FC"/>
    <w:rsid w:val="008212BF"/>
    <w:rsid w:val="00823234"/>
    <w:rsid w:val="00842819"/>
    <w:rsid w:val="008479A2"/>
    <w:rsid w:val="0085003A"/>
    <w:rsid w:val="00861DFC"/>
    <w:rsid w:val="00863977"/>
    <w:rsid w:val="0087637F"/>
    <w:rsid w:val="008907A8"/>
    <w:rsid w:val="008A1512"/>
    <w:rsid w:val="008B0E85"/>
    <w:rsid w:val="008B2A68"/>
    <w:rsid w:val="008C7418"/>
    <w:rsid w:val="008D0BEB"/>
    <w:rsid w:val="008E566E"/>
    <w:rsid w:val="008F4C5A"/>
    <w:rsid w:val="00901EB6"/>
    <w:rsid w:val="00902579"/>
    <w:rsid w:val="00905238"/>
    <w:rsid w:val="00916AB4"/>
    <w:rsid w:val="009256AC"/>
    <w:rsid w:val="009338CC"/>
    <w:rsid w:val="00935157"/>
    <w:rsid w:val="00942485"/>
    <w:rsid w:val="00944EF4"/>
    <w:rsid w:val="009450CE"/>
    <w:rsid w:val="0095164B"/>
    <w:rsid w:val="00952410"/>
    <w:rsid w:val="00960282"/>
    <w:rsid w:val="0097098E"/>
    <w:rsid w:val="00977980"/>
    <w:rsid w:val="00992418"/>
    <w:rsid w:val="00996483"/>
    <w:rsid w:val="00997A1A"/>
    <w:rsid w:val="00997DF9"/>
    <w:rsid w:val="009A10A2"/>
    <w:rsid w:val="009E788A"/>
    <w:rsid w:val="009F31D3"/>
    <w:rsid w:val="00A01497"/>
    <w:rsid w:val="00A04736"/>
    <w:rsid w:val="00A14244"/>
    <w:rsid w:val="00A1656A"/>
    <w:rsid w:val="00A1763D"/>
    <w:rsid w:val="00A17CEC"/>
    <w:rsid w:val="00A21B30"/>
    <w:rsid w:val="00A27EF0"/>
    <w:rsid w:val="00A57F25"/>
    <w:rsid w:val="00A76EFC"/>
    <w:rsid w:val="00A81B5A"/>
    <w:rsid w:val="00A87C5C"/>
    <w:rsid w:val="00A920DA"/>
    <w:rsid w:val="00A9626B"/>
    <w:rsid w:val="00A97F29"/>
    <w:rsid w:val="00AA3FB8"/>
    <w:rsid w:val="00AB0964"/>
    <w:rsid w:val="00AC0770"/>
    <w:rsid w:val="00AC499F"/>
    <w:rsid w:val="00AD389B"/>
    <w:rsid w:val="00AE377D"/>
    <w:rsid w:val="00AF2525"/>
    <w:rsid w:val="00B07EB7"/>
    <w:rsid w:val="00B5416C"/>
    <w:rsid w:val="00B61DBF"/>
    <w:rsid w:val="00B74935"/>
    <w:rsid w:val="00B762C5"/>
    <w:rsid w:val="00B8376F"/>
    <w:rsid w:val="00B84F2B"/>
    <w:rsid w:val="00BA7772"/>
    <w:rsid w:val="00BB5BCF"/>
    <w:rsid w:val="00BC30C9"/>
    <w:rsid w:val="00BD1629"/>
    <w:rsid w:val="00BD36C4"/>
    <w:rsid w:val="00BD47C8"/>
    <w:rsid w:val="00BD79A7"/>
    <w:rsid w:val="00BE3E58"/>
    <w:rsid w:val="00BE73F2"/>
    <w:rsid w:val="00C01616"/>
    <w:rsid w:val="00C0162B"/>
    <w:rsid w:val="00C212E6"/>
    <w:rsid w:val="00C218A5"/>
    <w:rsid w:val="00C345B1"/>
    <w:rsid w:val="00C368D8"/>
    <w:rsid w:val="00C40142"/>
    <w:rsid w:val="00C42583"/>
    <w:rsid w:val="00C446DF"/>
    <w:rsid w:val="00C568EB"/>
    <w:rsid w:val="00C57182"/>
    <w:rsid w:val="00C57C81"/>
    <w:rsid w:val="00C655FD"/>
    <w:rsid w:val="00C71DBC"/>
    <w:rsid w:val="00C867B1"/>
    <w:rsid w:val="00C8761A"/>
    <w:rsid w:val="00C93577"/>
    <w:rsid w:val="00C94434"/>
    <w:rsid w:val="00CA1C95"/>
    <w:rsid w:val="00CA2513"/>
    <w:rsid w:val="00CA4111"/>
    <w:rsid w:val="00CA460D"/>
    <w:rsid w:val="00CA5A9C"/>
    <w:rsid w:val="00CB147D"/>
    <w:rsid w:val="00CD4FB1"/>
    <w:rsid w:val="00CD5FE2"/>
    <w:rsid w:val="00CE25AD"/>
    <w:rsid w:val="00CE4157"/>
    <w:rsid w:val="00CF2ED0"/>
    <w:rsid w:val="00CF5C45"/>
    <w:rsid w:val="00CF6785"/>
    <w:rsid w:val="00D02B4C"/>
    <w:rsid w:val="00D326A4"/>
    <w:rsid w:val="00D426A9"/>
    <w:rsid w:val="00D80C8C"/>
    <w:rsid w:val="00D81AE2"/>
    <w:rsid w:val="00D84576"/>
    <w:rsid w:val="00D90E52"/>
    <w:rsid w:val="00D95CD4"/>
    <w:rsid w:val="00DA203F"/>
    <w:rsid w:val="00DC1F9E"/>
    <w:rsid w:val="00DC5F38"/>
    <w:rsid w:val="00DC70B5"/>
    <w:rsid w:val="00DE0019"/>
    <w:rsid w:val="00DE17F2"/>
    <w:rsid w:val="00DE1994"/>
    <w:rsid w:val="00DE264A"/>
    <w:rsid w:val="00DE28A2"/>
    <w:rsid w:val="00DF7BD4"/>
    <w:rsid w:val="00E041E7"/>
    <w:rsid w:val="00E16E14"/>
    <w:rsid w:val="00E20A8B"/>
    <w:rsid w:val="00E23CA1"/>
    <w:rsid w:val="00E37C87"/>
    <w:rsid w:val="00E409A8"/>
    <w:rsid w:val="00E4117C"/>
    <w:rsid w:val="00E522DE"/>
    <w:rsid w:val="00E7209D"/>
    <w:rsid w:val="00E81075"/>
    <w:rsid w:val="00E9711D"/>
    <w:rsid w:val="00EA2A5F"/>
    <w:rsid w:val="00EA2B4B"/>
    <w:rsid w:val="00EA50E1"/>
    <w:rsid w:val="00EE0131"/>
    <w:rsid w:val="00EE244C"/>
    <w:rsid w:val="00EE4309"/>
    <w:rsid w:val="00F13FA5"/>
    <w:rsid w:val="00F17D61"/>
    <w:rsid w:val="00F3013E"/>
    <w:rsid w:val="00F30C64"/>
    <w:rsid w:val="00F4262F"/>
    <w:rsid w:val="00F462E5"/>
    <w:rsid w:val="00F67FF5"/>
    <w:rsid w:val="00F72951"/>
    <w:rsid w:val="00F855E1"/>
    <w:rsid w:val="00FB730C"/>
    <w:rsid w:val="00FC2695"/>
    <w:rsid w:val="00FC3E03"/>
    <w:rsid w:val="00FC4ABE"/>
    <w:rsid w:val="00FD3C35"/>
    <w:rsid w:val="00FE5316"/>
    <w:rsid w:val="00FE6A2D"/>
    <w:rsid w:val="00FF5A0A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E7FD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256AC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4872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256AC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487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EFF7-6A71-43AB-8A26-F51FF5C3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3803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Fabian Huxoll</cp:lastModifiedBy>
  <cp:revision>2</cp:revision>
  <cp:lastPrinted>2018-12-11T10:02:00Z</cp:lastPrinted>
  <dcterms:created xsi:type="dcterms:W3CDTF">2019-01-15T13:43:00Z</dcterms:created>
  <dcterms:modified xsi:type="dcterms:W3CDTF">2019-01-15T13:43:00Z</dcterms:modified>
</cp:coreProperties>
</file>