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986DC1" w:rsidRDefault="00986DC1" w:rsidP="00986DC1">
      <w:pPr>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Control of Shell and Particle Porosity in Fluidized Bed Layering Granulation</w:t>
      </w:r>
    </w:p>
    <w:p w:rsidR="00986DC1" w:rsidRDefault="00986DC1" w:rsidP="00986DC1">
      <w:pPr>
        <w:sectPr w:rsidR="00986DC1">
          <w:type w:val="continuous"/>
          <w:pgSz w:w="11906" w:h="16838"/>
          <w:pgMar w:top="2552" w:right="1418" w:bottom="1134" w:left="1701" w:header="1128" w:footer="0" w:gutter="0"/>
          <w:cols w:space="720"/>
          <w:formProt w:val="0"/>
          <w:docGrid w:linePitch="360" w:charSpace="6143"/>
        </w:sectPr>
      </w:pPr>
    </w:p>
    <w:p w:rsidR="0054252F" w:rsidRDefault="0054252F" w:rsidP="0054252F">
      <w:pPr>
        <w:spacing w:after="120"/>
        <w:jc w:val="center"/>
        <w:rPr>
          <w:rFonts w:eastAsia="SimSun"/>
          <w:color w:val="000000"/>
          <w:vertAlign w:val="superscript"/>
          <w:lang w:val="de-DE" w:eastAsia="zh-CN"/>
        </w:rPr>
      </w:pPr>
      <w:r>
        <w:rPr>
          <w:rFonts w:asciiTheme="minorHAnsi" w:eastAsia="SimSun" w:hAnsiTheme="minorHAnsi"/>
          <w:color w:val="000000"/>
          <w:sz w:val="24"/>
          <w:szCs w:val="24"/>
          <w:u w:val="single"/>
          <w:lang w:val="de-DE" w:eastAsia="zh-CN"/>
        </w:rPr>
        <w:lastRenderedPageBreak/>
        <w:t>Andreas Bück</w:t>
      </w:r>
      <w:r>
        <w:rPr>
          <w:rFonts w:asciiTheme="minorHAnsi" w:eastAsia="SimSun" w:hAnsiTheme="minorHAnsi"/>
          <w:color w:val="000000"/>
          <w:sz w:val="24"/>
          <w:szCs w:val="24"/>
          <w:u w:val="single"/>
          <w:vertAlign w:val="superscript"/>
          <w:lang w:val="de-DE" w:eastAsia="zh-CN"/>
        </w:rPr>
        <w:t>1</w:t>
      </w:r>
      <w:r>
        <w:rPr>
          <w:rFonts w:asciiTheme="minorHAnsi" w:eastAsia="SimSun" w:hAnsiTheme="minorHAnsi"/>
          <w:color w:val="000000"/>
          <w:sz w:val="24"/>
          <w:szCs w:val="24"/>
          <w:lang w:val="de-DE" w:eastAsia="zh-CN"/>
        </w:rPr>
        <w:t>, Christoph Neugebauer</w:t>
      </w:r>
      <w:r>
        <w:rPr>
          <w:rFonts w:eastAsia="SimSun"/>
          <w:color w:val="000000"/>
          <w:vertAlign w:val="superscript"/>
          <w:lang w:val="de-DE" w:eastAsia="zh-CN"/>
        </w:rPr>
        <w:t>2</w:t>
      </w:r>
      <w:r>
        <w:rPr>
          <w:rFonts w:asciiTheme="minorHAnsi" w:eastAsia="SimSun" w:hAnsiTheme="minorHAnsi"/>
          <w:color w:val="000000"/>
          <w:sz w:val="24"/>
          <w:szCs w:val="24"/>
          <w:lang w:val="de-DE" w:eastAsia="zh-CN"/>
        </w:rPr>
        <w:t>, Carsten Seidel</w:t>
      </w:r>
      <w:r>
        <w:rPr>
          <w:rFonts w:eastAsia="SimSun"/>
          <w:color w:val="000000"/>
          <w:vertAlign w:val="superscript"/>
          <w:lang w:val="de-DE" w:eastAsia="zh-CN"/>
        </w:rPr>
        <w:t>2</w:t>
      </w:r>
      <w:r>
        <w:rPr>
          <w:rFonts w:asciiTheme="minorHAnsi" w:eastAsia="SimSun" w:hAnsiTheme="minorHAnsi"/>
          <w:color w:val="000000"/>
          <w:sz w:val="24"/>
          <w:szCs w:val="24"/>
          <w:lang w:val="de-DE" w:eastAsia="zh-CN"/>
        </w:rPr>
        <w:t>, Robert Dürr</w:t>
      </w:r>
      <w:r>
        <w:rPr>
          <w:rFonts w:eastAsia="SimSun"/>
          <w:color w:val="000000"/>
          <w:vertAlign w:val="superscript"/>
          <w:lang w:val="de-DE" w:eastAsia="zh-CN"/>
        </w:rPr>
        <w:t>3</w:t>
      </w:r>
      <w:r>
        <w:rPr>
          <w:rFonts w:asciiTheme="minorHAnsi" w:eastAsia="SimSun" w:hAnsiTheme="minorHAnsi"/>
          <w:color w:val="000000"/>
          <w:sz w:val="24"/>
          <w:szCs w:val="24"/>
          <w:lang w:val="de-DE" w:eastAsia="zh-CN"/>
        </w:rPr>
        <w:t>, Achim Kienle</w:t>
      </w:r>
      <w:r>
        <w:rPr>
          <w:rFonts w:eastAsia="SimSun"/>
          <w:color w:val="000000"/>
          <w:vertAlign w:val="superscript"/>
          <w:lang w:val="de-DE" w:eastAsia="zh-CN"/>
        </w:rPr>
        <w:t>2,3</w:t>
      </w:r>
    </w:p>
    <w:p w:rsidR="0054252F" w:rsidRDefault="0054252F" w:rsidP="0054252F">
      <w:pPr>
        <w:spacing w:after="120"/>
        <w:jc w:val="center"/>
        <w:rPr>
          <w:rFonts w:asciiTheme="minorHAnsi" w:eastAsia="MS PGothic" w:hAnsiTheme="minorHAnsi"/>
          <w:bCs/>
          <w:i/>
          <w:iCs/>
          <w:color w:val="000000"/>
          <w:sz w:val="20"/>
        </w:rPr>
      </w:pPr>
      <w:r>
        <w:rPr>
          <w:rFonts w:eastAsia="MS PGothic"/>
          <w:i/>
          <w:iCs/>
          <w:color w:val="000000"/>
          <w:sz w:val="20"/>
          <w:lang w:val="en-US"/>
        </w:rPr>
        <w:t xml:space="preserve">1 </w:t>
      </w:r>
      <w:r>
        <w:rPr>
          <w:rFonts w:asciiTheme="minorHAnsi" w:eastAsia="MS PGothic" w:hAnsiTheme="minorHAnsi"/>
          <w:i/>
          <w:iCs/>
          <w:color w:val="000000"/>
          <w:sz w:val="20"/>
        </w:rPr>
        <w:t xml:space="preserve">Institute of Particle Technology, </w:t>
      </w:r>
      <w:r>
        <w:rPr>
          <w:rFonts w:asciiTheme="minorHAnsi" w:eastAsia="MS PGothic" w:hAnsiTheme="minorHAnsi"/>
          <w:bCs/>
          <w:i/>
          <w:iCs/>
          <w:color w:val="000000"/>
          <w:sz w:val="20"/>
          <w:lang w:val="en-US"/>
        </w:rPr>
        <w:t xml:space="preserve">Friedrich-Alexander University, </w:t>
      </w:r>
      <w:r>
        <w:rPr>
          <w:rFonts w:asciiTheme="minorHAnsi" w:eastAsia="MS PGothic" w:hAnsiTheme="minorHAnsi"/>
          <w:bCs/>
          <w:i/>
          <w:iCs/>
          <w:color w:val="000000"/>
          <w:sz w:val="20"/>
        </w:rPr>
        <w:t>91058 Erlangen, Germany</w:t>
      </w:r>
    </w:p>
    <w:p w:rsidR="0054252F" w:rsidRDefault="0054252F" w:rsidP="0054252F">
      <w:pPr>
        <w:spacing w:after="120"/>
        <w:jc w:val="center"/>
        <w:rPr>
          <w:rFonts w:asciiTheme="minorHAnsi" w:eastAsia="MS PGothic" w:hAnsiTheme="minorHAnsi"/>
          <w:i/>
          <w:iCs/>
          <w:color w:val="000000"/>
          <w:sz w:val="20"/>
        </w:rPr>
      </w:pPr>
      <w:r>
        <w:rPr>
          <w:rFonts w:asciiTheme="minorHAnsi" w:eastAsia="MS PGothic" w:hAnsiTheme="minorHAnsi"/>
          <w:i/>
          <w:iCs/>
          <w:color w:val="000000"/>
          <w:sz w:val="20"/>
          <w:lang w:val="en-US"/>
        </w:rPr>
        <w:t xml:space="preserve">2 </w:t>
      </w:r>
      <w:r>
        <w:rPr>
          <w:rFonts w:asciiTheme="minorHAnsi" w:eastAsia="MS PGothic" w:hAnsiTheme="minorHAnsi"/>
          <w:bCs/>
          <w:i/>
          <w:iCs/>
          <w:color w:val="000000"/>
          <w:sz w:val="20"/>
          <w:lang w:val="en-US"/>
        </w:rPr>
        <w:t>Automation and Modeling, Otto von Guericke University, 39106 Magdeburg,</w:t>
      </w:r>
      <w:r>
        <w:rPr>
          <w:rFonts w:asciiTheme="minorHAnsi" w:eastAsia="MS PGothic" w:hAnsiTheme="minorHAnsi"/>
          <w:i/>
          <w:iCs/>
          <w:color w:val="000000"/>
          <w:sz w:val="20"/>
        </w:rPr>
        <w:t xml:space="preserve"> Germany</w:t>
      </w:r>
    </w:p>
    <w:p w:rsidR="0054252F" w:rsidRDefault="0054252F" w:rsidP="0054252F">
      <w:pPr>
        <w:spacing w:after="120"/>
        <w:jc w:val="center"/>
        <w:rPr>
          <w:rFonts w:asciiTheme="minorHAnsi" w:eastAsia="MS PGothic" w:hAnsiTheme="minorHAnsi"/>
          <w:bCs/>
          <w:i/>
          <w:iCs/>
          <w:color w:val="000000"/>
          <w:sz w:val="20"/>
        </w:rPr>
      </w:pPr>
      <w:r>
        <w:rPr>
          <w:rFonts w:asciiTheme="minorHAnsi" w:eastAsia="MS PGothic" w:hAnsiTheme="minorHAnsi"/>
          <w:i/>
          <w:iCs/>
          <w:color w:val="000000"/>
          <w:sz w:val="20"/>
          <w:lang w:val="en-US"/>
        </w:rPr>
        <w:t xml:space="preserve">3 </w:t>
      </w:r>
      <w:r>
        <w:rPr>
          <w:rFonts w:asciiTheme="minorHAnsi" w:eastAsia="MS PGothic" w:hAnsiTheme="minorHAnsi"/>
          <w:bCs/>
          <w:i/>
          <w:iCs/>
          <w:color w:val="000000"/>
          <w:sz w:val="20"/>
        </w:rPr>
        <w:t>Max Planck Institute for Dynamics of Complex Technical Systems, 39106 Magdeburg, Germany</w:t>
      </w:r>
    </w:p>
    <w:p w:rsidR="00704BDF" w:rsidRPr="00DE0019" w:rsidRDefault="0054252F" w:rsidP="0054252F">
      <w:pPr>
        <w:spacing w:after="12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*Corresponding author</w:t>
      </w:r>
      <w:r>
        <w:rPr>
          <w:rFonts w:asciiTheme="minorHAnsi" w:eastAsia="MS PGothic" w:hAnsiTheme="minorHAnsi"/>
          <w:bCs/>
          <w:i/>
          <w:iCs/>
          <w:sz w:val="20"/>
          <w:lang w:val="en-US" w:eastAsia="ko-KR"/>
        </w:rPr>
        <w:t>:</w:t>
      </w:r>
      <w:r>
        <w:rPr>
          <w:rFonts w:asciiTheme="minorHAnsi" w:eastAsia="MS PGothic" w:hAnsiTheme="minorHAnsi"/>
          <w:bCs/>
          <w:i/>
          <w:iCs/>
          <w:sz w:val="20"/>
          <w:lang w:val="en-US"/>
        </w:rPr>
        <w:t xml:space="preserve"> andreas.bueck@fau.de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54252F" w:rsidP="00704BDF">
      <w:pPr>
        <w:pStyle w:val="AbstractBody"/>
        <w:numPr>
          <w:ilvl w:val="0"/>
          <w:numId w:val="16"/>
        </w:numPr>
        <w:rPr>
          <w:rFonts w:asciiTheme="minorHAnsi" w:hAnsiTheme="minorHAnsi"/>
        </w:rPr>
      </w:pPr>
      <w:r w:rsidRPr="0054252F">
        <w:rPr>
          <w:rFonts w:asciiTheme="minorHAnsi" w:hAnsiTheme="minorHAnsi"/>
        </w:rPr>
        <w:t>steady-state operation of continues Fluidzed Bed Layering Granulation</w:t>
      </w:r>
    </w:p>
    <w:p w:rsidR="0054252F" w:rsidRDefault="0054252F" w:rsidP="0054252F">
      <w:pPr>
        <w:pStyle w:val="AbstractBody"/>
        <w:numPr>
          <w:ilvl w:val="0"/>
          <w:numId w:val="16"/>
        </w:numPr>
        <w:tabs>
          <w:tab w:val="left" w:pos="709"/>
          <w:tab w:val="right" w:pos="7100"/>
        </w:tabs>
        <w:suppressAutoHyphens/>
        <w:rPr>
          <w:rFonts w:asciiTheme="minorHAnsi" w:hAnsiTheme="minorHAnsi"/>
        </w:rPr>
      </w:pPr>
      <w:r>
        <w:rPr>
          <w:rFonts w:asciiTheme="minorHAnsi" w:hAnsiTheme="minorHAnsi"/>
        </w:rPr>
        <w:t>robust formation of tailor-made particle properties</w:t>
      </w:r>
    </w:p>
    <w:p w:rsidR="0054252F" w:rsidRDefault="0054252F" w:rsidP="0054252F">
      <w:pPr>
        <w:pStyle w:val="AbstractBody"/>
        <w:numPr>
          <w:ilvl w:val="0"/>
          <w:numId w:val="16"/>
        </w:numPr>
        <w:tabs>
          <w:tab w:val="left" w:pos="709"/>
          <w:tab w:val="right" w:pos="7100"/>
        </w:tabs>
        <w:suppressAutoHyphens/>
      </w:pPr>
      <w:r>
        <w:rPr>
          <w:rFonts w:asciiTheme="minorHAnsi" w:hAnsiTheme="minorHAnsi"/>
        </w:rPr>
        <w:t>model-based process control with multiple input multiple output controller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D62E28" w:rsidP="00704BDF">
      <w:pPr>
        <w:snapToGrid w:val="0"/>
        <w:spacing w:line="300" w:lineRule="auto"/>
        <w:rPr>
          <w:rFonts w:asciiTheme="minorHAnsi" w:eastAsia="MS PGothic" w:hAnsiTheme="minorHAnsi"/>
          <w:b/>
          <w:bCs/>
          <w:color w:val="000000"/>
          <w:sz w:val="22"/>
          <w:szCs w:val="22"/>
          <w:lang w:val="en-US" w:eastAsia="ko-KR"/>
        </w:rPr>
      </w:pPr>
      <w:r>
        <w:rPr>
          <w:noProof/>
          <w:lang w:val="de-DE" w:eastAsia="de-DE"/>
        </w:rPr>
        <w:drawing>
          <wp:anchor distT="0" distB="0" distL="114300" distR="114300" simplePos="0" relativeHeight="251658240" behindDoc="0" locked="0" layoutInCell="1" allowOverlap="1">
            <wp:simplePos x="0" y="0"/>
            <wp:positionH relativeFrom="column">
              <wp:posOffset>3950970</wp:posOffset>
            </wp:positionH>
            <wp:positionV relativeFrom="paragraph">
              <wp:posOffset>154940</wp:posOffset>
            </wp:positionV>
            <wp:extent cx="1633220" cy="1878330"/>
            <wp:effectExtent l="19050" t="0" r="5080" b="0"/>
            <wp:wrapSquare wrapText="bothSides"/>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tretch>
                      <a:fillRect/>
                    </a:stretch>
                  </pic:blipFill>
                  <pic:spPr bwMode="auto">
                    <a:xfrm>
                      <a:off x="0" y="0"/>
                      <a:ext cx="1633220" cy="1878330"/>
                    </a:xfrm>
                    <a:prstGeom prst="rect">
                      <a:avLst/>
                    </a:prstGeom>
                    <a:noFill/>
                    <a:ln w="9525">
                      <a:noFill/>
                      <a:miter lim="800000"/>
                      <a:headEnd/>
                      <a:tailEnd/>
                    </a:ln>
                  </pic:spPr>
                </pic:pic>
              </a:graphicData>
            </a:graphic>
          </wp:anchor>
        </w:drawing>
      </w:r>
      <w:r w:rsidR="00161231">
        <w:rPr>
          <w:noProof/>
        </w:rPr>
        <w:pict>
          <v:shapetype id="_x0000_t202" coordsize="21600,21600" o:spt="202" path="m,l,21600r21600,l21600,xe">
            <v:stroke joinstyle="miter"/>
            <v:path gradientshapeok="t" o:connecttype="rect"/>
          </v:shapetype>
          <v:shape id="_x0000_s1028" type="#_x0000_t202" style="position:absolute;left:0;text-align:left;margin-left:310.95pt;margin-top:164.6pt;width:129pt;height:.05pt;z-index:251663360;mso-position-horizontal-relative:text;mso-position-vertical-relative:text" stroked="f">
            <v:textbox style="mso-fit-shape-to-text:t" inset="0,0,0,0">
              <w:txbxContent>
                <w:p w:rsidR="00161231" w:rsidRPr="00161231" w:rsidRDefault="00161231" w:rsidP="00161231">
                  <w:pPr>
                    <w:pStyle w:val="Beschriftung"/>
                    <w:rPr>
                      <w:rFonts w:ascii="Calibri" w:hAnsi="Calibri"/>
                      <w:b w:val="0"/>
                      <w:noProof/>
                      <w:color w:val="auto"/>
                      <w:szCs w:val="20"/>
                    </w:rPr>
                  </w:pPr>
                  <w:r w:rsidRPr="00161231">
                    <w:rPr>
                      <w:rFonts w:ascii="Calibri" w:hAnsi="Calibri"/>
                      <w:color w:val="auto"/>
                    </w:rPr>
                    <w:t xml:space="preserve">Figure </w:t>
                  </w:r>
                  <w:r w:rsidRPr="00161231">
                    <w:rPr>
                      <w:rFonts w:ascii="Calibri" w:hAnsi="Calibri"/>
                      <w:color w:val="auto"/>
                    </w:rPr>
                    <w:fldChar w:fldCharType="begin"/>
                  </w:r>
                  <w:r w:rsidRPr="00161231">
                    <w:rPr>
                      <w:rFonts w:ascii="Calibri" w:hAnsi="Calibri"/>
                      <w:color w:val="auto"/>
                    </w:rPr>
                    <w:instrText xml:space="preserve"> SEQ Figure \* ARABIC </w:instrText>
                  </w:r>
                  <w:r w:rsidRPr="00161231">
                    <w:rPr>
                      <w:rFonts w:ascii="Calibri" w:hAnsi="Calibri"/>
                      <w:color w:val="auto"/>
                    </w:rPr>
                    <w:fldChar w:fldCharType="separate"/>
                  </w:r>
                  <w:r w:rsidR="007B1C0B">
                    <w:rPr>
                      <w:rFonts w:ascii="Calibri" w:hAnsi="Calibri"/>
                      <w:noProof/>
                      <w:color w:val="auto"/>
                    </w:rPr>
                    <w:t>1</w:t>
                  </w:r>
                  <w:r w:rsidRPr="00161231">
                    <w:rPr>
                      <w:rFonts w:ascii="Calibri" w:hAnsi="Calibri"/>
                      <w:color w:val="auto"/>
                    </w:rPr>
                    <w:fldChar w:fldCharType="end"/>
                  </w:r>
                  <w:r w:rsidRPr="00161231">
                    <w:rPr>
                      <w:rFonts w:ascii="Calibri" w:hAnsi="Calibri"/>
                      <w:color w:val="auto"/>
                    </w:rPr>
                    <w:t>.</w:t>
                  </w:r>
                  <w:r w:rsidRPr="00161231">
                    <w:rPr>
                      <w:rFonts w:ascii="Calibri" w:hAnsi="Calibri"/>
                      <w:b w:val="0"/>
                      <w:color w:val="auto"/>
                    </w:rPr>
                    <w:t xml:space="preserve"> Structure of the dynamic model as presented in [4].</w:t>
                  </w:r>
                </w:p>
              </w:txbxContent>
            </v:textbox>
            <w10:wrap type="square"/>
          </v:shape>
        </w:pict>
      </w:r>
      <w:r w:rsidR="00704BDF" w:rsidRPr="008D0BEB">
        <w:rPr>
          <w:rFonts w:asciiTheme="minorHAnsi" w:eastAsia="MS PGothic" w:hAnsiTheme="minorHAnsi"/>
          <w:b/>
          <w:bCs/>
          <w:color w:val="000000"/>
          <w:sz w:val="22"/>
          <w:szCs w:val="22"/>
          <w:lang w:val="en-US"/>
        </w:rPr>
        <w:t>1. Introduction</w:t>
      </w:r>
    </w:p>
    <w:p w:rsidR="007C42E1" w:rsidRDefault="007C42E1" w:rsidP="007C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An important class of particle formulation processes is the fluidized bed layering granulation (FBLG). It is widely applied in processing industries to gain high-quality granules. In brief, a solid containing liquid is sprayed onto a bed of fluidized particles. Since the fluidization medium is a heated gas, the liquid phase of the injection evaporates while the solid remains on the particles surface inducing a layer-wise particle growth. On the large scale FBLGs are operated continuously. This allows the formulation of particles with uniform characteristics under steady state conditions. </w:t>
      </w:r>
    </w:p>
    <w:p w:rsidR="007C42E1" w:rsidRPr="008D0BEB" w:rsidRDefault="007C42E1" w:rsidP="00E3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It is well known from previous studies that particle properties depend on the process conditions. For instance, Rieck et al. [1] showed by means of experiments that the thermal conditions of the FBLG process determine the porosity of the particle shell and, in consequence, the apparent particle porosity and density. As Litster and Ennis [2] pointed out, most of the other particle properties, e.g. particle strength, flowability, and dissolution behavior depend on the shell or apparent particle porosity and particle size. Therefore, constant thermal conditions are essential for the production of tailor-made particles. As was shown by Neugebauer et al. [3], the application of feedback controllers is promising to improve the performance of particulate processes. Scope of the present contribution is the development and validation of a multiple input multiple output </w:t>
      </w:r>
      <w:r>
        <w:rPr>
          <w:rFonts w:asciiTheme="minorHAnsi" w:hAnsiTheme="minorHAnsi"/>
        </w:rPr>
        <w:t>MIMO</w:t>
      </w:r>
      <w:r>
        <w:rPr>
          <w:rFonts w:asciiTheme="minorHAnsi" w:eastAsia="MS PGothic" w:hAnsiTheme="minorHAnsi"/>
          <w:color w:val="000000"/>
          <w:sz w:val="22"/>
          <w:szCs w:val="22"/>
          <w:lang w:val="en-US"/>
        </w:rPr>
        <w:t xml:space="preserve"> control strategy which is capable</w:t>
      </w:r>
      <w:r w:rsidRPr="00BC78B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to control both, particle size and porosity.</w:t>
      </w:r>
    </w:p>
    <w:p w:rsidR="00704BDF" w:rsidRDefault="00704BDF" w:rsidP="00A22B15">
      <w:pPr>
        <w:snapToGrid w:val="0"/>
        <w:rPr>
          <w:rFonts w:asciiTheme="minorHAnsi" w:eastAsia="MS PGothic" w:hAnsiTheme="minorHAnsi"/>
          <w:b/>
          <w:bCs/>
          <w:color w:val="000000"/>
          <w:sz w:val="22"/>
          <w:szCs w:val="22"/>
          <w:lang w:val="en-US"/>
        </w:rPr>
      </w:pPr>
      <w:bookmarkStart w:id="0" w:name="_GoBack"/>
      <w:bookmarkEnd w:id="0"/>
      <w:r w:rsidRPr="008D0BEB">
        <w:rPr>
          <w:rFonts w:asciiTheme="minorHAnsi" w:eastAsia="MS PGothic" w:hAnsiTheme="minorHAnsi"/>
          <w:b/>
          <w:bCs/>
          <w:color w:val="000000"/>
          <w:sz w:val="22"/>
          <w:szCs w:val="22"/>
          <w:lang w:val="en-US"/>
        </w:rPr>
        <w:t>2. Methods</w:t>
      </w:r>
    </w:p>
    <w:p w:rsidR="00E34E8A" w:rsidRDefault="00CF07FA" w:rsidP="00E3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present contribution is based on the dynamic model of FBLG presented in Neugebauer et al. [4]. The model consists, as depicted in Figure 1, of two bi-directional coupled sub-models: The first, a population balance model, represents the growth of the particles; the second considers the </w:t>
      </w:r>
      <w:r>
        <w:rPr>
          <w:rFonts w:asciiTheme="minorHAnsi" w:eastAsia="MS PGothic" w:hAnsiTheme="minorHAnsi"/>
          <w:color w:val="000000"/>
          <w:sz w:val="22"/>
          <w:szCs w:val="22"/>
          <w:lang w:val="en-US"/>
        </w:rPr>
        <w:lastRenderedPageBreak/>
        <w:t>thermal conditions within the granulation process. In the present contribution, the dynamic model is extended to account for (a) the dynamics of the temperature θ</w:t>
      </w:r>
      <w:r w:rsidRPr="00FD76C4">
        <w:rPr>
          <w:rFonts w:asciiTheme="minorHAnsi" w:eastAsia="MS PGothic" w:hAnsiTheme="minorHAnsi"/>
          <w:color w:val="000000"/>
          <w:sz w:val="22"/>
          <w:szCs w:val="22"/>
          <w:vertAlign w:val="subscript"/>
          <w:lang w:val="en-US"/>
        </w:rPr>
        <w:t>f,in</w:t>
      </w:r>
      <w:r>
        <w:rPr>
          <w:rFonts w:asciiTheme="minorHAnsi" w:eastAsia="MS PGothic" w:hAnsiTheme="minorHAnsi"/>
          <w:color w:val="000000"/>
          <w:sz w:val="22"/>
          <w:szCs w:val="22"/>
          <w:lang w:val="en-US"/>
        </w:rPr>
        <w:t xml:space="preserve"> due to the heating and (b) the influence of particle porosity ε</w:t>
      </w:r>
      <w:r w:rsidRPr="00FD76C4">
        <w:rPr>
          <w:rFonts w:asciiTheme="minorHAnsi" w:eastAsia="MS PGothic" w:hAnsiTheme="minorHAnsi"/>
          <w:color w:val="000000"/>
          <w:sz w:val="22"/>
          <w:szCs w:val="22"/>
          <w:vertAlign w:val="subscript"/>
          <w:lang w:val="en-US"/>
        </w:rPr>
        <w:t>p</w:t>
      </w:r>
      <w:r>
        <w:rPr>
          <w:rFonts w:asciiTheme="minorHAnsi" w:eastAsia="MS PGothic" w:hAnsiTheme="minorHAnsi"/>
          <w:color w:val="000000"/>
          <w:sz w:val="22"/>
          <w:szCs w:val="22"/>
          <w:lang w:val="en-US"/>
        </w:rPr>
        <w:t xml:space="preserve"> on the breakage behavior during milling. Afterwards, the resulting model is linearized in the vicinity of a given reference point. By means of the root-locus method two </w:t>
      </w:r>
      <w:r w:rsidRPr="0012405A">
        <w:rPr>
          <w:rFonts w:asciiTheme="minorHAnsi" w:eastAsia="MS PGothic" w:hAnsiTheme="minorHAnsi"/>
          <w:color w:val="000000"/>
          <w:sz w:val="22"/>
          <w:szCs w:val="22"/>
          <w:lang w:val="en-US"/>
        </w:rPr>
        <w:t xml:space="preserve">decentralized </w:t>
      </w:r>
      <w:r>
        <w:rPr>
          <w:rFonts w:asciiTheme="minorHAnsi" w:eastAsia="MS PGothic" w:hAnsiTheme="minorHAnsi"/>
          <w:color w:val="000000"/>
          <w:sz w:val="22"/>
          <w:szCs w:val="22"/>
          <w:lang w:val="en-US"/>
        </w:rPr>
        <w:t>PI controllers are designed. The first controls ε</w:t>
      </w:r>
      <w:r w:rsidRPr="00FD76C4">
        <w:rPr>
          <w:rFonts w:asciiTheme="minorHAnsi" w:eastAsia="MS PGothic" w:hAnsiTheme="minorHAnsi"/>
          <w:color w:val="000000"/>
          <w:sz w:val="22"/>
          <w:szCs w:val="22"/>
          <w:vertAlign w:val="subscript"/>
          <w:lang w:val="en-US"/>
        </w:rPr>
        <w:t>p</w:t>
      </w:r>
      <w:r>
        <w:rPr>
          <w:rFonts w:asciiTheme="minorHAnsi" w:eastAsia="MS PGothic" w:hAnsiTheme="minorHAnsi"/>
          <w:color w:val="000000"/>
          <w:sz w:val="22"/>
          <w:szCs w:val="22"/>
          <w:lang w:val="en-US"/>
        </w:rPr>
        <w:t xml:space="preserve"> by adjusting θ</w:t>
      </w:r>
      <w:r w:rsidRPr="00FD76C4">
        <w:rPr>
          <w:rFonts w:asciiTheme="minorHAnsi" w:eastAsia="MS PGothic" w:hAnsiTheme="minorHAnsi"/>
          <w:color w:val="000000"/>
          <w:sz w:val="22"/>
          <w:szCs w:val="22"/>
          <w:vertAlign w:val="subscript"/>
          <w:lang w:val="en-US"/>
        </w:rPr>
        <w:t>f,in</w:t>
      </w:r>
      <w:r>
        <w:rPr>
          <w:rFonts w:asciiTheme="minorHAnsi" w:eastAsia="MS PGothic" w:hAnsiTheme="minorHAnsi"/>
          <w:color w:val="000000"/>
          <w:sz w:val="22"/>
          <w:szCs w:val="22"/>
          <w:lang w:val="en-US"/>
        </w:rPr>
        <w:t>, the second stabilizes the particle size distribution – here the Sauter diameter d</w:t>
      </w:r>
      <w:r w:rsidRPr="00EE18F4">
        <w:rPr>
          <w:rFonts w:asciiTheme="minorHAnsi" w:eastAsia="MS PGothic" w:hAnsiTheme="minorHAnsi"/>
          <w:color w:val="000000"/>
          <w:sz w:val="22"/>
          <w:szCs w:val="22"/>
          <w:vertAlign w:val="subscript"/>
          <w:lang w:val="en-US"/>
        </w:rPr>
        <w:t>32</w:t>
      </w:r>
      <w:r>
        <w:rPr>
          <w:rFonts w:asciiTheme="minorHAnsi" w:eastAsia="MS PGothic" w:hAnsiTheme="minorHAnsi"/>
          <w:color w:val="000000"/>
          <w:sz w:val="22"/>
          <w:szCs w:val="22"/>
          <w:lang w:val="en-US"/>
        </w:rPr>
        <w:t xml:space="preserve"> is used as a representative -  by actuating the mill μ</w:t>
      </w:r>
      <w:r w:rsidRPr="00F870E7">
        <w:rPr>
          <w:rFonts w:asciiTheme="minorHAnsi" w:eastAsia="MS PGothic" w:hAnsiTheme="minorHAnsi"/>
          <w:color w:val="000000"/>
          <w:sz w:val="22"/>
          <w:szCs w:val="22"/>
          <w:vertAlign w:val="subscript"/>
          <w:lang w:val="en-US"/>
        </w:rPr>
        <w:t>mill,0</w:t>
      </w:r>
      <w:r>
        <w:rPr>
          <w:rFonts w:asciiTheme="minorHAnsi" w:eastAsia="MS PGothic" w:hAnsiTheme="minorHAnsi"/>
          <w:color w:val="000000"/>
          <w:sz w:val="22"/>
          <w:szCs w:val="22"/>
          <w:vertAlign w:val="subscript"/>
          <w:lang w:val="en-US"/>
        </w:rPr>
        <w:t xml:space="preserve"> </w:t>
      </w:r>
      <w:r w:rsidRPr="00EE18F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p>
    <w:p w:rsidR="006A7AC1" w:rsidRDefault="00D62E28" w:rsidP="00E3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MS PGothic" w:hAnsiTheme="minorHAnsi"/>
          <w:b/>
          <w:bCs/>
          <w:color w:val="000000"/>
          <w:sz w:val="22"/>
          <w:szCs w:val="22"/>
          <w:lang w:val="en-US"/>
        </w:rPr>
      </w:pPr>
      <w:r>
        <w:rPr>
          <w:noProof/>
          <w:lang w:val="de-DE" w:eastAsia="de-DE"/>
        </w:rPr>
        <w:drawing>
          <wp:anchor distT="0" distB="0" distL="114300" distR="114300" simplePos="0" relativeHeight="251665408" behindDoc="0" locked="0" layoutInCell="1" allowOverlap="1">
            <wp:simplePos x="0" y="0"/>
            <wp:positionH relativeFrom="column">
              <wp:posOffset>645795</wp:posOffset>
            </wp:positionH>
            <wp:positionV relativeFrom="paragraph">
              <wp:posOffset>-1419225</wp:posOffset>
            </wp:positionV>
            <wp:extent cx="4509770" cy="1905000"/>
            <wp:effectExtent l="19050" t="0" r="5080" b="0"/>
            <wp:wrapTopAndBottom/>
            <wp:docPr id="11" name="Grafik 2" descr="Fig_Simu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Simulations.png"/>
                    <pic:cNvPicPr/>
                  </pic:nvPicPr>
                  <pic:blipFill>
                    <a:blip r:embed="rId11" cstate="print"/>
                    <a:stretch>
                      <a:fillRect/>
                    </a:stretch>
                  </pic:blipFill>
                  <pic:spPr>
                    <a:xfrm>
                      <a:off x="0" y="0"/>
                      <a:ext cx="4509770" cy="1905000"/>
                    </a:xfrm>
                    <a:prstGeom prst="rect">
                      <a:avLst/>
                    </a:prstGeom>
                  </pic:spPr>
                </pic:pic>
              </a:graphicData>
            </a:graphic>
          </wp:anchor>
        </w:drawing>
      </w:r>
      <w:r w:rsidR="007B1C0B">
        <w:rPr>
          <w:noProof/>
        </w:rPr>
        <w:pict>
          <v:shape id="_x0000_s1029" type="#_x0000_t202" style="position:absolute;left:0;text-align:left;margin-left:49.95pt;margin-top:41.25pt;width:357pt;height:21.95pt;z-index:251667456;mso-position-horizontal-relative:text;mso-position-vertical-relative:text" stroked="f">
            <v:textbox style="mso-fit-shape-to-text:t" inset="0,0,0,0">
              <w:txbxContent>
                <w:p w:rsidR="007B1C0B" w:rsidRPr="007B1C0B" w:rsidRDefault="007B1C0B" w:rsidP="009E71BC">
                  <w:pPr>
                    <w:pStyle w:val="Beschriftung"/>
                    <w:spacing w:after="120"/>
                    <w:rPr>
                      <w:rFonts w:ascii="Calibri" w:eastAsia="MS PGothic" w:hAnsi="Calibri"/>
                      <w:b w:val="0"/>
                      <w:noProof/>
                      <w:color w:val="auto"/>
                    </w:rPr>
                  </w:pPr>
                  <w:r w:rsidRPr="007B1C0B">
                    <w:rPr>
                      <w:rFonts w:ascii="Calibri" w:hAnsi="Calibri"/>
                      <w:color w:val="auto"/>
                    </w:rPr>
                    <w:t xml:space="preserve">Figure </w:t>
                  </w:r>
                  <w:r w:rsidRPr="007B1C0B">
                    <w:rPr>
                      <w:rFonts w:ascii="Calibri" w:hAnsi="Calibri"/>
                      <w:color w:val="auto"/>
                    </w:rPr>
                    <w:fldChar w:fldCharType="begin"/>
                  </w:r>
                  <w:r w:rsidRPr="007B1C0B">
                    <w:rPr>
                      <w:rFonts w:ascii="Calibri" w:hAnsi="Calibri"/>
                      <w:color w:val="auto"/>
                    </w:rPr>
                    <w:instrText xml:space="preserve"> SEQ Figure \* ARABIC </w:instrText>
                  </w:r>
                  <w:r w:rsidRPr="007B1C0B">
                    <w:rPr>
                      <w:rFonts w:ascii="Calibri" w:hAnsi="Calibri"/>
                      <w:color w:val="auto"/>
                    </w:rPr>
                    <w:fldChar w:fldCharType="separate"/>
                  </w:r>
                  <w:r w:rsidRPr="007B1C0B">
                    <w:rPr>
                      <w:rFonts w:ascii="Calibri" w:hAnsi="Calibri"/>
                      <w:noProof/>
                      <w:color w:val="auto"/>
                    </w:rPr>
                    <w:t>2</w:t>
                  </w:r>
                  <w:r w:rsidRPr="007B1C0B">
                    <w:rPr>
                      <w:rFonts w:ascii="Calibri" w:hAnsi="Calibri"/>
                      <w:color w:val="auto"/>
                    </w:rPr>
                    <w:fldChar w:fldCharType="end"/>
                  </w:r>
                  <w:r w:rsidRPr="007B1C0B">
                    <w:rPr>
                      <w:rFonts w:ascii="Calibri" w:hAnsi="Calibri"/>
                      <w:color w:val="auto"/>
                    </w:rPr>
                    <w:t xml:space="preserve">. </w:t>
                  </w:r>
                  <w:r w:rsidRPr="007B1C0B">
                    <w:rPr>
                      <w:rFonts w:ascii="Calibri" w:hAnsi="Calibri"/>
                      <w:b w:val="0"/>
                      <w:color w:val="auto"/>
                    </w:rPr>
                    <w:t>Simulation results according</w:t>
                  </w:r>
                  <w:r w:rsidR="00A4191A">
                    <w:rPr>
                      <w:rFonts w:ascii="Calibri" w:hAnsi="Calibri"/>
                      <w:b w:val="0"/>
                      <w:color w:val="auto"/>
                    </w:rPr>
                    <w:t xml:space="preserve"> </w:t>
                  </w:r>
                  <w:r w:rsidR="00075DF9">
                    <w:rPr>
                      <w:rFonts w:ascii="Calibri" w:hAnsi="Calibri"/>
                      <w:b w:val="0"/>
                      <w:color w:val="auto"/>
                    </w:rPr>
                    <w:t xml:space="preserve">to </w:t>
                  </w:r>
                  <w:r w:rsidRPr="007B1C0B">
                    <w:rPr>
                      <w:rFonts w:ascii="Calibri" w:hAnsi="Calibri"/>
                      <w:b w:val="0"/>
                      <w:color w:val="auto"/>
                    </w:rPr>
                    <w:t>different configurations: open-loop (black solid line), SISO (blue dashed), and MIMO control strategy (red dash</w:t>
                  </w:r>
                  <w:r w:rsidR="00075DF9">
                    <w:rPr>
                      <w:rFonts w:ascii="Calibri" w:hAnsi="Calibri"/>
                      <w:b w:val="0"/>
                      <w:color w:val="auto"/>
                    </w:rPr>
                    <w:t>-</w:t>
                  </w:r>
                  <w:r w:rsidRPr="007B1C0B">
                    <w:rPr>
                      <w:rFonts w:ascii="Calibri" w:hAnsi="Calibri"/>
                      <w:b w:val="0"/>
                      <w:color w:val="auto"/>
                    </w:rPr>
                    <w:t>dotted)</w:t>
                  </w:r>
                  <w:r w:rsidR="00075DF9">
                    <w:rPr>
                      <w:rFonts w:ascii="Calibri" w:hAnsi="Calibri"/>
                      <w:b w:val="0"/>
                      <w:color w:val="auto"/>
                    </w:rPr>
                    <w:t>.</w:t>
                  </w:r>
                </w:p>
              </w:txbxContent>
            </v:textbox>
            <w10:wrap type="topAndBottom"/>
          </v:shape>
        </w:pict>
      </w:r>
      <w:r w:rsidR="00704BDF" w:rsidRPr="008D0BEB">
        <w:rPr>
          <w:rFonts w:asciiTheme="minorHAnsi" w:eastAsia="MS PGothic" w:hAnsiTheme="minorHAnsi"/>
          <w:b/>
          <w:bCs/>
          <w:color w:val="000000"/>
          <w:sz w:val="22"/>
          <w:szCs w:val="22"/>
          <w:lang w:val="en-US"/>
        </w:rPr>
        <w:t>3. Results and discussion</w:t>
      </w:r>
    </w:p>
    <w:p w:rsidR="00BD2CBA" w:rsidRPr="00BD2CBA" w:rsidRDefault="00CF07FA" w:rsidP="006A7AC1">
      <w:pPr>
        <w:snapToGrid w:val="0"/>
        <w:rPr>
          <w:rFonts w:asciiTheme="minorHAnsi" w:eastAsia="MS PGothic" w:hAnsiTheme="minorHAnsi"/>
          <w:color w:val="000000"/>
          <w:sz w:val="22"/>
          <w:szCs w:val="22"/>
          <w:lang w:val="en-US"/>
        </w:rPr>
      </w:pPr>
      <w:r>
        <w:rPr>
          <w:rFonts w:ascii="Calibri" w:hAnsi="Calibri" w:cs="Arial"/>
          <w:bCs/>
          <w:color w:val="000000"/>
          <w:kern w:val="1"/>
          <w:sz w:val="22"/>
          <w:szCs w:val="22"/>
          <w:lang w:val="en-US"/>
        </w:rPr>
        <w:t>To study the influence of different operating parameters on the process dynamics and product properties the following scenario is defined: at t</w:t>
      </w:r>
      <w:r w:rsidRPr="00C77237">
        <w:rPr>
          <w:rFonts w:ascii="Calibri" w:hAnsi="Calibri" w:cs="Arial"/>
          <w:bCs/>
          <w:color w:val="000000"/>
          <w:kern w:val="22"/>
          <w:sz w:val="22"/>
          <w:szCs w:val="22"/>
          <w:vertAlign w:val="subscript"/>
          <w:lang w:val="en-US"/>
        </w:rPr>
        <w:t>sp</w:t>
      </w:r>
      <w:r>
        <w:rPr>
          <w:rFonts w:ascii="Calibri" w:hAnsi="Calibri" w:cs="Arial"/>
          <w:bCs/>
          <w:color w:val="000000"/>
          <w:kern w:val="1"/>
          <w:sz w:val="22"/>
          <w:szCs w:val="22"/>
          <w:lang w:val="en-US"/>
        </w:rPr>
        <w:t xml:space="preserve"> = 2 h the set-point of </w:t>
      </w:r>
      <w:r>
        <w:rPr>
          <w:rFonts w:asciiTheme="minorHAnsi" w:eastAsia="MS PGothic" w:hAnsiTheme="minorHAnsi"/>
          <w:color w:val="000000"/>
          <w:sz w:val="22"/>
          <w:szCs w:val="22"/>
          <w:lang w:val="en-US"/>
        </w:rPr>
        <w:t>ε</w:t>
      </w:r>
      <w:r w:rsidRPr="00FD76C4">
        <w:rPr>
          <w:rFonts w:asciiTheme="minorHAnsi" w:eastAsia="MS PGothic" w:hAnsiTheme="minorHAnsi"/>
          <w:color w:val="000000"/>
          <w:sz w:val="22"/>
          <w:szCs w:val="22"/>
          <w:vertAlign w:val="subscript"/>
          <w:lang w:val="en-US"/>
        </w:rPr>
        <w:t>p</w:t>
      </w:r>
      <w:r>
        <w:rPr>
          <w:rFonts w:ascii="Calibri" w:hAnsi="Calibri" w:cs="Arial"/>
          <w:bCs/>
          <w:color w:val="000000"/>
          <w:kern w:val="1"/>
          <w:sz w:val="22"/>
          <w:szCs w:val="22"/>
          <w:lang w:val="en-US"/>
        </w:rPr>
        <w:t xml:space="preserve"> is increased, whereas a process disturbance, in specific an increase of Y</w:t>
      </w:r>
      <w:r w:rsidRPr="002F711F">
        <w:rPr>
          <w:rFonts w:ascii="Calibri" w:hAnsi="Calibri" w:cs="Arial"/>
          <w:bCs/>
          <w:color w:val="000000"/>
          <w:kern w:val="22"/>
          <w:sz w:val="22"/>
          <w:szCs w:val="22"/>
          <w:vertAlign w:val="subscript"/>
          <w:lang w:val="en-US"/>
        </w:rPr>
        <w:t>f,i</w:t>
      </w:r>
      <w:r>
        <w:rPr>
          <w:rFonts w:ascii="Calibri" w:hAnsi="Calibri" w:cs="Arial"/>
          <w:bCs/>
          <w:color w:val="000000"/>
          <w:kern w:val="22"/>
          <w:sz w:val="22"/>
          <w:szCs w:val="22"/>
          <w:vertAlign w:val="subscript"/>
          <w:lang w:val="en-US"/>
        </w:rPr>
        <w:t>n</w:t>
      </w:r>
      <w:r w:rsidRPr="00D536BE">
        <w:rPr>
          <w:rFonts w:ascii="Calibri" w:hAnsi="Calibri" w:cs="Arial"/>
          <w:bCs/>
          <w:color w:val="000000"/>
          <w:kern w:val="22"/>
          <w:sz w:val="22"/>
          <w:szCs w:val="22"/>
          <w:lang w:val="en-US"/>
        </w:rPr>
        <w:t>,</w:t>
      </w:r>
      <w:r>
        <w:rPr>
          <w:rFonts w:ascii="Calibri" w:hAnsi="Calibri" w:cs="Arial"/>
          <w:bCs/>
          <w:color w:val="000000"/>
          <w:kern w:val="22"/>
          <w:sz w:val="22"/>
          <w:szCs w:val="22"/>
          <w:lang w:val="en-US"/>
        </w:rPr>
        <w:t xml:space="preserve"> appears at </w:t>
      </w:r>
      <w:r>
        <w:rPr>
          <w:rFonts w:ascii="Calibri" w:hAnsi="Calibri" w:cs="Arial"/>
          <w:bCs/>
          <w:color w:val="000000"/>
          <w:kern w:val="1"/>
          <w:sz w:val="22"/>
          <w:szCs w:val="22"/>
          <w:lang w:val="en-US"/>
        </w:rPr>
        <w:t>t</w:t>
      </w:r>
      <w:r w:rsidRPr="00C77237">
        <w:rPr>
          <w:rFonts w:ascii="Calibri" w:hAnsi="Calibri" w:cs="Arial"/>
          <w:bCs/>
          <w:color w:val="000000"/>
          <w:kern w:val="22"/>
          <w:sz w:val="22"/>
          <w:szCs w:val="22"/>
          <w:vertAlign w:val="subscript"/>
          <w:lang w:val="en-US"/>
        </w:rPr>
        <w:t>dist</w:t>
      </w:r>
      <w:r>
        <w:rPr>
          <w:rFonts w:ascii="Calibri" w:hAnsi="Calibri" w:cs="Arial"/>
          <w:bCs/>
          <w:color w:val="000000"/>
          <w:kern w:val="1"/>
          <w:sz w:val="22"/>
          <w:szCs w:val="22"/>
          <w:lang w:val="en-US"/>
        </w:rPr>
        <w:t xml:space="preserve"> = 15 h. The corresponding simulation results are presented in Figure 2. As indicted by the open-loop results, the manipulation of </w:t>
      </w:r>
      <w:r>
        <w:rPr>
          <w:rFonts w:asciiTheme="minorHAnsi" w:eastAsia="MS PGothic" w:hAnsiTheme="minorHAnsi"/>
          <w:color w:val="000000"/>
          <w:sz w:val="22"/>
          <w:szCs w:val="22"/>
          <w:lang w:val="en-US"/>
        </w:rPr>
        <w:t>θ</w:t>
      </w:r>
      <w:r w:rsidRPr="00FD76C4">
        <w:rPr>
          <w:rFonts w:asciiTheme="minorHAnsi" w:eastAsia="MS PGothic" w:hAnsiTheme="minorHAnsi"/>
          <w:color w:val="000000"/>
          <w:sz w:val="22"/>
          <w:szCs w:val="22"/>
          <w:vertAlign w:val="subscript"/>
          <w:lang w:val="en-US"/>
        </w:rPr>
        <w:t>f,in</w:t>
      </w:r>
      <w:r>
        <w:rPr>
          <w:rFonts w:ascii="Calibri" w:hAnsi="Calibri" w:cs="Arial"/>
          <w:bCs/>
          <w:color w:val="000000"/>
          <w:kern w:val="1"/>
          <w:sz w:val="22"/>
          <w:szCs w:val="22"/>
          <w:lang w:val="en-US"/>
        </w:rPr>
        <w:t xml:space="preserve"> and Y</w:t>
      </w:r>
      <w:r w:rsidRPr="002F711F">
        <w:rPr>
          <w:rFonts w:ascii="Calibri" w:hAnsi="Calibri" w:cs="Arial"/>
          <w:bCs/>
          <w:color w:val="000000"/>
          <w:kern w:val="22"/>
          <w:sz w:val="22"/>
          <w:szCs w:val="22"/>
          <w:vertAlign w:val="subscript"/>
          <w:lang w:val="en-US"/>
        </w:rPr>
        <w:t>f,i</w:t>
      </w:r>
      <w:r>
        <w:rPr>
          <w:rFonts w:ascii="Calibri" w:hAnsi="Calibri" w:cs="Arial"/>
          <w:bCs/>
          <w:color w:val="000000"/>
          <w:kern w:val="22"/>
          <w:sz w:val="22"/>
          <w:szCs w:val="22"/>
          <w:vertAlign w:val="subscript"/>
          <w:lang w:val="en-US"/>
        </w:rPr>
        <w:t>n</w:t>
      </w:r>
      <w:r>
        <w:rPr>
          <w:rFonts w:ascii="Calibri" w:hAnsi="Calibri" w:cs="Arial"/>
          <w:bCs/>
          <w:color w:val="000000"/>
          <w:kern w:val="1"/>
          <w:sz w:val="22"/>
          <w:szCs w:val="22"/>
          <w:lang w:val="en-US"/>
        </w:rPr>
        <w:t xml:space="preserve"> induce variations of </w:t>
      </w:r>
      <w:r>
        <w:rPr>
          <w:rFonts w:asciiTheme="minorHAnsi" w:eastAsia="MS PGothic" w:hAnsiTheme="minorHAnsi"/>
          <w:color w:val="000000"/>
          <w:sz w:val="22"/>
          <w:szCs w:val="22"/>
          <w:lang w:val="en-US"/>
        </w:rPr>
        <w:t>ε</w:t>
      </w:r>
      <w:r w:rsidRPr="00FD76C4">
        <w:rPr>
          <w:rFonts w:asciiTheme="minorHAnsi" w:eastAsia="MS PGothic" w:hAnsiTheme="minorHAnsi"/>
          <w:color w:val="000000"/>
          <w:sz w:val="22"/>
          <w:szCs w:val="22"/>
          <w:vertAlign w:val="subscript"/>
          <w:lang w:val="en-US"/>
        </w:rPr>
        <w:t>p</w:t>
      </w:r>
      <w:r w:rsidRPr="00E15FB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However, a proper adjustment of ε</w:t>
      </w:r>
      <w:r w:rsidRPr="00FD76C4">
        <w:rPr>
          <w:rFonts w:asciiTheme="minorHAnsi" w:eastAsia="MS PGothic" w:hAnsiTheme="minorHAnsi"/>
          <w:color w:val="000000"/>
          <w:sz w:val="22"/>
          <w:szCs w:val="22"/>
          <w:vertAlign w:val="subscript"/>
          <w:lang w:val="en-US"/>
        </w:rPr>
        <w:t>p</w:t>
      </w:r>
      <w:r>
        <w:rPr>
          <w:rFonts w:asciiTheme="minorHAnsi" w:eastAsia="MS PGothic" w:hAnsiTheme="minorHAnsi"/>
          <w:color w:val="000000"/>
          <w:sz w:val="22"/>
          <w:szCs w:val="22"/>
          <w:vertAlign w:val="subscript"/>
          <w:lang w:val="en-US"/>
        </w:rPr>
        <w:t xml:space="preserve"> </w:t>
      </w:r>
      <w:r>
        <w:rPr>
          <w:rFonts w:asciiTheme="minorHAnsi" w:eastAsia="MS PGothic" w:hAnsiTheme="minorHAnsi"/>
          <w:color w:val="000000"/>
          <w:sz w:val="22"/>
          <w:szCs w:val="22"/>
          <w:lang w:val="en-US"/>
        </w:rPr>
        <w:t>is challenging as it depends significantly on both parameters</w:t>
      </w:r>
      <w:r w:rsidRPr="00514433">
        <w:rPr>
          <w:rFonts w:asciiTheme="minorHAnsi" w:eastAsia="MS PGothic" w:hAnsiTheme="minorHAnsi"/>
          <w:color w:val="000000"/>
          <w:sz w:val="22"/>
          <w:szCs w:val="22"/>
          <w:lang w:val="en-US"/>
        </w:rPr>
        <w:t>. This issue can be overcome, as illustrated by the simulation results, by the application of the first</w:t>
      </w:r>
      <w:r>
        <w:rPr>
          <w:rFonts w:asciiTheme="minorHAnsi" w:eastAsia="MS PGothic" w:hAnsiTheme="minorHAnsi"/>
          <w:color w:val="000000"/>
          <w:sz w:val="22"/>
          <w:szCs w:val="22"/>
          <w:lang w:val="en-US"/>
        </w:rPr>
        <w:t xml:space="preserve"> controller:  By actuating θ</w:t>
      </w:r>
      <w:r w:rsidRPr="00FD76C4">
        <w:rPr>
          <w:rFonts w:asciiTheme="minorHAnsi" w:eastAsia="MS PGothic" w:hAnsiTheme="minorHAnsi"/>
          <w:color w:val="000000"/>
          <w:sz w:val="22"/>
          <w:szCs w:val="22"/>
          <w:vertAlign w:val="subscript"/>
          <w:lang w:val="en-US"/>
        </w:rPr>
        <w:t>f,in</w:t>
      </w:r>
      <w:r>
        <w:rPr>
          <w:rFonts w:asciiTheme="minorHAnsi" w:eastAsia="MS PGothic" w:hAnsiTheme="minorHAnsi"/>
          <w:color w:val="000000"/>
          <w:sz w:val="22"/>
          <w:szCs w:val="22"/>
          <w:vertAlign w:val="subscript"/>
          <w:lang w:val="en-US"/>
        </w:rPr>
        <w:t xml:space="preserve"> </w:t>
      </w:r>
      <w:r w:rsidRPr="00744598">
        <w:rPr>
          <w:rFonts w:asciiTheme="minorHAnsi" w:eastAsia="MS PGothic" w:hAnsiTheme="minorHAnsi"/>
          <w:color w:val="000000"/>
          <w:sz w:val="22"/>
          <w:szCs w:val="22"/>
          <w:lang w:val="en-US"/>
        </w:rPr>
        <w:t xml:space="preserve">the particle porosity </w:t>
      </w:r>
      <w:r>
        <w:rPr>
          <w:rFonts w:asciiTheme="minorHAnsi" w:eastAsia="MS PGothic" w:hAnsiTheme="minorHAnsi"/>
          <w:color w:val="000000"/>
          <w:sz w:val="22"/>
          <w:szCs w:val="22"/>
          <w:lang w:val="en-US"/>
        </w:rPr>
        <w:t>ε</w:t>
      </w:r>
      <w:r w:rsidRPr="00FD76C4">
        <w:rPr>
          <w:rFonts w:asciiTheme="minorHAnsi" w:eastAsia="MS PGothic" w:hAnsiTheme="minorHAnsi"/>
          <w:color w:val="000000"/>
          <w:sz w:val="22"/>
          <w:szCs w:val="22"/>
          <w:vertAlign w:val="subscript"/>
          <w:lang w:val="en-US"/>
        </w:rPr>
        <w:t>p</w:t>
      </w:r>
      <w:r>
        <w:rPr>
          <w:rFonts w:asciiTheme="minorHAnsi" w:eastAsia="MS PGothic" w:hAnsiTheme="minorHAnsi"/>
          <w:color w:val="000000"/>
          <w:sz w:val="22"/>
          <w:szCs w:val="22"/>
          <w:vertAlign w:val="subscript"/>
          <w:lang w:val="en-US"/>
        </w:rPr>
        <w:t xml:space="preserve"> </w:t>
      </w:r>
      <w:r w:rsidRPr="00744598">
        <w:rPr>
          <w:rFonts w:asciiTheme="minorHAnsi" w:eastAsia="MS PGothic" w:hAnsiTheme="minorHAnsi"/>
          <w:color w:val="000000"/>
          <w:sz w:val="22"/>
          <w:szCs w:val="22"/>
          <w:lang w:val="en-US"/>
        </w:rPr>
        <w:t xml:space="preserve">can be </w:t>
      </w:r>
      <w:r>
        <w:rPr>
          <w:rFonts w:asciiTheme="minorHAnsi" w:eastAsia="MS PGothic" w:hAnsiTheme="minorHAnsi"/>
          <w:color w:val="000000"/>
          <w:sz w:val="22"/>
          <w:szCs w:val="22"/>
          <w:lang w:val="en-US"/>
        </w:rPr>
        <w:t>driven to its new reference value. In addition, the process disturbance at t</w:t>
      </w:r>
      <w:r w:rsidRPr="00892C04">
        <w:rPr>
          <w:rFonts w:asciiTheme="minorHAnsi" w:eastAsia="MS PGothic" w:hAnsiTheme="minorHAnsi"/>
          <w:color w:val="000000"/>
          <w:sz w:val="22"/>
          <w:szCs w:val="22"/>
          <w:vertAlign w:val="subscript"/>
          <w:lang w:val="en-US"/>
        </w:rPr>
        <w:t>dist</w:t>
      </w:r>
      <w:r>
        <w:rPr>
          <w:rFonts w:asciiTheme="minorHAnsi" w:eastAsia="MS PGothic" w:hAnsiTheme="minorHAnsi"/>
          <w:color w:val="000000"/>
          <w:sz w:val="22"/>
          <w:szCs w:val="22"/>
          <w:lang w:val="en-US"/>
        </w:rPr>
        <w:t xml:space="preserve"> = 15 h can be rejected. On the contrary, a change of ε</w:t>
      </w:r>
      <w:r w:rsidRPr="00FD76C4">
        <w:rPr>
          <w:rFonts w:asciiTheme="minorHAnsi" w:eastAsia="MS PGothic" w:hAnsiTheme="minorHAnsi"/>
          <w:color w:val="000000"/>
          <w:sz w:val="22"/>
          <w:szCs w:val="22"/>
          <w:vertAlign w:val="subscript"/>
          <w:lang w:val="en-US"/>
        </w:rPr>
        <w:t>p</w:t>
      </w:r>
      <w:r>
        <w:rPr>
          <w:rFonts w:asciiTheme="minorHAnsi" w:eastAsia="MS PGothic" w:hAnsiTheme="minorHAnsi"/>
          <w:color w:val="000000"/>
          <w:sz w:val="22"/>
          <w:szCs w:val="22"/>
          <w:vertAlign w:val="subscript"/>
          <w:lang w:val="en-US"/>
        </w:rPr>
        <w:t xml:space="preserve"> </w:t>
      </w:r>
      <w:r>
        <w:rPr>
          <w:rFonts w:asciiTheme="minorHAnsi" w:eastAsia="MS PGothic" w:hAnsiTheme="minorHAnsi"/>
          <w:color w:val="000000"/>
          <w:sz w:val="22"/>
          <w:szCs w:val="22"/>
          <w:lang w:val="en-US"/>
        </w:rPr>
        <w:t>results in</w:t>
      </w:r>
      <w:r w:rsidRPr="00237D66">
        <w:rPr>
          <w:rFonts w:asciiTheme="minorHAnsi" w:eastAsia="MS PGothic" w:hAnsiTheme="minorHAnsi"/>
          <w:color w:val="000000"/>
          <w:sz w:val="22"/>
          <w:szCs w:val="22"/>
          <w:lang w:val="en-US"/>
        </w:rPr>
        <w:t xml:space="preserve"> variations of the breakage behavior</w:t>
      </w:r>
      <w:r>
        <w:rPr>
          <w:rFonts w:asciiTheme="minorHAnsi" w:eastAsia="MS PGothic" w:hAnsiTheme="minorHAnsi"/>
          <w:color w:val="000000"/>
          <w:sz w:val="22"/>
          <w:szCs w:val="22"/>
          <w:lang w:val="en-US"/>
        </w:rPr>
        <w:t xml:space="preserve"> of particles. In consequence, as monitored by d</w:t>
      </w:r>
      <w:r w:rsidRPr="00237D66">
        <w:rPr>
          <w:rFonts w:asciiTheme="minorHAnsi" w:eastAsia="MS PGothic" w:hAnsiTheme="minorHAnsi"/>
          <w:color w:val="000000"/>
          <w:sz w:val="22"/>
          <w:szCs w:val="22"/>
          <w:vertAlign w:val="subscript"/>
          <w:lang w:val="en-US"/>
        </w:rPr>
        <w:t>32</w:t>
      </w:r>
      <w:r>
        <w:rPr>
          <w:rFonts w:asciiTheme="minorHAnsi" w:eastAsia="MS PGothic" w:hAnsiTheme="minorHAnsi"/>
          <w:color w:val="000000"/>
          <w:sz w:val="22"/>
          <w:szCs w:val="22"/>
          <w:lang w:val="en-US"/>
        </w:rPr>
        <w:t>, self-sustained oscillations of the particles size distribution can occur.  As those highly undesired oscillations provoke variations of bed mass and mass flows they might result in a process break-down. To stabilize the particle size distribution, the control strategy is extended by the second controller. Referring to the simulation results presented in Figure 2, the application of the overall control strategy guarantees both, a stable process regime as well as constant product properties.</w:t>
      </w:r>
    </w:p>
    <w:p w:rsidR="00BD2CBA" w:rsidRDefault="00BD2CBA" w:rsidP="00CF07FA">
      <w:pPr>
        <w:snapToGrid w:val="0"/>
        <w:spacing w:after="120"/>
        <w:rPr>
          <w:rFonts w:asciiTheme="minorHAnsi" w:eastAsia="MS PGothic" w:hAnsiTheme="minorHAnsi"/>
          <w:b/>
          <w:bCs/>
          <w:color w:val="000000"/>
          <w:sz w:val="10"/>
          <w:lang w:val="en-US"/>
        </w:rPr>
      </w:pPr>
    </w:p>
    <w:p w:rsidR="00BD2CBA" w:rsidRPr="00BD2CBA" w:rsidRDefault="00BD2CBA" w:rsidP="00BD2CBA">
      <w:pPr>
        <w:snapToGrid w:val="0"/>
        <w:spacing w:after="120"/>
        <w:rPr>
          <w:rFonts w:asciiTheme="minorHAnsi" w:eastAsia="MS PGothic" w:hAnsiTheme="minorHAnsi"/>
          <w:color w:val="000000"/>
          <w:sz w:val="22"/>
          <w:szCs w:val="22"/>
        </w:rPr>
      </w:pPr>
      <w:r w:rsidRPr="00BD2CBA">
        <w:rPr>
          <w:rFonts w:asciiTheme="minorHAnsi" w:eastAsia="MS PGothic" w:hAnsiTheme="minorHAnsi"/>
          <w:b/>
          <w:bCs/>
          <w:color w:val="000000"/>
          <w:sz w:val="22"/>
          <w:szCs w:val="22"/>
          <w:lang w:val="en-US"/>
        </w:rPr>
        <w:t xml:space="preserve">Acknowledgments </w:t>
      </w:r>
      <w:r w:rsidRPr="00BD2CBA">
        <w:rPr>
          <w:rFonts w:asciiTheme="minorHAnsi" w:eastAsia="MS PGothic" w:hAnsiTheme="minorHAnsi"/>
          <w:color w:val="000000"/>
          <w:sz w:val="22"/>
          <w:szCs w:val="22"/>
        </w:rPr>
        <w:t>The financial support of DFG (Deutsche Forschungsgemeinschaft) within the priority program SPP 1679 is gratefully acknowledged.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CF07FA" w:rsidRPr="00893F2D" w:rsidRDefault="00CF07FA" w:rsidP="00CF07FA">
      <w:pPr>
        <w:pStyle w:val="FirstParagraph"/>
        <w:numPr>
          <w:ilvl w:val="0"/>
          <w:numId w:val="17"/>
        </w:numPr>
        <w:tabs>
          <w:tab w:val="left" w:pos="426"/>
          <w:tab w:val="right" w:pos="7100"/>
        </w:tabs>
        <w:suppressAutoHyphens/>
        <w:spacing w:line="240" w:lineRule="auto"/>
        <w:rPr>
          <w:rFonts w:asciiTheme="minorHAnsi" w:hAnsiTheme="minorHAnsi"/>
          <w:color w:val="000000"/>
        </w:rPr>
      </w:pPr>
      <w:r w:rsidRPr="00893F2D">
        <w:rPr>
          <w:rFonts w:asciiTheme="minorHAnsi" w:hAnsiTheme="minorHAnsi"/>
          <w:color w:val="000000"/>
        </w:rPr>
        <w:t>C. Rieck</w:t>
      </w:r>
      <w:r w:rsidR="00893F2D" w:rsidRPr="00893F2D">
        <w:rPr>
          <w:rFonts w:asciiTheme="minorHAnsi" w:hAnsiTheme="minorHAnsi"/>
          <w:color w:val="000000"/>
        </w:rPr>
        <w:t xml:space="preserve"> et al.</w:t>
      </w:r>
      <w:r w:rsidRPr="00893F2D">
        <w:rPr>
          <w:rFonts w:asciiTheme="minorHAnsi" w:hAnsiTheme="minorHAnsi"/>
          <w:color w:val="000000"/>
        </w:rPr>
        <w:t>, Powder Technology, 272 (2015), 120 – 131.</w:t>
      </w:r>
    </w:p>
    <w:p w:rsidR="00CF07FA" w:rsidRPr="00893F2D" w:rsidRDefault="00CF07FA" w:rsidP="00CF07FA">
      <w:pPr>
        <w:pStyle w:val="FirstParagraph"/>
        <w:widowControl w:val="0"/>
        <w:numPr>
          <w:ilvl w:val="0"/>
          <w:numId w:val="17"/>
        </w:numPr>
        <w:tabs>
          <w:tab w:val="left" w:pos="426"/>
          <w:tab w:val="right" w:pos="7100"/>
        </w:tabs>
        <w:suppressAutoHyphens/>
        <w:spacing w:line="240" w:lineRule="auto"/>
        <w:rPr>
          <w:rFonts w:asciiTheme="minorHAnsi" w:eastAsia="SimSun" w:hAnsiTheme="minorHAnsi"/>
          <w:sz w:val="22"/>
          <w:szCs w:val="22"/>
          <w:lang w:eastAsia="zh-CN"/>
        </w:rPr>
      </w:pPr>
      <w:r>
        <w:rPr>
          <w:rFonts w:asciiTheme="minorHAnsi" w:hAnsiTheme="minorHAnsi"/>
          <w:color w:val="000000"/>
        </w:rPr>
        <w:t>J. Litster, B. Ennis, The Science and Engineering of Granulation Processes, 2004.</w:t>
      </w:r>
    </w:p>
    <w:p w:rsidR="00893F2D" w:rsidRPr="009E6DB1" w:rsidRDefault="009E6DB1" w:rsidP="009E6DB1">
      <w:pPr>
        <w:pStyle w:val="FirstParagraph"/>
        <w:widowControl w:val="0"/>
        <w:numPr>
          <w:ilvl w:val="0"/>
          <w:numId w:val="17"/>
        </w:numPr>
        <w:tabs>
          <w:tab w:val="left" w:pos="426"/>
          <w:tab w:val="right" w:pos="7100"/>
        </w:tabs>
        <w:suppressAutoHyphens/>
        <w:spacing w:line="240" w:lineRule="auto"/>
        <w:rPr>
          <w:rFonts w:asciiTheme="minorHAnsi" w:eastAsia="SimSun" w:hAnsiTheme="minorHAnsi"/>
          <w:sz w:val="22"/>
          <w:szCs w:val="22"/>
          <w:lang w:val="de-DE" w:eastAsia="zh-CN"/>
        </w:rPr>
      </w:pPr>
      <w:r w:rsidRPr="008B1B70">
        <w:rPr>
          <w:rFonts w:asciiTheme="minorHAnsi" w:hAnsiTheme="minorHAnsi"/>
          <w:color w:val="000000"/>
          <w:lang w:val="de-DE"/>
        </w:rPr>
        <w:t>C. Neugebauer</w:t>
      </w:r>
      <w:r>
        <w:rPr>
          <w:rFonts w:asciiTheme="minorHAnsi" w:hAnsiTheme="minorHAnsi"/>
          <w:color w:val="000000"/>
          <w:lang w:val="de-DE"/>
        </w:rPr>
        <w:t xml:space="preserve"> et al.</w:t>
      </w:r>
      <w:r w:rsidRPr="008B1B70">
        <w:rPr>
          <w:rFonts w:asciiTheme="minorHAnsi" w:hAnsiTheme="minorHAnsi"/>
          <w:color w:val="000000"/>
          <w:lang w:val="de-DE"/>
        </w:rPr>
        <w:t>, P</w:t>
      </w:r>
      <w:r>
        <w:rPr>
          <w:rFonts w:asciiTheme="minorHAnsi" w:hAnsiTheme="minorHAnsi"/>
          <w:color w:val="000000"/>
          <w:lang w:val="de-DE"/>
        </w:rPr>
        <w:t>owder Technology</w:t>
      </w:r>
      <w:r w:rsidRPr="008B1B70">
        <w:rPr>
          <w:rFonts w:asciiTheme="minorHAnsi" w:hAnsiTheme="minorHAnsi"/>
          <w:color w:val="000000"/>
          <w:lang w:val="de-DE"/>
        </w:rPr>
        <w:t xml:space="preserve">, </w:t>
      </w:r>
      <w:r>
        <w:rPr>
          <w:rFonts w:asciiTheme="minorHAnsi" w:hAnsiTheme="minorHAnsi"/>
          <w:color w:val="000000"/>
          <w:lang w:val="de-DE"/>
        </w:rPr>
        <w:t xml:space="preserve">in press, DOI: </w:t>
      </w:r>
      <w:r w:rsidRPr="009E6DB1">
        <w:rPr>
          <w:rFonts w:asciiTheme="minorHAnsi" w:hAnsiTheme="minorHAnsi"/>
          <w:color w:val="000000"/>
          <w:lang w:val="de-DE"/>
        </w:rPr>
        <w:t>10.1016/j.powtec.2019.05.030</w:t>
      </w:r>
    </w:p>
    <w:p w:rsidR="007B1C0B" w:rsidRPr="007B1C0B" w:rsidRDefault="009E6DB1" w:rsidP="007B1C0B">
      <w:pPr>
        <w:pStyle w:val="FirstParagraph"/>
        <w:widowControl w:val="0"/>
        <w:numPr>
          <w:ilvl w:val="0"/>
          <w:numId w:val="17"/>
        </w:numPr>
        <w:tabs>
          <w:tab w:val="left" w:pos="426"/>
          <w:tab w:val="right" w:pos="7100"/>
        </w:tabs>
        <w:suppressAutoHyphens/>
        <w:autoSpaceDE w:val="0"/>
        <w:autoSpaceDN w:val="0"/>
        <w:adjustRightInd w:val="0"/>
        <w:spacing w:line="240" w:lineRule="auto"/>
        <w:rPr>
          <w:rFonts w:asciiTheme="minorHAnsi" w:eastAsia="SimSun" w:hAnsiTheme="minorHAnsi"/>
          <w:sz w:val="22"/>
          <w:szCs w:val="22"/>
          <w:lang w:val="de-DE" w:eastAsia="zh-CN"/>
        </w:rPr>
      </w:pPr>
      <w:r w:rsidRPr="00161231">
        <w:rPr>
          <w:rFonts w:asciiTheme="minorHAnsi" w:hAnsiTheme="minorHAnsi"/>
          <w:color w:val="000000"/>
          <w:lang w:val="de-DE"/>
        </w:rPr>
        <w:t>C. Neugebauer et al., Processes, 6 (2018), 235.</w:t>
      </w:r>
    </w:p>
    <w:p w:rsidR="007B1C0B" w:rsidRPr="00161231" w:rsidRDefault="007B1C0B" w:rsidP="007B1C0B">
      <w:pPr>
        <w:pStyle w:val="FirstParagraph"/>
        <w:widowControl w:val="0"/>
        <w:tabs>
          <w:tab w:val="left" w:pos="426"/>
          <w:tab w:val="right" w:pos="7100"/>
        </w:tabs>
        <w:suppressAutoHyphens/>
        <w:autoSpaceDE w:val="0"/>
        <w:autoSpaceDN w:val="0"/>
        <w:adjustRightInd w:val="0"/>
        <w:spacing w:line="240" w:lineRule="auto"/>
        <w:rPr>
          <w:rFonts w:asciiTheme="minorHAnsi" w:eastAsia="SimSun" w:hAnsiTheme="minorHAnsi"/>
          <w:sz w:val="22"/>
          <w:szCs w:val="22"/>
          <w:lang w:val="de-DE" w:eastAsia="zh-CN"/>
        </w:rPr>
      </w:pPr>
    </w:p>
    <w:sectPr w:rsidR="007B1C0B" w:rsidRPr="0016123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CC" w:rsidRDefault="00847FCC" w:rsidP="004F5E36">
      <w:r>
        <w:separator/>
      </w:r>
    </w:p>
  </w:endnote>
  <w:endnote w:type="continuationSeparator" w:id="1">
    <w:p w:rsidR="00847FCC" w:rsidRDefault="00847FCC"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Consolas">
    <w:panose1 w:val="020B0609020204030204"/>
    <w:charset w:val="00"/>
    <w:family w:val="modern"/>
    <w:pitch w:val="fixed"/>
    <w:sig w:usb0="A00002EF" w:usb1="4000204B" w:usb2="00000000" w:usb3="00000000" w:csb0="0000009F" w:csb1="00000000"/>
  </w:font>
  <w:font w:name="Times">
    <w:altName w:val="Times New Roman"/>
    <w:panose1 w:val="00000000000000000000"/>
    <w:charset w:val="00"/>
    <w:family w:val="auto"/>
    <w:notTrueType/>
    <w:pitch w:val="variable"/>
    <w:sig w:usb0="00000003" w:usb1="00000000" w:usb2="00000000" w:usb3="00000000" w:csb0="00000001" w:csb1="00000000"/>
  </w:font>
  <w:font w:name="MS P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CC" w:rsidRDefault="00847FCC" w:rsidP="004F5E36">
      <w:r>
        <w:separator/>
      </w:r>
    </w:p>
  </w:footnote>
  <w:footnote w:type="continuationSeparator" w:id="1">
    <w:p w:rsidR="00847FCC" w:rsidRDefault="00847FCC"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FA01B5">
    <w:pPr>
      <w:pStyle w:val="Kopfzeile"/>
    </w:pPr>
    <w:r w:rsidRPr="00FA01B5">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de-DE" w:eastAsia="de-DE"/>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914153"/>
                  </a:xfrm>
                  <a:prstGeom prst="rect">
                    <a:avLst/>
                  </a:prstGeom>
                </pic:spPr>
              </pic:pic>
            </a:graphicData>
          </a:graphic>
        </wp:anchor>
      </w:drawing>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FA01B5">
    <w:pPr>
      <w:pStyle w:val="Kopfzeile"/>
    </w:pPr>
    <w:r w:rsidRPr="00FA01B5">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37D9F"/>
    <w:multiLevelType w:val="multilevel"/>
    <w:tmpl w:val="065EAE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190BCF"/>
    <w:multiLevelType w:val="multilevel"/>
    <w:tmpl w:val="5A5A91F0"/>
    <w:lvl w:ilvl="0">
      <w:start w:val="1"/>
      <w:numFmt w:val="decimal"/>
      <w:lvlText w:val="[%1]"/>
      <w:lvlJc w:val="left"/>
      <w:pPr>
        <w:ind w:left="574" w:hanging="360"/>
      </w:pPr>
      <w:rPr>
        <w:sz w:val="18"/>
        <w:szCs w:val="18"/>
      </w:rPr>
    </w:lvl>
    <w:lvl w:ilvl="1">
      <w:start w:val="1"/>
      <w:numFmt w:val="lowerLetter"/>
      <w:lvlText w:val="%2."/>
      <w:lvlJc w:val="left"/>
      <w:pPr>
        <w:ind w:left="3724" w:hanging="360"/>
      </w:pPr>
    </w:lvl>
    <w:lvl w:ilvl="2">
      <w:start w:val="1"/>
      <w:numFmt w:val="lowerRoman"/>
      <w:lvlText w:val="%3."/>
      <w:lvlJc w:val="right"/>
      <w:pPr>
        <w:ind w:left="4444" w:hanging="180"/>
      </w:pPr>
    </w:lvl>
    <w:lvl w:ilvl="3">
      <w:start w:val="1"/>
      <w:numFmt w:val="decimal"/>
      <w:lvlText w:val="%4."/>
      <w:lvlJc w:val="left"/>
      <w:pPr>
        <w:ind w:left="5164" w:hanging="360"/>
      </w:pPr>
    </w:lvl>
    <w:lvl w:ilvl="4">
      <w:start w:val="1"/>
      <w:numFmt w:val="lowerLetter"/>
      <w:lvlText w:val="%5."/>
      <w:lvlJc w:val="left"/>
      <w:pPr>
        <w:ind w:left="5884" w:hanging="360"/>
      </w:pPr>
    </w:lvl>
    <w:lvl w:ilvl="5">
      <w:start w:val="1"/>
      <w:numFmt w:val="lowerRoman"/>
      <w:lvlText w:val="%6."/>
      <w:lvlJc w:val="right"/>
      <w:pPr>
        <w:ind w:left="6604" w:hanging="180"/>
      </w:pPr>
    </w:lvl>
    <w:lvl w:ilvl="6">
      <w:start w:val="1"/>
      <w:numFmt w:val="decimal"/>
      <w:lvlText w:val="%7."/>
      <w:lvlJc w:val="left"/>
      <w:pPr>
        <w:ind w:left="7324" w:hanging="360"/>
      </w:pPr>
    </w:lvl>
    <w:lvl w:ilvl="7">
      <w:start w:val="1"/>
      <w:numFmt w:val="lowerLetter"/>
      <w:lvlText w:val="%8."/>
      <w:lvlJc w:val="left"/>
      <w:pPr>
        <w:ind w:left="8044" w:hanging="360"/>
      </w:pPr>
    </w:lvl>
    <w:lvl w:ilvl="8">
      <w:start w:val="1"/>
      <w:numFmt w:val="lowerRoman"/>
      <w:lvlText w:val="%9."/>
      <w:lvlJc w:val="right"/>
      <w:pPr>
        <w:ind w:left="8764" w:hanging="180"/>
      </w:pPr>
    </w:lvl>
  </w:abstractNum>
  <w:abstractNum w:abstractNumId="18">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8"/>
  </w:num>
  <w:num w:numId="17">
    <w:abstractNumId w:val="10"/>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1"/>
  <w:documentProtection w:edit="forms" w:enforcement="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E414A"/>
    <w:rsid w:val="000027C0"/>
    <w:rsid w:val="000117CB"/>
    <w:rsid w:val="0003148D"/>
    <w:rsid w:val="00062A9A"/>
    <w:rsid w:val="00075DF9"/>
    <w:rsid w:val="000A03B2"/>
    <w:rsid w:val="000D34BE"/>
    <w:rsid w:val="000E36F1"/>
    <w:rsid w:val="000E3A73"/>
    <w:rsid w:val="000E414A"/>
    <w:rsid w:val="0013121F"/>
    <w:rsid w:val="00134DE4"/>
    <w:rsid w:val="00136040"/>
    <w:rsid w:val="00150E59"/>
    <w:rsid w:val="00161231"/>
    <w:rsid w:val="00184AD6"/>
    <w:rsid w:val="00185582"/>
    <w:rsid w:val="001B65C1"/>
    <w:rsid w:val="001C684B"/>
    <w:rsid w:val="001D4DFC"/>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020"/>
    <w:rsid w:val="005346C8"/>
    <w:rsid w:val="0054252F"/>
    <w:rsid w:val="00581B51"/>
    <w:rsid w:val="00594E9F"/>
    <w:rsid w:val="005970E1"/>
    <w:rsid w:val="005B61E6"/>
    <w:rsid w:val="005C77E1"/>
    <w:rsid w:val="005D6A2F"/>
    <w:rsid w:val="005E1A82"/>
    <w:rsid w:val="005F0A28"/>
    <w:rsid w:val="005F0E5E"/>
    <w:rsid w:val="00620DEE"/>
    <w:rsid w:val="00625639"/>
    <w:rsid w:val="0064184D"/>
    <w:rsid w:val="00660E3E"/>
    <w:rsid w:val="00662E74"/>
    <w:rsid w:val="006A58D2"/>
    <w:rsid w:val="006A7AC1"/>
    <w:rsid w:val="006B7FD6"/>
    <w:rsid w:val="006C5579"/>
    <w:rsid w:val="00704BDF"/>
    <w:rsid w:val="00736B13"/>
    <w:rsid w:val="007447F3"/>
    <w:rsid w:val="007661C8"/>
    <w:rsid w:val="007B1C0B"/>
    <w:rsid w:val="007C42E1"/>
    <w:rsid w:val="007D52CD"/>
    <w:rsid w:val="00813288"/>
    <w:rsid w:val="008168FC"/>
    <w:rsid w:val="008479A2"/>
    <w:rsid w:val="00847FCC"/>
    <w:rsid w:val="0087637F"/>
    <w:rsid w:val="00893F2D"/>
    <w:rsid w:val="008A1512"/>
    <w:rsid w:val="008D0BEB"/>
    <w:rsid w:val="008E566E"/>
    <w:rsid w:val="00901EB6"/>
    <w:rsid w:val="00941FAB"/>
    <w:rsid w:val="009450CE"/>
    <w:rsid w:val="0095164B"/>
    <w:rsid w:val="0096446D"/>
    <w:rsid w:val="00986DC1"/>
    <w:rsid w:val="00996483"/>
    <w:rsid w:val="009E6DB1"/>
    <w:rsid w:val="009E71BC"/>
    <w:rsid w:val="009E788A"/>
    <w:rsid w:val="00A1763D"/>
    <w:rsid w:val="00A17CEC"/>
    <w:rsid w:val="00A22B15"/>
    <w:rsid w:val="00A27EF0"/>
    <w:rsid w:val="00A4191A"/>
    <w:rsid w:val="00A76EFC"/>
    <w:rsid w:val="00A9626B"/>
    <w:rsid w:val="00A97F29"/>
    <w:rsid w:val="00AB0964"/>
    <w:rsid w:val="00AE11D6"/>
    <w:rsid w:val="00AE377D"/>
    <w:rsid w:val="00B61DBF"/>
    <w:rsid w:val="00BC30C9"/>
    <w:rsid w:val="00BD2CBA"/>
    <w:rsid w:val="00BE3E58"/>
    <w:rsid w:val="00C01616"/>
    <w:rsid w:val="00C0162B"/>
    <w:rsid w:val="00C345B1"/>
    <w:rsid w:val="00C40142"/>
    <w:rsid w:val="00C57182"/>
    <w:rsid w:val="00C655FD"/>
    <w:rsid w:val="00C867B1"/>
    <w:rsid w:val="00C94434"/>
    <w:rsid w:val="00CA1C95"/>
    <w:rsid w:val="00CA205C"/>
    <w:rsid w:val="00CA5A9C"/>
    <w:rsid w:val="00CD5FE2"/>
    <w:rsid w:val="00CF07FA"/>
    <w:rsid w:val="00D02B4C"/>
    <w:rsid w:val="00D62E28"/>
    <w:rsid w:val="00D84576"/>
    <w:rsid w:val="00DB4FC0"/>
    <w:rsid w:val="00DE0019"/>
    <w:rsid w:val="00DE264A"/>
    <w:rsid w:val="00E041E7"/>
    <w:rsid w:val="00E23CA1"/>
    <w:rsid w:val="00E34E8A"/>
    <w:rsid w:val="00E409A8"/>
    <w:rsid w:val="00E7209D"/>
    <w:rsid w:val="00EA50E1"/>
    <w:rsid w:val="00EE0131"/>
    <w:rsid w:val="00F30C64"/>
    <w:rsid w:val="00FA01B5"/>
    <w:rsid w:val="00FB730C"/>
    <w:rsid w:val="00FC2695"/>
    <w:rsid w:val="00FC3E03"/>
    <w:rsid w:val="00FE6A2D"/>
    <w:rsid w:val="00FF61B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gitternetz">
    <w:name w:val="Table Grid"/>
    <w:basedOn w:val="NormaleTabel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0986-ECE2-473F-B80C-8EAAD819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CN</cp:lastModifiedBy>
  <cp:revision>31</cp:revision>
  <cp:lastPrinted>2015-05-12T18:31:00Z</cp:lastPrinted>
  <dcterms:created xsi:type="dcterms:W3CDTF">2019-06-11T14:52:00Z</dcterms:created>
  <dcterms:modified xsi:type="dcterms:W3CDTF">2019-06-11T16:45:00Z</dcterms:modified>
</cp:coreProperties>
</file>