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77687A"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Photocatalytic Oxidation in a Rotor-Stator Spinning Disk Reactor: Improving Process Sustainability</w:t>
      </w:r>
    </w:p>
    <w:p w:rsidR="0077687A" w:rsidRPr="0077687A" w:rsidRDefault="0077687A" w:rsidP="00704BDF">
      <w:pPr>
        <w:snapToGrid w:val="0"/>
        <w:spacing w:after="120"/>
        <w:jc w:val="center"/>
        <w:rPr>
          <w:rFonts w:asciiTheme="minorHAnsi" w:eastAsia="SimSun" w:hAnsiTheme="minorHAnsi"/>
          <w:color w:val="000000"/>
          <w:sz w:val="24"/>
          <w:szCs w:val="24"/>
          <w:lang w:val="en-US" w:eastAsia="zh-CN"/>
        </w:rPr>
      </w:pPr>
      <w:r w:rsidRPr="0077687A">
        <w:rPr>
          <w:rFonts w:asciiTheme="minorHAnsi" w:eastAsia="SimSun" w:hAnsiTheme="minorHAnsi"/>
          <w:color w:val="000000"/>
          <w:sz w:val="24"/>
          <w:szCs w:val="24"/>
          <w:u w:val="single"/>
          <w:lang w:val="en-US" w:eastAsia="zh-CN"/>
        </w:rPr>
        <w:t>Arnab Chaudhuri</w:t>
      </w:r>
      <w:r w:rsidRPr="0077687A">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Parimala</w:t>
      </w:r>
      <w:proofErr w:type="spellEnd"/>
      <w:r>
        <w:rPr>
          <w:rFonts w:asciiTheme="minorHAnsi" w:eastAsia="SimSun" w:hAnsiTheme="minorHAnsi"/>
          <w:color w:val="000000"/>
          <w:sz w:val="24"/>
          <w:szCs w:val="24"/>
          <w:lang w:val="en-US" w:eastAsia="zh-CN"/>
        </w:rPr>
        <w:t xml:space="preserve"> Shivaprasad</w:t>
      </w:r>
      <w:r w:rsidRPr="0077687A">
        <w:rPr>
          <w:rFonts w:asciiTheme="minorHAnsi" w:eastAsia="SimSun" w:hAnsiTheme="minorHAnsi"/>
          <w:color w:val="000000"/>
          <w:sz w:val="24"/>
          <w:szCs w:val="24"/>
          <w:vertAlign w:val="superscript"/>
          <w:lang w:val="en-US" w:eastAsia="zh-CN"/>
        </w:rPr>
        <w:t>1, 2</w:t>
      </w:r>
      <w:r>
        <w:rPr>
          <w:rFonts w:asciiTheme="minorHAnsi" w:eastAsia="SimSun" w:hAnsiTheme="minorHAnsi"/>
          <w:color w:val="000000"/>
          <w:sz w:val="24"/>
          <w:szCs w:val="24"/>
          <w:lang w:val="en-US" w:eastAsia="zh-CN"/>
        </w:rPr>
        <w:t xml:space="preserve">, </w:t>
      </w:r>
      <w:r w:rsidRPr="0077687A">
        <w:rPr>
          <w:rFonts w:asciiTheme="minorHAnsi" w:eastAsia="SimSun" w:hAnsiTheme="minorHAnsi"/>
          <w:color w:val="000000"/>
          <w:sz w:val="24"/>
          <w:szCs w:val="24"/>
          <w:lang w:val="en-US" w:eastAsia="zh-CN"/>
        </w:rPr>
        <w:t>Koen Kuijpers</w:t>
      </w:r>
      <w:r w:rsidRPr="0077687A">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w:t>
      </w:r>
      <w:r w:rsidRPr="0077687A">
        <w:rPr>
          <w:rFonts w:asciiTheme="minorHAnsi" w:eastAsia="SimSun" w:hAnsiTheme="minorHAnsi"/>
          <w:color w:val="000000"/>
          <w:sz w:val="24"/>
          <w:szCs w:val="24"/>
          <w:lang w:val="en-US" w:eastAsia="zh-CN"/>
        </w:rPr>
        <w:t xml:space="preserve"> Emma Anna Carolina Emanuelsson</w:t>
      </w:r>
      <w:r w:rsidRPr="0077687A">
        <w:rPr>
          <w:rFonts w:asciiTheme="minorHAnsi" w:eastAsia="SimSun" w:hAnsiTheme="minorHAnsi"/>
          <w:color w:val="000000"/>
          <w:sz w:val="24"/>
          <w:szCs w:val="24"/>
          <w:vertAlign w:val="superscript"/>
          <w:lang w:val="en-US" w:eastAsia="zh-CN"/>
        </w:rPr>
        <w:t>2</w:t>
      </w:r>
      <w:r w:rsidRPr="0077687A">
        <w:rPr>
          <w:rFonts w:asciiTheme="minorHAnsi" w:eastAsia="SimSun" w:hAnsiTheme="minorHAnsi"/>
          <w:color w:val="000000"/>
          <w:sz w:val="24"/>
          <w:szCs w:val="24"/>
          <w:lang w:val="en-US" w:eastAsia="zh-CN"/>
        </w:rPr>
        <w:t>, Timothy Noël</w:t>
      </w:r>
      <w:r w:rsidRPr="0077687A">
        <w:rPr>
          <w:rFonts w:asciiTheme="minorHAnsi" w:eastAsia="SimSun" w:hAnsiTheme="minorHAnsi"/>
          <w:color w:val="000000"/>
          <w:sz w:val="24"/>
          <w:szCs w:val="24"/>
          <w:vertAlign w:val="superscript"/>
          <w:lang w:val="en-US" w:eastAsia="zh-CN"/>
        </w:rPr>
        <w:t>1</w:t>
      </w:r>
      <w:r w:rsidRPr="0077687A">
        <w:rPr>
          <w:rFonts w:asciiTheme="minorHAnsi" w:eastAsia="SimSun" w:hAnsiTheme="minorHAnsi"/>
          <w:color w:val="000000"/>
          <w:sz w:val="24"/>
          <w:szCs w:val="24"/>
          <w:lang w:val="en-US" w:eastAsia="zh-CN"/>
        </w:rPr>
        <w:t>, John van der Schaaf</w:t>
      </w:r>
      <w:r w:rsidRPr="0077687A">
        <w:rPr>
          <w:rFonts w:asciiTheme="minorHAnsi" w:eastAsia="SimSun" w:hAnsiTheme="minorHAnsi"/>
          <w:color w:val="000000"/>
          <w:sz w:val="24"/>
          <w:szCs w:val="24"/>
          <w:vertAlign w:val="superscript"/>
          <w:lang w:val="en-US" w:eastAsia="zh-CN"/>
        </w:rPr>
        <w:t>1</w:t>
      </w:r>
      <w:r w:rsidRPr="00DE0019">
        <w:rPr>
          <w:rFonts w:asciiTheme="minorHAnsi" w:eastAsia="MS PGothic" w:hAnsiTheme="minorHAnsi"/>
          <w:bCs/>
          <w:i/>
          <w:iCs/>
          <w:color w:val="000000"/>
          <w:sz w:val="20"/>
          <w:lang w:val="en-US"/>
        </w:rPr>
        <w:t>*</w:t>
      </w:r>
    </w:p>
    <w:p w:rsidR="002A2C29" w:rsidRPr="002A2C29" w:rsidRDefault="00704BDF" w:rsidP="00704BDF">
      <w:pPr>
        <w:snapToGrid w:val="0"/>
        <w:spacing w:after="120"/>
        <w:jc w:val="center"/>
        <w:rPr>
          <w:rFonts w:asciiTheme="minorHAnsi" w:eastAsia="MS PGothic" w:hAnsiTheme="minorHAnsi"/>
          <w:i/>
          <w:iCs/>
          <w:color w:val="000000"/>
          <w:sz w:val="20"/>
          <w:lang w:val="nl-NL"/>
        </w:rPr>
      </w:pPr>
      <w:r w:rsidRPr="002A2C29">
        <w:rPr>
          <w:rFonts w:eastAsia="MS PGothic"/>
          <w:i/>
          <w:iCs/>
          <w:color w:val="000000"/>
          <w:sz w:val="20"/>
          <w:vertAlign w:val="superscript"/>
          <w:lang w:val="nl-NL"/>
        </w:rPr>
        <w:t>1</w:t>
      </w:r>
      <w:r w:rsidRPr="002A2C29">
        <w:rPr>
          <w:rFonts w:asciiTheme="minorHAnsi" w:eastAsia="MS PGothic" w:hAnsiTheme="minorHAnsi"/>
          <w:i/>
          <w:iCs/>
          <w:color w:val="000000"/>
          <w:sz w:val="20"/>
          <w:lang w:val="nl-NL"/>
        </w:rPr>
        <w:t xml:space="preserve"> </w:t>
      </w:r>
      <w:r w:rsidR="002A2C29" w:rsidRPr="002A2C29">
        <w:rPr>
          <w:rFonts w:asciiTheme="minorHAnsi" w:eastAsia="MS PGothic" w:hAnsiTheme="minorHAnsi"/>
          <w:i/>
          <w:iCs/>
          <w:color w:val="000000"/>
          <w:sz w:val="20"/>
          <w:lang w:val="nl-NL"/>
        </w:rPr>
        <w:t>Deparment of Chemical Engineering, TU Eindhoven, 5612 AZ, Eindhoven, Netherlands</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2A2C29">
        <w:rPr>
          <w:rFonts w:asciiTheme="minorHAnsi" w:eastAsia="MS PGothic" w:hAnsiTheme="minorHAnsi"/>
          <w:i/>
          <w:iCs/>
          <w:color w:val="000000"/>
          <w:sz w:val="20"/>
          <w:vertAlign w:val="superscript"/>
          <w:lang w:val="en-US"/>
        </w:rPr>
        <w:t>2</w:t>
      </w:r>
      <w:r w:rsidRPr="00DE0019">
        <w:rPr>
          <w:rFonts w:asciiTheme="minorHAnsi" w:eastAsia="MS PGothic" w:hAnsiTheme="minorHAnsi"/>
          <w:i/>
          <w:iCs/>
          <w:color w:val="000000"/>
          <w:sz w:val="20"/>
          <w:lang w:val="en-US"/>
        </w:rPr>
        <w:t xml:space="preserve"> </w:t>
      </w:r>
      <w:r w:rsidR="002A2C29">
        <w:rPr>
          <w:rFonts w:asciiTheme="minorHAnsi" w:eastAsia="MS PGothic" w:hAnsiTheme="minorHAnsi"/>
          <w:i/>
          <w:iCs/>
          <w:color w:val="000000"/>
          <w:sz w:val="20"/>
          <w:lang w:val="en-US"/>
        </w:rPr>
        <w:t>Department of Chemical Engineering, University of Bath, BA2 7AY, Bath, United Kingdom</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77687A">
        <w:rPr>
          <w:rFonts w:asciiTheme="minorHAnsi" w:eastAsia="MS PGothic" w:hAnsiTheme="minorHAnsi"/>
          <w:bCs/>
          <w:i/>
          <w:iCs/>
          <w:color w:val="000000"/>
          <w:sz w:val="20"/>
          <w:lang w:val="en-US"/>
        </w:rPr>
        <w:t>J.Vanderschaaf@tue.nl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843D5D" w:rsidP="00704BDF">
      <w:pPr>
        <w:pStyle w:val="AbstractBody"/>
        <w:numPr>
          <w:ilvl w:val="0"/>
          <w:numId w:val="16"/>
        </w:numPr>
        <w:rPr>
          <w:rFonts w:asciiTheme="minorHAnsi" w:hAnsiTheme="minorHAnsi"/>
        </w:rPr>
      </w:pPr>
      <w:r>
        <w:rPr>
          <w:rFonts w:asciiTheme="minorHAnsi" w:hAnsiTheme="minorHAnsi"/>
        </w:rPr>
        <w:t>Photocatalytic Oxidation of L-methionine was investigated with a RS-SDR</w:t>
      </w:r>
    </w:p>
    <w:p w:rsidR="00704BDF" w:rsidRPr="00EC66CC" w:rsidRDefault="00843D5D" w:rsidP="00704BDF">
      <w:pPr>
        <w:pStyle w:val="AbstractBody"/>
        <w:numPr>
          <w:ilvl w:val="0"/>
          <w:numId w:val="16"/>
        </w:numPr>
        <w:rPr>
          <w:rFonts w:asciiTheme="minorHAnsi" w:hAnsiTheme="minorHAnsi"/>
        </w:rPr>
      </w:pPr>
      <w:r>
        <w:rPr>
          <w:rFonts w:asciiTheme="minorHAnsi" w:hAnsiTheme="minorHAnsi"/>
        </w:rPr>
        <w:t>High conversions were obtained with short residence times indicating possibilities for improvements in process sustainability</w:t>
      </w:r>
    </w:p>
    <w:p w:rsidR="00704BDF" w:rsidRPr="00EC66CC" w:rsidRDefault="00843D5D" w:rsidP="00704BDF">
      <w:pPr>
        <w:pStyle w:val="AbstractBody"/>
        <w:numPr>
          <w:ilvl w:val="0"/>
          <w:numId w:val="16"/>
        </w:numPr>
        <w:rPr>
          <w:rFonts w:asciiTheme="minorHAnsi" w:hAnsiTheme="minorHAnsi"/>
        </w:rPr>
      </w:pPr>
      <w:r>
        <w:rPr>
          <w:rFonts w:asciiTheme="minorHAnsi" w:hAnsiTheme="minorHAnsi"/>
        </w:rPr>
        <w:t>Results were compared to conventional reactor systems</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7687A" w:rsidRDefault="0077687A" w:rsidP="00C867B1">
      <w:pPr>
        <w:snapToGrid w:val="0"/>
        <w:spacing w:after="120"/>
        <w:rPr>
          <w:rFonts w:asciiTheme="minorHAnsi" w:eastAsia="MS PGothic" w:hAnsiTheme="minorHAnsi"/>
          <w:color w:val="000000"/>
          <w:sz w:val="22"/>
          <w:szCs w:val="22"/>
          <w:lang w:val="en-US"/>
        </w:rPr>
      </w:pPr>
      <w:r w:rsidRPr="0077687A">
        <w:rPr>
          <w:rFonts w:asciiTheme="minorHAnsi" w:eastAsia="MS PGothic" w:hAnsiTheme="minorHAnsi"/>
          <w:color w:val="000000"/>
          <w:sz w:val="22"/>
          <w:szCs w:val="22"/>
          <w:lang w:val="en-US"/>
        </w:rPr>
        <w:t>In recent years, process intensification (PI) has been a promising pathway to achieve sustainable chemical production [1]. The rotor-stator spinning disc reactor (</w:t>
      </w:r>
      <w:proofErr w:type="spellStart"/>
      <w:r w:rsidRPr="0077687A">
        <w:rPr>
          <w:rFonts w:asciiTheme="minorHAnsi" w:eastAsia="MS PGothic" w:hAnsiTheme="minorHAnsi"/>
          <w:color w:val="000000"/>
          <w:sz w:val="22"/>
          <w:szCs w:val="22"/>
          <w:lang w:val="en-US"/>
        </w:rPr>
        <w:t>rs</w:t>
      </w:r>
      <w:proofErr w:type="spellEnd"/>
      <w:r w:rsidRPr="0077687A">
        <w:rPr>
          <w:rFonts w:asciiTheme="minorHAnsi" w:eastAsia="MS PGothic" w:hAnsiTheme="minorHAnsi"/>
          <w:color w:val="000000"/>
          <w:sz w:val="22"/>
          <w:szCs w:val="22"/>
          <w:lang w:val="en-US"/>
        </w:rPr>
        <w:t xml:space="preserve">-SDR) is one such PI reactor </w:t>
      </w:r>
      <w:r w:rsidR="00843D5D">
        <w:rPr>
          <w:rFonts w:asciiTheme="minorHAnsi" w:eastAsia="MS PGothic" w:hAnsiTheme="minorHAnsi"/>
          <w:color w:val="000000"/>
          <w:sz w:val="22"/>
          <w:szCs w:val="22"/>
          <w:lang w:val="en-US"/>
        </w:rPr>
        <w:t>were</w:t>
      </w:r>
      <w:r w:rsidRPr="0077687A">
        <w:rPr>
          <w:rFonts w:asciiTheme="minorHAnsi" w:eastAsia="MS PGothic" w:hAnsiTheme="minorHAnsi"/>
          <w:color w:val="000000"/>
          <w:sz w:val="22"/>
          <w:szCs w:val="22"/>
          <w:lang w:val="en-US"/>
        </w:rPr>
        <w:t xml:space="preserve"> high shear force on the feed </w:t>
      </w:r>
      <w:r w:rsidR="00843D5D">
        <w:rPr>
          <w:rFonts w:asciiTheme="minorHAnsi" w:eastAsia="MS PGothic" w:hAnsiTheme="minorHAnsi"/>
          <w:color w:val="000000"/>
          <w:sz w:val="22"/>
          <w:szCs w:val="22"/>
          <w:lang w:val="en-US"/>
        </w:rPr>
        <w:t>due to</w:t>
      </w:r>
      <w:r w:rsidRPr="0077687A">
        <w:rPr>
          <w:rFonts w:asciiTheme="minorHAnsi" w:eastAsia="MS PGothic" w:hAnsiTheme="minorHAnsi"/>
          <w:color w:val="000000"/>
          <w:sz w:val="22"/>
          <w:szCs w:val="22"/>
          <w:lang w:val="en-US"/>
        </w:rPr>
        <w:t xml:space="preserve"> velocity gradient</w:t>
      </w:r>
      <w:r w:rsidR="00843D5D">
        <w:rPr>
          <w:rFonts w:asciiTheme="minorHAnsi" w:eastAsia="MS PGothic" w:hAnsiTheme="minorHAnsi"/>
          <w:color w:val="000000"/>
          <w:sz w:val="22"/>
          <w:szCs w:val="22"/>
          <w:lang w:val="en-US"/>
        </w:rPr>
        <w:t>s</w:t>
      </w:r>
      <w:r w:rsidRPr="0077687A">
        <w:rPr>
          <w:rFonts w:asciiTheme="minorHAnsi" w:eastAsia="MS PGothic" w:hAnsiTheme="minorHAnsi"/>
          <w:color w:val="000000"/>
          <w:sz w:val="22"/>
          <w:szCs w:val="22"/>
          <w:lang w:val="en-US"/>
        </w:rPr>
        <w:t xml:space="preserve"> between the rotor and the stator</w:t>
      </w:r>
      <w:r w:rsidR="00843D5D">
        <w:rPr>
          <w:rFonts w:asciiTheme="minorHAnsi" w:eastAsia="MS PGothic" w:hAnsiTheme="minorHAnsi"/>
          <w:color w:val="000000"/>
          <w:sz w:val="22"/>
          <w:szCs w:val="22"/>
          <w:lang w:val="en-US"/>
        </w:rPr>
        <w:t xml:space="preserve"> result</w:t>
      </w:r>
      <w:r w:rsidRPr="0077687A">
        <w:rPr>
          <w:rFonts w:asciiTheme="minorHAnsi" w:eastAsia="MS PGothic" w:hAnsiTheme="minorHAnsi"/>
          <w:color w:val="000000"/>
          <w:sz w:val="22"/>
          <w:szCs w:val="22"/>
          <w:lang w:val="en-US"/>
        </w:rPr>
        <w:t xml:space="preserve"> in high rates of mass and heat transfer [2]. This leads to </w:t>
      </w:r>
      <w:proofErr w:type="spellStart"/>
      <w:r w:rsidRPr="0077687A">
        <w:rPr>
          <w:rFonts w:asciiTheme="minorHAnsi" w:eastAsia="MS PGothic" w:hAnsiTheme="minorHAnsi"/>
          <w:color w:val="000000"/>
          <w:sz w:val="22"/>
          <w:szCs w:val="22"/>
          <w:lang w:val="en-US"/>
        </w:rPr>
        <w:t>rs</w:t>
      </w:r>
      <w:proofErr w:type="spellEnd"/>
      <w:r w:rsidRPr="0077687A">
        <w:rPr>
          <w:rFonts w:asciiTheme="minorHAnsi" w:eastAsia="MS PGothic" w:hAnsiTheme="minorHAnsi"/>
          <w:color w:val="000000"/>
          <w:sz w:val="22"/>
          <w:szCs w:val="22"/>
          <w:lang w:val="en-US"/>
        </w:rPr>
        <w:t>-SDR being a particularly interesting reactor for photochemical applications where photon transfer and mass transfer of the activated species are often limited (e.g. for high concentration). In this study, we demonstrate the potential of a photo-</w:t>
      </w:r>
      <w:proofErr w:type="spellStart"/>
      <w:r w:rsidRPr="0077687A">
        <w:rPr>
          <w:rFonts w:asciiTheme="minorHAnsi" w:eastAsia="MS PGothic" w:hAnsiTheme="minorHAnsi"/>
          <w:color w:val="000000"/>
          <w:sz w:val="22"/>
          <w:szCs w:val="22"/>
          <w:lang w:val="en-US"/>
        </w:rPr>
        <w:t>rs</w:t>
      </w:r>
      <w:proofErr w:type="spellEnd"/>
      <w:r w:rsidRPr="0077687A">
        <w:rPr>
          <w:rFonts w:asciiTheme="minorHAnsi" w:eastAsia="MS PGothic" w:hAnsiTheme="minorHAnsi"/>
          <w:color w:val="000000"/>
          <w:sz w:val="22"/>
          <w:szCs w:val="22"/>
          <w:lang w:val="en-US"/>
        </w:rPr>
        <w:t xml:space="preserve">-SDR for applications towards photochemical reactions. A challenging reaction where additional gas-liquid mass transfer limitations are observed has been selected for this </w:t>
      </w:r>
      <w:r w:rsidR="00390FEC" w:rsidRPr="0077687A">
        <w:rPr>
          <w:rFonts w:asciiTheme="minorHAnsi" w:eastAsia="MS PGothic" w:hAnsiTheme="minorHAnsi"/>
          <w:color w:val="000000"/>
          <w:sz w:val="22"/>
          <w:szCs w:val="22"/>
          <w:lang w:val="en-US"/>
        </w:rPr>
        <w:t>study [</w:t>
      </w:r>
      <w:r w:rsidRPr="0077687A">
        <w:rPr>
          <w:rFonts w:asciiTheme="minorHAnsi" w:eastAsia="MS PGothic" w:hAnsiTheme="minorHAnsi"/>
          <w:color w:val="000000"/>
          <w:sz w:val="22"/>
          <w:szCs w:val="22"/>
          <w:lang w:val="en-US"/>
        </w:rPr>
        <w:t xml:space="preserve">3]. </w:t>
      </w:r>
    </w:p>
    <w:p w:rsidR="0077687A" w:rsidRDefault="0077687A" w:rsidP="0077687A">
      <w:pPr>
        <w:jc w:val="center"/>
        <w:rPr>
          <w:rFonts w:cs="Arial"/>
          <w:sz w:val="22"/>
          <w:szCs w:val="22"/>
        </w:rPr>
      </w:pPr>
      <w:r w:rsidRPr="003D5AB2">
        <w:rPr>
          <w:rFonts w:cs="Arial"/>
          <w:noProof/>
          <w:sz w:val="22"/>
          <w:szCs w:val="22"/>
          <w:lang w:val="en-US"/>
        </w:rPr>
        <w:drawing>
          <wp:inline distT="0" distB="0" distL="0" distR="0" wp14:anchorId="4D3AE6D6" wp14:editId="67B68DF6">
            <wp:extent cx="2590165" cy="807666"/>
            <wp:effectExtent l="0" t="0" r="635" b="0"/>
            <wp:docPr id="497" name="Content Placeholder 49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97" name="Content Placeholder 496"/>
                    <pic:cNvPicPr>
                      <a:picLocks noGrp="1" noChangeAspect="1"/>
                    </pic:cNvPicPr>
                  </pic:nvPicPr>
                  <pic:blipFill>
                    <a:blip r:embed="rId10"/>
                    <a:stretch>
                      <a:fillRect/>
                    </a:stretch>
                  </pic:blipFill>
                  <pic:spPr>
                    <a:xfrm>
                      <a:off x="0" y="0"/>
                      <a:ext cx="2639440" cy="823031"/>
                    </a:xfrm>
                    <a:prstGeom prst="rect">
                      <a:avLst/>
                    </a:prstGeom>
                  </pic:spPr>
                </pic:pic>
              </a:graphicData>
            </a:graphic>
          </wp:inline>
        </w:drawing>
      </w:r>
    </w:p>
    <w:p w:rsidR="0077687A" w:rsidRPr="00843D5D" w:rsidRDefault="0077687A" w:rsidP="0077687A">
      <w:pPr>
        <w:jc w:val="center"/>
        <w:rPr>
          <w:rFonts w:asciiTheme="minorHAnsi" w:hAnsiTheme="minorHAnsi" w:cs="Arial"/>
          <w:b/>
          <w:szCs w:val="22"/>
        </w:rPr>
      </w:pPr>
      <w:r w:rsidRPr="00843D5D">
        <w:rPr>
          <w:rFonts w:asciiTheme="minorHAnsi" w:hAnsiTheme="minorHAnsi" w:cs="Arial"/>
          <w:b/>
          <w:szCs w:val="22"/>
        </w:rPr>
        <w:t>Figure 1: Reaction scheme</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9D373C" w:rsidRDefault="009D373C" w:rsidP="009D373C">
      <w:pPr>
        <w:rPr>
          <w:rFonts w:asciiTheme="minorHAnsi" w:hAnsiTheme="minorHAnsi" w:cs="Arial"/>
          <w:sz w:val="22"/>
          <w:szCs w:val="22"/>
          <w:lang w:val="en-US"/>
        </w:rPr>
      </w:pPr>
      <w:r w:rsidRPr="00E75CF3">
        <w:rPr>
          <w:rFonts w:asciiTheme="minorHAnsi" w:hAnsiTheme="minorHAnsi" w:cs="Arial"/>
          <w:sz w:val="22"/>
          <w:szCs w:val="22"/>
        </w:rPr>
        <w:t>The o</w:t>
      </w:r>
      <w:proofErr w:type="spellStart"/>
      <w:r w:rsidRPr="00E75CF3">
        <w:rPr>
          <w:rFonts w:asciiTheme="minorHAnsi" w:hAnsiTheme="minorHAnsi" w:cs="Arial"/>
          <w:sz w:val="22"/>
          <w:szCs w:val="22"/>
          <w:lang w:val="en-US"/>
        </w:rPr>
        <w:t>xidation</w:t>
      </w:r>
      <w:proofErr w:type="spellEnd"/>
      <w:r w:rsidRPr="00E75CF3">
        <w:rPr>
          <w:rFonts w:asciiTheme="minorHAnsi" w:hAnsiTheme="minorHAnsi" w:cs="Arial"/>
          <w:sz w:val="22"/>
          <w:szCs w:val="22"/>
          <w:lang w:val="en-US"/>
        </w:rPr>
        <w:t xml:space="preserve"> of L-methionine with methylene blue as the catalyst (Fig.1) was chosen as the model reaction </w:t>
      </w:r>
      <w:r w:rsidR="004179F5">
        <w:rPr>
          <w:rFonts w:asciiTheme="minorHAnsi" w:hAnsiTheme="minorHAnsi" w:cs="Arial"/>
          <w:sz w:val="22"/>
          <w:szCs w:val="22"/>
          <w:lang w:val="en-US"/>
        </w:rPr>
        <w:t>for this proof of concept study</w:t>
      </w:r>
      <w:r w:rsidRPr="00E75CF3">
        <w:rPr>
          <w:rFonts w:asciiTheme="minorHAnsi" w:hAnsiTheme="minorHAnsi" w:cs="Arial"/>
          <w:sz w:val="22"/>
          <w:szCs w:val="22"/>
          <w:lang w:val="en-US"/>
        </w:rPr>
        <w:t xml:space="preserve">. The </w:t>
      </w:r>
      <w:proofErr w:type="spellStart"/>
      <w:r w:rsidRPr="00E75CF3">
        <w:rPr>
          <w:rFonts w:asciiTheme="minorHAnsi" w:hAnsiTheme="minorHAnsi" w:cs="Arial"/>
          <w:sz w:val="22"/>
          <w:szCs w:val="22"/>
          <w:lang w:val="en-US"/>
        </w:rPr>
        <w:t>rs</w:t>
      </w:r>
      <w:proofErr w:type="spellEnd"/>
      <w:r w:rsidRPr="00E75CF3">
        <w:rPr>
          <w:rFonts w:asciiTheme="minorHAnsi" w:hAnsiTheme="minorHAnsi" w:cs="Arial"/>
          <w:sz w:val="22"/>
          <w:szCs w:val="22"/>
          <w:lang w:val="en-US"/>
        </w:rPr>
        <w:t>-SDR was illuminated using a solar light simulator (AM1.5G), to ensure no light limitations. The reaction was carried out by co-feeding the reaction solution and oxygen at the bottom of the reactor</w:t>
      </w:r>
      <w:r w:rsidR="004179F5">
        <w:rPr>
          <w:rFonts w:asciiTheme="minorHAnsi" w:hAnsiTheme="minorHAnsi" w:cs="Arial"/>
          <w:sz w:val="22"/>
          <w:szCs w:val="22"/>
          <w:lang w:val="en-US"/>
        </w:rPr>
        <w:t>; s</w:t>
      </w:r>
      <w:r w:rsidRPr="00E75CF3">
        <w:rPr>
          <w:rFonts w:asciiTheme="minorHAnsi" w:hAnsiTheme="minorHAnsi" w:cs="Arial"/>
          <w:sz w:val="22"/>
          <w:szCs w:val="22"/>
          <w:lang w:val="en-US"/>
        </w:rPr>
        <w:t>amples were collected after a single pass and the reaction conversion was measured using HPLC.</w:t>
      </w:r>
      <w:r w:rsidR="00390FEC">
        <w:rPr>
          <w:rFonts w:asciiTheme="minorHAnsi" w:hAnsiTheme="minorHAnsi" w:cs="Arial"/>
          <w:sz w:val="22"/>
          <w:szCs w:val="22"/>
          <w:lang w:val="en-US"/>
        </w:rPr>
        <w:t xml:space="preserve"> The schematic is illustrated in Fig </w:t>
      </w:r>
      <w:r w:rsidR="00843D5D">
        <w:rPr>
          <w:rFonts w:asciiTheme="minorHAnsi" w:hAnsiTheme="minorHAnsi" w:cs="Arial"/>
          <w:sz w:val="22"/>
          <w:szCs w:val="22"/>
          <w:lang w:val="en-US"/>
        </w:rPr>
        <w:t>2</w:t>
      </w:r>
      <w:r w:rsidR="00390FEC">
        <w:rPr>
          <w:rFonts w:asciiTheme="minorHAnsi" w:hAnsiTheme="minorHAnsi" w:cs="Arial"/>
          <w:sz w:val="22"/>
          <w:szCs w:val="22"/>
          <w:lang w:val="en-US"/>
        </w:rPr>
        <w:t xml:space="preserve">. </w:t>
      </w:r>
    </w:p>
    <w:p w:rsidR="00E75CF3" w:rsidRPr="008D0BEB" w:rsidRDefault="00E75CF3" w:rsidP="00E75CF3">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E75CF3" w:rsidRDefault="00E75CF3" w:rsidP="00E75CF3">
      <w:pPr>
        <w:snapToGrid w:val="0"/>
        <w:spacing w:after="120"/>
        <w:rPr>
          <w:rFonts w:asciiTheme="minorHAnsi" w:eastAsia="MS PGothic" w:hAnsiTheme="minorHAnsi"/>
          <w:color w:val="000000"/>
          <w:sz w:val="22"/>
          <w:szCs w:val="22"/>
          <w:lang w:val="en-US"/>
        </w:rPr>
      </w:pPr>
      <w:r w:rsidRPr="00E75CF3">
        <w:rPr>
          <w:rFonts w:asciiTheme="minorHAnsi" w:eastAsia="MS PGothic" w:hAnsiTheme="minorHAnsi"/>
          <w:color w:val="000000"/>
          <w:sz w:val="22"/>
          <w:szCs w:val="22"/>
          <w:lang w:val="en-US"/>
        </w:rPr>
        <w:t xml:space="preserve">A few of the results obtained are presented in this abstract. As illustrated in Fig 3, the reaction conversion (residence times between 24—28 seconds) increased with increasing rotation speed  </w:t>
      </w:r>
    </w:p>
    <w:p w:rsidR="00E75CF3" w:rsidRPr="00E75CF3" w:rsidRDefault="00E75CF3" w:rsidP="009D373C">
      <w:pPr>
        <w:rPr>
          <w:rFonts w:asciiTheme="minorHAnsi" w:hAnsiTheme="minorHAnsi" w:cs="Arial"/>
          <w:sz w:val="22"/>
          <w:szCs w:val="22"/>
          <w:lang w:val="en-US"/>
        </w:rPr>
      </w:pPr>
    </w:p>
    <w:p w:rsidR="009D373C" w:rsidRDefault="009D373C" w:rsidP="009D373C">
      <w:pPr>
        <w:jc w:val="center"/>
        <w:rPr>
          <w:rFonts w:cs="Arial"/>
          <w:sz w:val="22"/>
          <w:szCs w:val="22"/>
          <w:lang w:val="en-US"/>
        </w:rPr>
      </w:pPr>
      <w:r>
        <w:rPr>
          <w:rFonts w:cs="Arial"/>
          <w:noProof/>
          <w:sz w:val="22"/>
          <w:szCs w:val="22"/>
          <w:lang w:val="en-US"/>
        </w:rPr>
        <w:drawing>
          <wp:inline distT="0" distB="0" distL="0" distR="0" wp14:anchorId="75EA299E" wp14:editId="334B8B2F">
            <wp:extent cx="3230880" cy="1885041"/>
            <wp:effectExtent l="0" t="0" r="7620" b="127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1773" cy="1920569"/>
                    </a:xfrm>
                    <a:prstGeom prst="rect">
                      <a:avLst/>
                    </a:prstGeom>
                    <a:noFill/>
                  </pic:spPr>
                </pic:pic>
              </a:graphicData>
            </a:graphic>
          </wp:inline>
        </w:drawing>
      </w:r>
    </w:p>
    <w:p w:rsidR="009D373C" w:rsidRDefault="009D373C" w:rsidP="009D373C">
      <w:pPr>
        <w:jc w:val="center"/>
        <w:rPr>
          <w:rFonts w:cs="Arial"/>
          <w:i/>
          <w:sz w:val="22"/>
          <w:szCs w:val="22"/>
          <w:lang w:val="en-US"/>
        </w:rPr>
      </w:pPr>
    </w:p>
    <w:p w:rsidR="009D373C" w:rsidRPr="00E75CF3" w:rsidRDefault="009D373C" w:rsidP="009D373C">
      <w:pPr>
        <w:jc w:val="center"/>
        <w:rPr>
          <w:rFonts w:asciiTheme="minorHAnsi" w:hAnsiTheme="minorHAnsi" w:cs="Arial"/>
          <w:b/>
          <w:szCs w:val="18"/>
          <w:lang w:val="en-US"/>
        </w:rPr>
      </w:pPr>
      <w:r w:rsidRPr="00E75CF3">
        <w:rPr>
          <w:rFonts w:asciiTheme="minorHAnsi" w:hAnsiTheme="minorHAnsi" w:cs="Arial"/>
          <w:b/>
          <w:szCs w:val="18"/>
          <w:lang w:val="en-US"/>
        </w:rPr>
        <w:t>Figure 2: Schematic representation of the reactor set-up</w:t>
      </w:r>
    </w:p>
    <w:p w:rsidR="00E75CF3" w:rsidRDefault="00E75CF3" w:rsidP="00E75CF3">
      <w:pPr>
        <w:jc w:val="center"/>
        <w:rPr>
          <w:rFonts w:cs="Arial"/>
          <w:sz w:val="22"/>
          <w:szCs w:val="22"/>
          <w:lang w:val="en-US"/>
        </w:rPr>
      </w:pPr>
      <w:r>
        <w:rPr>
          <w:noProof/>
          <w:lang w:val="en-US"/>
        </w:rPr>
        <w:drawing>
          <wp:inline distT="0" distB="0" distL="0" distR="0" wp14:anchorId="4267A129" wp14:editId="1C9E74D8">
            <wp:extent cx="3619500" cy="151638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5CF3" w:rsidRPr="00E75CF3" w:rsidRDefault="00E75CF3" w:rsidP="00E75CF3">
      <w:pPr>
        <w:rPr>
          <w:rFonts w:asciiTheme="minorHAnsi" w:hAnsiTheme="minorHAnsi" w:cs="Arial"/>
          <w:b/>
          <w:sz w:val="20"/>
          <w:szCs w:val="22"/>
          <w:lang w:val="en-US"/>
        </w:rPr>
      </w:pPr>
    </w:p>
    <w:p w:rsidR="00E75CF3" w:rsidRPr="00E75CF3" w:rsidRDefault="00E75CF3" w:rsidP="00E75CF3">
      <w:pPr>
        <w:jc w:val="center"/>
        <w:rPr>
          <w:rFonts w:asciiTheme="minorHAnsi" w:hAnsiTheme="minorHAnsi" w:cs="Arial"/>
          <w:b/>
          <w:szCs w:val="22"/>
          <w:lang w:val="en-US"/>
        </w:rPr>
      </w:pPr>
      <w:r w:rsidRPr="00E75CF3">
        <w:rPr>
          <w:rFonts w:asciiTheme="minorHAnsi" w:hAnsiTheme="minorHAnsi" w:cs="Arial"/>
          <w:b/>
          <w:szCs w:val="22"/>
          <w:lang w:val="en-US"/>
        </w:rPr>
        <w:t>Figure 3: Effect of spinning speed and gas-liquid flowrate on reaction conversion</w:t>
      </w:r>
    </w:p>
    <w:p w:rsidR="00E75CF3" w:rsidRDefault="00E75CF3" w:rsidP="00E75CF3">
      <w:pPr>
        <w:rPr>
          <w:rFonts w:cs="Arial"/>
          <w:sz w:val="22"/>
          <w:szCs w:val="22"/>
          <w:lang w:val="en-US"/>
        </w:rPr>
      </w:pPr>
    </w:p>
    <w:p w:rsidR="00390FEC" w:rsidRPr="00E75CF3" w:rsidRDefault="004179F5" w:rsidP="00390FEC">
      <w:pPr>
        <w:rPr>
          <w:rFonts w:asciiTheme="minorHAnsi" w:hAnsiTheme="minorHAnsi" w:cs="Arial"/>
          <w:sz w:val="22"/>
          <w:szCs w:val="22"/>
          <w:lang w:val="en-US"/>
        </w:rPr>
      </w:pPr>
      <w:proofErr w:type="gramStart"/>
      <w:r>
        <w:rPr>
          <w:rFonts w:asciiTheme="minorHAnsi" w:eastAsia="MS PGothic" w:hAnsiTheme="minorHAnsi"/>
          <w:color w:val="000000"/>
          <w:sz w:val="22"/>
          <w:szCs w:val="22"/>
          <w:lang w:val="en-US"/>
        </w:rPr>
        <w:t>up</w:t>
      </w:r>
      <w:proofErr w:type="gramEnd"/>
      <w:r w:rsidRPr="00E75CF3">
        <w:rPr>
          <w:rFonts w:asciiTheme="minorHAnsi" w:eastAsia="MS PGothic" w:hAnsiTheme="minorHAnsi"/>
          <w:color w:val="000000"/>
          <w:sz w:val="22"/>
          <w:szCs w:val="22"/>
          <w:lang w:val="en-US"/>
        </w:rPr>
        <w:t xml:space="preserve"> to</w:t>
      </w:r>
      <w:r w:rsidR="00E75CF3" w:rsidRPr="00E75CF3">
        <w:rPr>
          <w:rFonts w:asciiTheme="minorHAnsi" w:eastAsia="MS PGothic" w:hAnsiTheme="minorHAnsi"/>
          <w:color w:val="000000"/>
          <w:sz w:val="22"/>
          <w:szCs w:val="22"/>
          <w:lang w:val="en-US"/>
        </w:rPr>
        <w:t xml:space="preserve"> 900 RPM.</w:t>
      </w:r>
      <w:r>
        <w:rPr>
          <w:rFonts w:asciiTheme="minorHAnsi" w:eastAsia="MS PGothic" w:hAnsiTheme="minorHAnsi"/>
          <w:color w:val="000000"/>
          <w:sz w:val="22"/>
          <w:szCs w:val="22"/>
          <w:lang w:val="en-US"/>
        </w:rPr>
        <w:t xml:space="preserve"> </w:t>
      </w:r>
      <w:r w:rsidR="00E75CF3" w:rsidRPr="00E75CF3">
        <w:rPr>
          <w:rFonts w:asciiTheme="minorHAnsi" w:eastAsia="MS PGothic" w:hAnsiTheme="minorHAnsi"/>
          <w:color w:val="000000"/>
          <w:sz w:val="22"/>
          <w:szCs w:val="22"/>
          <w:lang w:val="en-US"/>
        </w:rPr>
        <w:t xml:space="preserve">A maximum conversion of 55% was observed at 900 RPM for an optimum gas-liquid flowrate. </w:t>
      </w:r>
      <w:r w:rsidR="00390FEC" w:rsidRPr="00E75CF3">
        <w:rPr>
          <w:rFonts w:asciiTheme="minorHAnsi" w:hAnsiTheme="minorHAnsi" w:cs="Arial"/>
          <w:sz w:val="22"/>
          <w:szCs w:val="22"/>
          <w:lang w:val="en-US"/>
        </w:rPr>
        <w:t>Such high conversions within 24 seconds of residence time indicate that productivity of photochemical reactions can be significantly improved.</w:t>
      </w:r>
      <w:r w:rsidR="00390FEC">
        <w:rPr>
          <w:rFonts w:asciiTheme="minorHAnsi" w:hAnsiTheme="minorHAnsi" w:cs="Arial"/>
          <w:sz w:val="22"/>
          <w:szCs w:val="22"/>
          <w:lang w:val="en-US"/>
        </w:rPr>
        <w:t xml:space="preserve"> </w:t>
      </w:r>
      <w:r w:rsidR="00467390">
        <w:rPr>
          <w:rFonts w:asciiTheme="minorHAnsi" w:hAnsiTheme="minorHAnsi" w:cs="Arial"/>
          <w:sz w:val="22"/>
          <w:szCs w:val="22"/>
          <w:lang w:val="en-US"/>
        </w:rPr>
        <w:t xml:space="preserve">Larger phase separations were observed at higher RPMs which caused inefficient mixing, leading to lower conversions. </w:t>
      </w:r>
    </w:p>
    <w:p w:rsidR="00E75CF3" w:rsidRPr="00E75CF3" w:rsidRDefault="00E75CF3" w:rsidP="00E75CF3">
      <w:pPr>
        <w:rPr>
          <w:rFonts w:asciiTheme="minorHAnsi" w:hAnsiTheme="minorHAnsi" w:cs="Arial"/>
          <w:sz w:val="22"/>
          <w:szCs w:val="22"/>
          <w:lang w:val="en-US"/>
        </w:rPr>
      </w:pPr>
      <w:r w:rsidRPr="00E75CF3">
        <w:rPr>
          <w:rFonts w:asciiTheme="minorHAnsi" w:hAnsiTheme="minorHAnsi" w:cs="Arial"/>
          <w:sz w:val="22"/>
          <w:szCs w:val="22"/>
          <w:lang w:val="en-US"/>
        </w:rPr>
        <w:t>The effect of rotation speed, gas-liquid flowrate and catalyst concentration</w:t>
      </w:r>
      <w:r w:rsidR="002A2C29">
        <w:rPr>
          <w:rFonts w:asciiTheme="minorHAnsi" w:hAnsiTheme="minorHAnsi" w:cs="Arial"/>
          <w:sz w:val="22"/>
          <w:szCs w:val="22"/>
          <w:lang w:val="en-US"/>
        </w:rPr>
        <w:t xml:space="preserve"> on the reaction conversion</w:t>
      </w:r>
      <w:r w:rsidR="004179F5">
        <w:rPr>
          <w:rFonts w:asciiTheme="minorHAnsi" w:hAnsiTheme="minorHAnsi" w:cs="Arial"/>
          <w:sz w:val="22"/>
          <w:szCs w:val="22"/>
          <w:lang w:val="en-US"/>
        </w:rPr>
        <w:t xml:space="preserve"> have also been investigated under both the solar limit simulator and more limiting conditions</w:t>
      </w:r>
      <w:r w:rsidRPr="00E75CF3">
        <w:rPr>
          <w:rFonts w:asciiTheme="minorHAnsi" w:hAnsiTheme="minorHAnsi" w:cs="Arial"/>
          <w:sz w:val="22"/>
          <w:szCs w:val="22"/>
          <w:lang w:val="en-US"/>
        </w:rPr>
        <w:t xml:space="preserve">.  Additionally, the results were compared to two conventional reactors which are currently used in photochemistry: batch and </w:t>
      </w:r>
      <w:proofErr w:type="spellStart"/>
      <w:r w:rsidRPr="00E75CF3">
        <w:rPr>
          <w:rFonts w:asciiTheme="minorHAnsi" w:hAnsiTheme="minorHAnsi" w:cs="Arial"/>
          <w:sz w:val="22"/>
          <w:szCs w:val="22"/>
          <w:lang w:val="en-US"/>
        </w:rPr>
        <w:t>microflow</w:t>
      </w:r>
      <w:proofErr w:type="spellEnd"/>
      <w:r w:rsidRPr="00E75CF3">
        <w:rPr>
          <w:rFonts w:asciiTheme="minorHAnsi" w:hAnsiTheme="minorHAnsi" w:cs="Arial"/>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E75CF3" w:rsidRDefault="00E75CF3" w:rsidP="00E75CF3">
      <w:pPr>
        <w:rPr>
          <w:rFonts w:asciiTheme="minorHAnsi" w:hAnsiTheme="minorHAnsi" w:cs="Arial"/>
          <w:sz w:val="22"/>
          <w:szCs w:val="22"/>
          <w:lang w:val="en-US"/>
        </w:rPr>
      </w:pPr>
      <w:r w:rsidRPr="00E75CF3">
        <w:rPr>
          <w:rFonts w:asciiTheme="minorHAnsi" w:hAnsiTheme="minorHAnsi" w:cs="Arial"/>
          <w:sz w:val="22"/>
          <w:szCs w:val="22"/>
          <w:lang w:val="en-US"/>
        </w:rPr>
        <w:t xml:space="preserve">To the best of the authors’ knowledge, this is the first study of a successful synergistic reaction system using photochemistry </w:t>
      </w:r>
      <w:r w:rsidR="004179F5">
        <w:rPr>
          <w:rFonts w:asciiTheme="minorHAnsi" w:hAnsiTheme="minorHAnsi" w:cs="Arial"/>
          <w:sz w:val="22"/>
          <w:szCs w:val="22"/>
          <w:lang w:val="en-US"/>
        </w:rPr>
        <w:t>and</w:t>
      </w:r>
      <w:r w:rsidRPr="00E75CF3">
        <w:rPr>
          <w:rFonts w:asciiTheme="minorHAnsi" w:hAnsiTheme="minorHAnsi" w:cs="Arial"/>
          <w:sz w:val="22"/>
          <w:szCs w:val="22"/>
          <w:lang w:val="en-US"/>
        </w:rPr>
        <w:t xml:space="preserve"> the </w:t>
      </w:r>
      <w:proofErr w:type="spellStart"/>
      <w:r w:rsidRPr="00E75CF3">
        <w:rPr>
          <w:rFonts w:asciiTheme="minorHAnsi" w:hAnsiTheme="minorHAnsi" w:cs="Arial"/>
          <w:sz w:val="22"/>
          <w:szCs w:val="22"/>
          <w:lang w:val="en-US"/>
        </w:rPr>
        <w:t>rs</w:t>
      </w:r>
      <w:proofErr w:type="spellEnd"/>
      <w:r w:rsidRPr="00E75CF3">
        <w:rPr>
          <w:rFonts w:asciiTheme="minorHAnsi" w:hAnsiTheme="minorHAnsi" w:cs="Arial"/>
          <w:sz w:val="22"/>
          <w:szCs w:val="22"/>
          <w:lang w:val="en-US"/>
        </w:rPr>
        <w:t>-SDR. W</w:t>
      </w:r>
      <w:bookmarkStart w:id="0" w:name="_GoBack"/>
      <w:bookmarkEnd w:id="0"/>
      <w:r w:rsidRPr="00E75CF3">
        <w:rPr>
          <w:rFonts w:asciiTheme="minorHAnsi" w:hAnsiTheme="minorHAnsi" w:cs="Arial"/>
          <w:sz w:val="22"/>
          <w:szCs w:val="22"/>
          <w:lang w:val="en-US"/>
        </w:rPr>
        <w:t xml:space="preserve">e are currently investigating the potential of the photo </w:t>
      </w:r>
      <w:proofErr w:type="spellStart"/>
      <w:r w:rsidRPr="00E75CF3">
        <w:rPr>
          <w:rFonts w:asciiTheme="minorHAnsi" w:hAnsiTheme="minorHAnsi" w:cs="Arial"/>
          <w:sz w:val="22"/>
          <w:szCs w:val="22"/>
          <w:lang w:val="en-US"/>
        </w:rPr>
        <w:t>rs</w:t>
      </w:r>
      <w:proofErr w:type="spellEnd"/>
      <w:r w:rsidRPr="00E75CF3">
        <w:rPr>
          <w:rFonts w:asciiTheme="minorHAnsi" w:hAnsiTheme="minorHAnsi" w:cs="Arial"/>
          <w:sz w:val="22"/>
          <w:szCs w:val="22"/>
          <w:lang w:val="en-US"/>
        </w:rPr>
        <w:t>-SDR for targeted applications in pharmaceuticals and the</w:t>
      </w:r>
      <w:r w:rsidR="004179F5">
        <w:rPr>
          <w:rFonts w:asciiTheme="minorHAnsi" w:hAnsiTheme="minorHAnsi" w:cs="Arial"/>
          <w:sz w:val="22"/>
          <w:szCs w:val="22"/>
          <w:lang w:val="en-US"/>
        </w:rPr>
        <w:t xml:space="preserve"> fine chemical industries to further illustrate how process intensification can lead to improvements in sustainability.</w:t>
      </w:r>
      <w:r w:rsidRPr="00E75CF3">
        <w:rPr>
          <w:rFonts w:asciiTheme="minorHAnsi" w:hAnsiTheme="minorHAnsi" w:cs="Arial"/>
          <w:sz w:val="22"/>
          <w:szCs w:val="22"/>
          <w:lang w:val="en-US"/>
        </w:rPr>
        <w:t xml:space="preserve">   </w:t>
      </w:r>
    </w:p>
    <w:p w:rsidR="00E75CF3" w:rsidRDefault="00E75CF3" w:rsidP="00E75CF3">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E75CF3" w:rsidRPr="00E75CF3" w:rsidRDefault="00E75CF3" w:rsidP="00843D5D">
      <w:pPr>
        <w:snapToGrid w:val="0"/>
        <w:spacing w:line="300" w:lineRule="auto"/>
        <w:rPr>
          <w:rFonts w:asciiTheme="minorHAnsi" w:hAnsiTheme="minorHAnsi" w:cs="Arial"/>
          <w:sz w:val="20"/>
          <w:lang w:val="en-US"/>
        </w:rPr>
      </w:pPr>
      <w:r w:rsidRPr="00E75CF3">
        <w:rPr>
          <w:rFonts w:asciiTheme="minorHAnsi" w:hAnsiTheme="minorHAnsi" w:cs="Arial"/>
          <w:sz w:val="20"/>
          <w:lang w:val="en-US"/>
        </w:rPr>
        <w:t xml:space="preserve">[1] </w:t>
      </w:r>
      <w:r w:rsidRPr="00E75CF3">
        <w:rPr>
          <w:rFonts w:asciiTheme="minorHAnsi" w:hAnsiTheme="minorHAnsi" w:cs="Arial"/>
          <w:sz w:val="20"/>
        </w:rPr>
        <w:t xml:space="preserve">Vlachos, D.G. and S. </w:t>
      </w:r>
      <w:proofErr w:type="spellStart"/>
      <w:r w:rsidRPr="00E75CF3">
        <w:rPr>
          <w:rFonts w:asciiTheme="minorHAnsi" w:hAnsiTheme="minorHAnsi" w:cs="Arial"/>
          <w:sz w:val="20"/>
        </w:rPr>
        <w:t>Caratzoulas</w:t>
      </w:r>
      <w:proofErr w:type="spellEnd"/>
      <w:r w:rsidRPr="00E75CF3">
        <w:rPr>
          <w:rFonts w:asciiTheme="minorHAnsi" w:hAnsiTheme="minorHAnsi" w:cs="Arial"/>
          <w:sz w:val="20"/>
        </w:rPr>
        <w:t xml:space="preserve">, Chemical Engineering Science </w:t>
      </w:r>
      <w:r w:rsidRPr="00E75CF3">
        <w:rPr>
          <w:rFonts w:asciiTheme="minorHAnsi" w:hAnsiTheme="minorHAnsi" w:cs="Arial"/>
          <w:b/>
          <w:sz w:val="20"/>
        </w:rPr>
        <w:t>2010</w:t>
      </w:r>
      <w:r w:rsidRPr="00E75CF3">
        <w:rPr>
          <w:rFonts w:asciiTheme="minorHAnsi" w:hAnsiTheme="minorHAnsi" w:cs="Arial"/>
          <w:sz w:val="20"/>
        </w:rPr>
        <w:t>, 18-29.</w:t>
      </w:r>
    </w:p>
    <w:p w:rsidR="00E75CF3" w:rsidRPr="00E75CF3" w:rsidRDefault="00E75CF3" w:rsidP="00E75CF3">
      <w:pPr>
        <w:rPr>
          <w:rFonts w:asciiTheme="minorHAnsi" w:hAnsiTheme="minorHAnsi" w:cs="Arial"/>
          <w:sz w:val="20"/>
          <w:lang w:val="nl-NL"/>
        </w:rPr>
      </w:pPr>
      <w:r w:rsidRPr="00E75CF3">
        <w:rPr>
          <w:rFonts w:asciiTheme="minorHAnsi" w:hAnsiTheme="minorHAnsi" w:cs="Arial"/>
          <w:sz w:val="20"/>
          <w:lang w:val="nl-NL"/>
        </w:rPr>
        <w:t xml:space="preserve">[2] Meeuwse, M., J. van der Schaaf, and J.C. Schouten, </w:t>
      </w:r>
      <w:r w:rsidRPr="002A2C29">
        <w:rPr>
          <w:rFonts w:asciiTheme="minorHAnsi" w:hAnsiTheme="minorHAnsi" w:cs="Arial"/>
          <w:sz w:val="20"/>
          <w:lang w:val="nl-NL"/>
        </w:rPr>
        <w:t>AIChE Journal</w:t>
      </w:r>
      <w:r w:rsidRPr="00E75CF3">
        <w:rPr>
          <w:rFonts w:asciiTheme="minorHAnsi" w:hAnsiTheme="minorHAnsi" w:cs="Arial"/>
          <w:sz w:val="20"/>
          <w:lang w:val="nl-NL"/>
        </w:rPr>
        <w:t xml:space="preserve"> </w:t>
      </w:r>
      <w:r w:rsidRPr="00E75CF3">
        <w:rPr>
          <w:rFonts w:asciiTheme="minorHAnsi" w:hAnsiTheme="minorHAnsi" w:cs="Arial"/>
          <w:b/>
          <w:sz w:val="20"/>
          <w:lang w:val="nl-NL"/>
        </w:rPr>
        <w:t>2012</w:t>
      </w:r>
      <w:r w:rsidRPr="00E75CF3">
        <w:rPr>
          <w:rFonts w:asciiTheme="minorHAnsi" w:hAnsiTheme="minorHAnsi" w:cs="Arial"/>
          <w:sz w:val="20"/>
          <w:lang w:val="nl-NL"/>
        </w:rPr>
        <w:t>, p. 247-255.</w:t>
      </w:r>
    </w:p>
    <w:p w:rsidR="00704BDF" w:rsidRPr="00704BDF" w:rsidRDefault="00E75CF3" w:rsidP="00467390">
      <w:pPr>
        <w:rPr>
          <w:rFonts w:asciiTheme="minorHAnsi" w:eastAsia="SimSun" w:hAnsiTheme="minorHAnsi"/>
          <w:sz w:val="22"/>
          <w:szCs w:val="22"/>
          <w:lang w:eastAsia="zh-CN"/>
        </w:rPr>
      </w:pPr>
      <w:r w:rsidRPr="00E75CF3">
        <w:rPr>
          <w:rFonts w:asciiTheme="minorHAnsi" w:hAnsiTheme="minorHAnsi" w:cs="Arial"/>
          <w:sz w:val="20"/>
          <w:lang w:val="en-US"/>
        </w:rPr>
        <w:t xml:space="preserve">[3]Emmanuel, N., Mendoza, </w:t>
      </w:r>
      <w:proofErr w:type="gramStart"/>
      <w:r w:rsidR="002A2C29">
        <w:rPr>
          <w:rFonts w:asciiTheme="minorHAnsi" w:hAnsiTheme="minorHAnsi" w:cs="Arial"/>
          <w:sz w:val="20"/>
          <w:lang w:val="en-US"/>
        </w:rPr>
        <w:t>et</w:t>
      </w:r>
      <w:proofErr w:type="gramEnd"/>
      <w:r w:rsidR="002A2C29">
        <w:rPr>
          <w:rFonts w:asciiTheme="minorHAnsi" w:hAnsiTheme="minorHAnsi" w:cs="Arial"/>
          <w:sz w:val="20"/>
          <w:lang w:val="en-US"/>
        </w:rPr>
        <w:t>. al</w:t>
      </w:r>
      <w:r w:rsidRPr="00E75CF3">
        <w:rPr>
          <w:rFonts w:asciiTheme="minorHAnsi" w:hAnsiTheme="minorHAnsi" w:cs="Arial"/>
          <w:sz w:val="20"/>
          <w:lang w:val="en-US"/>
        </w:rPr>
        <w:t xml:space="preserve">., </w:t>
      </w:r>
      <w:r w:rsidRPr="002A2C29">
        <w:rPr>
          <w:rFonts w:asciiTheme="minorHAnsi" w:hAnsiTheme="minorHAnsi" w:cs="Arial"/>
          <w:sz w:val="20"/>
          <w:lang w:val="en-US"/>
        </w:rPr>
        <w:t>Organic Process Research &amp; Development</w:t>
      </w:r>
      <w:r w:rsidRPr="00E75CF3">
        <w:rPr>
          <w:rFonts w:asciiTheme="minorHAnsi" w:hAnsiTheme="minorHAnsi" w:cs="Arial"/>
          <w:sz w:val="20"/>
          <w:lang w:val="en-US"/>
        </w:rPr>
        <w:t xml:space="preserve">, </w:t>
      </w:r>
      <w:r w:rsidRPr="00E75CF3">
        <w:rPr>
          <w:rFonts w:asciiTheme="minorHAnsi" w:hAnsiTheme="minorHAnsi" w:cs="Arial"/>
          <w:b/>
          <w:sz w:val="20"/>
          <w:lang w:val="en-US"/>
        </w:rPr>
        <w:t>2017</w:t>
      </w:r>
      <w:r w:rsidRPr="00E75CF3">
        <w:rPr>
          <w:rFonts w:asciiTheme="minorHAnsi" w:hAnsiTheme="minorHAnsi" w:cs="Arial"/>
          <w:sz w:val="20"/>
          <w:lang w:val="en-US"/>
        </w:rPr>
        <w:t>,</w:t>
      </w:r>
      <w:r w:rsidR="002A2C29">
        <w:rPr>
          <w:rFonts w:asciiTheme="minorHAnsi" w:hAnsiTheme="minorHAnsi" w:cs="Arial"/>
          <w:sz w:val="20"/>
          <w:lang w:val="en-US"/>
        </w:rPr>
        <w:t xml:space="preserve"> </w:t>
      </w:r>
      <w:r w:rsidRPr="00E75CF3">
        <w:rPr>
          <w:rFonts w:asciiTheme="minorHAnsi" w:hAnsiTheme="minorHAnsi" w:cs="Arial"/>
          <w:sz w:val="20"/>
          <w:lang w:val="en-US"/>
        </w:rPr>
        <w:t>p. 1435-1438.</w:t>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378" w:rsidRDefault="007F5378" w:rsidP="004F5E36">
      <w:r>
        <w:separator/>
      </w:r>
    </w:p>
  </w:endnote>
  <w:endnote w:type="continuationSeparator" w:id="0">
    <w:p w:rsidR="007F5378" w:rsidRDefault="007F537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378" w:rsidRDefault="007F5378" w:rsidP="004F5E36">
      <w:r>
        <w:separator/>
      </w:r>
    </w:p>
  </w:footnote>
  <w:footnote w:type="continuationSeparator" w:id="0">
    <w:p w:rsidR="007F5378" w:rsidRDefault="007F5378"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6EF47D6"/>
    <w:multiLevelType w:val="hybridMultilevel"/>
    <w:tmpl w:val="8150544C"/>
    <w:lvl w:ilvl="0" w:tplc="54301F7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5"/>
  </w:num>
  <w:num w:numId="15">
    <w:abstractNumId w:val="16"/>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946CE"/>
    <w:rsid w:val="001B65C1"/>
    <w:rsid w:val="001C684B"/>
    <w:rsid w:val="001D53FC"/>
    <w:rsid w:val="001F2EC7"/>
    <w:rsid w:val="002065DB"/>
    <w:rsid w:val="002447EF"/>
    <w:rsid w:val="00251550"/>
    <w:rsid w:val="0027221A"/>
    <w:rsid w:val="00275B61"/>
    <w:rsid w:val="002A2C29"/>
    <w:rsid w:val="002D1F12"/>
    <w:rsid w:val="003009B7"/>
    <w:rsid w:val="0030469C"/>
    <w:rsid w:val="003723D4"/>
    <w:rsid w:val="00390FEC"/>
    <w:rsid w:val="003A7D1C"/>
    <w:rsid w:val="004179F5"/>
    <w:rsid w:val="0046164A"/>
    <w:rsid w:val="00462DCD"/>
    <w:rsid w:val="00467390"/>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7687A"/>
    <w:rsid w:val="007D52CD"/>
    <w:rsid w:val="007F5378"/>
    <w:rsid w:val="00813288"/>
    <w:rsid w:val="008168FC"/>
    <w:rsid w:val="00843D5D"/>
    <w:rsid w:val="008479A2"/>
    <w:rsid w:val="0087637F"/>
    <w:rsid w:val="008A1512"/>
    <w:rsid w:val="008D0BEB"/>
    <w:rsid w:val="008E566E"/>
    <w:rsid w:val="00901EB6"/>
    <w:rsid w:val="009450CE"/>
    <w:rsid w:val="0095164B"/>
    <w:rsid w:val="00996483"/>
    <w:rsid w:val="009D373C"/>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75CF3"/>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E75CF3"/>
    <w:pPr>
      <w:tabs>
        <w:tab w:val="clear" w:pos="7100"/>
      </w:tabs>
      <w:spacing w:line="240" w:lineRule="auto"/>
      <w:ind w:left="720"/>
      <w:contextualSpacing/>
      <w:jc w:val="left"/>
    </w:pPr>
    <w:rPr>
      <w:rFonts w:ascii="Times New Roman" w:hAnsi="Times New Roman" w:cs="Angsana New"/>
      <w:sz w:val="24"/>
      <w:szCs w:val="2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STFiler\groupdirs\SPE\General%20Information\PhotoSDR%20(Kuijpers)\Reaction%20under%20SolarSimulator%20in%20pSD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53101257079708"/>
          <c:y val="3.9058996253436659E-2"/>
          <c:w val="0.55034314131786155"/>
          <c:h val="0.69461744417626192"/>
        </c:manualLayout>
      </c:layout>
      <c:scatterChart>
        <c:scatterStyle val="lineMarker"/>
        <c:varyColors val="0"/>
        <c:ser>
          <c:idx val="1"/>
          <c:order val="0"/>
          <c:tx>
            <c:v>QL = 1.11 mL/s, QG = 178 mL/min</c:v>
          </c:tx>
          <c:spPr>
            <a:ln w="25400" cap="rnd">
              <a:noFill/>
              <a:round/>
            </a:ln>
            <a:effectLst/>
          </c:spPr>
          <c:marker>
            <c:symbol val="circle"/>
            <c:size val="6"/>
            <c:spPr>
              <a:solidFill>
                <a:srgbClr val="C00000"/>
              </a:solidFill>
              <a:ln w="9525">
                <a:solidFill>
                  <a:srgbClr val="C00000"/>
                </a:solidFill>
              </a:ln>
              <a:effectLst/>
            </c:spPr>
          </c:marker>
          <c:xVal>
            <c:numRef>
              <c:f>'20181206'!$D$37:$D$40</c:f>
              <c:numCache>
                <c:formatCode>General</c:formatCode>
                <c:ptCount val="4"/>
                <c:pt idx="0">
                  <c:v>1200</c:v>
                </c:pt>
                <c:pt idx="1">
                  <c:v>900</c:v>
                </c:pt>
                <c:pt idx="2">
                  <c:v>500</c:v>
                </c:pt>
                <c:pt idx="3">
                  <c:v>200</c:v>
                </c:pt>
              </c:numCache>
            </c:numRef>
          </c:xVal>
          <c:yVal>
            <c:numRef>
              <c:f>'20181206'!$H$37:$H$40</c:f>
              <c:numCache>
                <c:formatCode>General</c:formatCode>
                <c:ptCount val="4"/>
                <c:pt idx="0">
                  <c:v>50.975872876593776</c:v>
                </c:pt>
                <c:pt idx="1">
                  <c:v>55.14192748385112</c:v>
                </c:pt>
                <c:pt idx="2">
                  <c:v>44.634320255400525</c:v>
                </c:pt>
                <c:pt idx="3">
                  <c:v>20.146362806878997</c:v>
                </c:pt>
              </c:numCache>
            </c:numRef>
          </c:yVal>
          <c:smooth val="0"/>
        </c:ser>
        <c:ser>
          <c:idx val="2"/>
          <c:order val="1"/>
          <c:tx>
            <c:v>QL = 1.305 mL/s, QG = 200 mL/min</c:v>
          </c:tx>
          <c:spPr>
            <a:ln w="25400" cap="rnd">
              <a:noFill/>
              <a:round/>
            </a:ln>
            <a:effectLst/>
          </c:spPr>
          <c:marker>
            <c:symbol val="square"/>
            <c:size val="6"/>
            <c:spPr>
              <a:solidFill>
                <a:srgbClr val="002060"/>
              </a:solidFill>
              <a:ln w="9525">
                <a:solidFill>
                  <a:srgbClr val="002060"/>
                </a:solidFill>
              </a:ln>
              <a:effectLst/>
            </c:spPr>
          </c:marker>
          <c:xVal>
            <c:numRef>
              <c:f>'20181206'!$M$10:$M$14</c:f>
              <c:numCache>
                <c:formatCode>General</c:formatCode>
                <c:ptCount val="5"/>
                <c:pt idx="0">
                  <c:v>200</c:v>
                </c:pt>
                <c:pt idx="1">
                  <c:v>500</c:v>
                </c:pt>
                <c:pt idx="2">
                  <c:v>900</c:v>
                </c:pt>
                <c:pt idx="3">
                  <c:v>1200</c:v>
                </c:pt>
                <c:pt idx="4">
                  <c:v>1500</c:v>
                </c:pt>
              </c:numCache>
            </c:numRef>
          </c:xVal>
          <c:yVal>
            <c:numRef>
              <c:f>'20181206'!$Q$10:$Q$14</c:f>
              <c:numCache>
                <c:formatCode>General</c:formatCode>
                <c:ptCount val="5"/>
                <c:pt idx="0">
                  <c:v>12.434899104077703</c:v>
                </c:pt>
                <c:pt idx="1">
                  <c:v>26.804347217948358</c:v>
                </c:pt>
                <c:pt idx="2">
                  <c:v>31.025904255654158</c:v>
                </c:pt>
                <c:pt idx="3">
                  <c:v>36.278325370437081</c:v>
                </c:pt>
                <c:pt idx="4">
                  <c:v>31.969050287322062</c:v>
                </c:pt>
              </c:numCache>
            </c:numRef>
          </c:yVal>
          <c:smooth val="0"/>
        </c:ser>
        <c:ser>
          <c:idx val="0"/>
          <c:order val="2"/>
          <c:tx>
            <c:v>QL = 1.11 mL/s, QG = 200 mL/min</c:v>
          </c:tx>
          <c:spPr>
            <a:ln w="25400" cap="rnd">
              <a:noFill/>
              <a:round/>
            </a:ln>
            <a:effectLst/>
          </c:spPr>
          <c:marker>
            <c:symbol val="triangle"/>
            <c:size val="6"/>
            <c:spPr>
              <a:solidFill>
                <a:schemeClr val="tx1"/>
              </a:solidFill>
              <a:ln w="9525">
                <a:solidFill>
                  <a:schemeClr val="tx1"/>
                </a:solidFill>
              </a:ln>
              <a:effectLst/>
            </c:spPr>
          </c:marker>
          <c:xVal>
            <c:numRef>
              <c:f>'20181206'!$D$16:$D$19</c:f>
              <c:numCache>
                <c:formatCode>General</c:formatCode>
                <c:ptCount val="4"/>
                <c:pt idx="0">
                  <c:v>1200</c:v>
                </c:pt>
                <c:pt idx="1">
                  <c:v>900</c:v>
                </c:pt>
                <c:pt idx="2">
                  <c:v>500</c:v>
                </c:pt>
                <c:pt idx="3">
                  <c:v>200</c:v>
                </c:pt>
              </c:numCache>
            </c:numRef>
          </c:xVal>
          <c:yVal>
            <c:numRef>
              <c:f>'20181206'!$H$16:$H$19</c:f>
              <c:numCache>
                <c:formatCode>General</c:formatCode>
                <c:ptCount val="4"/>
                <c:pt idx="0">
                  <c:v>17.319062021903893</c:v>
                </c:pt>
                <c:pt idx="1">
                  <c:v>55.66755828276689</c:v>
                </c:pt>
                <c:pt idx="2">
                  <c:v>45.875274316702033</c:v>
                </c:pt>
                <c:pt idx="3">
                  <c:v>39.178559037158799</c:v>
                </c:pt>
              </c:numCache>
            </c:numRef>
          </c:yVal>
          <c:smooth val="0"/>
        </c:ser>
        <c:dLbls>
          <c:showLegendKey val="0"/>
          <c:showVal val="0"/>
          <c:showCatName val="0"/>
          <c:showSerName val="0"/>
          <c:showPercent val="0"/>
          <c:showBubbleSize val="0"/>
        </c:dLbls>
        <c:axId val="688029944"/>
        <c:axId val="699418688"/>
        <c:extLst/>
      </c:scatterChart>
      <c:valAx>
        <c:axId val="688029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chemeClr val="tx1"/>
                    </a:solidFill>
                  </a:rPr>
                  <a:t>Spinning</a:t>
                </a:r>
                <a:r>
                  <a:rPr lang="en-US" sz="1000" b="1" baseline="0">
                    <a:solidFill>
                      <a:schemeClr val="tx1"/>
                    </a:solidFill>
                  </a:rPr>
                  <a:t> speed (RPM)</a:t>
                </a:r>
                <a:endParaRPr lang="en-US" sz="1000" b="1">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699418688"/>
        <c:crosses val="autoZero"/>
        <c:crossBetween val="midCat"/>
      </c:valAx>
      <c:valAx>
        <c:axId val="699418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chemeClr val="tx1"/>
                    </a:solidFill>
                  </a:rPr>
                  <a:t>Conversion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688029944"/>
        <c:crosses val="autoZero"/>
        <c:crossBetween val="midCat"/>
      </c:valAx>
      <c:spPr>
        <a:noFill/>
        <a:ln>
          <a:solidFill>
            <a:schemeClr val="tx1"/>
          </a:solid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Entry>
      <c:legendEntry>
        <c:idx val="2"/>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legendEntry>
      <c:layout>
        <c:manualLayout>
          <c:xMode val="edge"/>
          <c:yMode val="edge"/>
          <c:x val="0.70110291476723319"/>
          <c:y val="0.12235323599625424"/>
          <c:w val="0.25463461804116588"/>
          <c:h val="0.58225576702409687"/>
        </c:manualLayout>
      </c:layout>
      <c:overlay val="0"/>
      <c:spPr>
        <a:noFill/>
        <a:ln>
          <a:solidFill>
            <a:schemeClr val="tx1"/>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089A-BE02-4315-A606-9EEB4564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541</Words>
  <Characters>3231</Characters>
  <Application>Microsoft Office Word</Application>
  <DocSecurity>0</DocSecurity>
  <Lines>56</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Chaudhuri, A.</cp:lastModifiedBy>
  <cp:revision>3</cp:revision>
  <cp:lastPrinted>2019-01-15T13:26:00Z</cp:lastPrinted>
  <dcterms:created xsi:type="dcterms:W3CDTF">2019-01-15T12:17:00Z</dcterms:created>
  <dcterms:modified xsi:type="dcterms:W3CDTF">2019-01-15T13:39:00Z</dcterms:modified>
</cp:coreProperties>
</file>