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BE2262" w:rsidRPr="00DE0019" w:rsidRDefault="00BE2262" w:rsidP="00BE2262">
      <w:pPr>
        <w:snapToGrid w:val="0"/>
        <w:spacing w:after="360"/>
        <w:jc w:val="center"/>
        <w:rPr>
          <w:rFonts w:asciiTheme="minorHAnsi" w:eastAsia="MS PGothic" w:hAnsiTheme="minorHAnsi"/>
          <w:b/>
          <w:bCs/>
          <w:sz w:val="28"/>
          <w:szCs w:val="28"/>
          <w:lang w:val="en-US" w:eastAsia="ko-KR"/>
        </w:rPr>
      </w:pPr>
      <w:bookmarkStart w:id="0" w:name="_GoBack"/>
      <w:bookmarkEnd w:id="0"/>
      <w:r>
        <w:rPr>
          <w:rFonts w:asciiTheme="minorHAnsi" w:eastAsia="MS PGothic" w:hAnsiTheme="minorHAnsi"/>
          <w:b/>
          <w:bCs/>
          <w:sz w:val="28"/>
          <w:szCs w:val="28"/>
          <w:lang w:val="en-US"/>
        </w:rPr>
        <w:t>Impact of bead collisions on hWJ-MSC culture performances</w:t>
      </w:r>
    </w:p>
    <w:p w:rsidR="00BE2262" w:rsidRPr="00FB7389" w:rsidRDefault="00BE2262" w:rsidP="00BE2262">
      <w:pPr>
        <w:snapToGrid w:val="0"/>
        <w:spacing w:after="120"/>
        <w:jc w:val="center"/>
        <w:rPr>
          <w:rFonts w:asciiTheme="minorHAnsi" w:eastAsia="SimSun" w:hAnsiTheme="minorHAnsi" w:cstheme="minorHAnsi"/>
          <w:color w:val="000000"/>
          <w:sz w:val="24"/>
          <w:szCs w:val="24"/>
          <w:lang w:val="en-US" w:eastAsia="zh-CN"/>
        </w:rPr>
      </w:pPr>
      <w:r>
        <w:rPr>
          <w:rFonts w:asciiTheme="minorHAnsi" w:eastAsia="SimSun" w:hAnsiTheme="minorHAnsi"/>
          <w:color w:val="000000"/>
          <w:sz w:val="24"/>
          <w:szCs w:val="24"/>
          <w:u w:val="single"/>
          <w:lang w:val="en-US" w:eastAsia="zh-CN"/>
        </w:rPr>
        <w:t>C.Sion</w:t>
      </w:r>
      <w:r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u w:val="single"/>
          <w:vertAlign w:val="superscript"/>
          <w:lang w:val="en-US" w:eastAsia="zh-CN"/>
        </w:rPr>
        <w:t>,2</w:t>
      </w:r>
      <w:r>
        <w:rPr>
          <w:rFonts w:asciiTheme="minorHAnsi" w:eastAsia="SimSun" w:hAnsiTheme="minorHAnsi"/>
          <w:color w:val="000000"/>
          <w:sz w:val="24"/>
          <w:szCs w:val="24"/>
          <w:lang w:val="en-US" w:eastAsia="zh-CN"/>
        </w:rPr>
        <w:t>, C.Loubière</w:t>
      </w:r>
      <w:r w:rsidRPr="00FB7389">
        <w:rPr>
          <w:rFonts w:asciiTheme="minorHAnsi" w:eastAsia="SimSun" w:hAnsiTheme="minorHAnsi"/>
          <w:color w:val="000000"/>
          <w:sz w:val="24"/>
          <w:szCs w:val="24"/>
          <w:vertAlign w:val="superscript"/>
          <w:lang w:val="en-US" w:eastAsia="zh-CN"/>
        </w:rPr>
        <w:t>1,2</w:t>
      </w:r>
      <w:r>
        <w:rPr>
          <w:rFonts w:asciiTheme="minorHAnsi" w:eastAsia="SimSun" w:hAnsiTheme="minorHAnsi"/>
          <w:color w:val="000000"/>
          <w:sz w:val="24"/>
          <w:szCs w:val="24"/>
          <w:lang w:val="en-US" w:eastAsia="zh-CN"/>
        </w:rPr>
        <w:t xml:space="preserve">, </w:t>
      </w:r>
      <w:r w:rsidRPr="00FB7389">
        <w:rPr>
          <w:rFonts w:asciiTheme="minorHAnsi" w:eastAsia="SimSun" w:hAnsiTheme="minorHAnsi" w:cstheme="minorHAnsi"/>
          <w:color w:val="000000"/>
          <w:sz w:val="24"/>
          <w:szCs w:val="24"/>
          <w:lang w:val="en-US" w:eastAsia="zh-CN"/>
        </w:rPr>
        <w:t>M.</w:t>
      </w:r>
      <w:r w:rsidRPr="00FB7389">
        <w:rPr>
          <w:rFonts w:asciiTheme="minorHAnsi" w:hAnsiTheme="minorHAnsi" w:cstheme="minorHAnsi"/>
          <w:sz w:val="24"/>
          <w:szCs w:val="24"/>
        </w:rPr>
        <w:t xml:space="preserve"> </w:t>
      </w:r>
      <w:r w:rsidRPr="00FB7389">
        <w:rPr>
          <w:rFonts w:asciiTheme="minorHAnsi" w:eastAsia="SimSun" w:hAnsiTheme="minorHAnsi" w:cstheme="minorHAnsi"/>
          <w:color w:val="000000"/>
          <w:sz w:val="24"/>
          <w:szCs w:val="24"/>
          <w:lang w:val="en-US" w:eastAsia="zh-CN"/>
        </w:rPr>
        <w:t>Wlodarczyk-Biegun</w:t>
      </w:r>
      <w:r>
        <w:rPr>
          <w:rFonts w:asciiTheme="minorHAnsi" w:eastAsia="SimSun" w:hAnsiTheme="minorHAnsi" w:cstheme="minorHAnsi"/>
          <w:color w:val="000000"/>
          <w:sz w:val="24"/>
          <w:szCs w:val="24"/>
          <w:vertAlign w:val="superscript"/>
          <w:lang w:val="en-US" w:eastAsia="zh-CN"/>
        </w:rPr>
        <w:t>3</w:t>
      </w:r>
      <w:r w:rsidRPr="00FB7389">
        <w:rPr>
          <w:rFonts w:asciiTheme="minorHAnsi" w:eastAsia="SimSun" w:hAnsiTheme="minorHAnsi" w:cstheme="minorHAnsi"/>
          <w:color w:val="000000"/>
          <w:sz w:val="24"/>
          <w:szCs w:val="24"/>
          <w:lang w:val="en-US" w:eastAsia="zh-CN"/>
        </w:rPr>
        <w:t>, N.Davoudi</w:t>
      </w:r>
      <w:r>
        <w:rPr>
          <w:rFonts w:asciiTheme="minorHAnsi" w:eastAsia="SimSun" w:hAnsiTheme="minorHAnsi" w:cstheme="minorHAnsi"/>
          <w:color w:val="000000"/>
          <w:sz w:val="24"/>
          <w:szCs w:val="24"/>
          <w:vertAlign w:val="superscript"/>
          <w:lang w:val="en-US" w:eastAsia="zh-CN"/>
        </w:rPr>
        <w:t>4</w:t>
      </w:r>
      <w:r w:rsidRPr="00FB7389">
        <w:rPr>
          <w:rFonts w:asciiTheme="minorHAnsi" w:eastAsia="SimSun" w:hAnsiTheme="minorHAnsi" w:cstheme="minorHAnsi"/>
          <w:color w:val="000000"/>
          <w:sz w:val="24"/>
          <w:szCs w:val="24"/>
          <w:lang w:val="en-US" w:eastAsia="zh-CN"/>
        </w:rPr>
        <w:t xml:space="preserve">, </w:t>
      </w:r>
      <w:r>
        <w:rPr>
          <w:rFonts w:asciiTheme="minorHAnsi" w:eastAsia="SimSun" w:hAnsiTheme="minorHAnsi" w:cstheme="minorHAnsi"/>
          <w:color w:val="000000"/>
          <w:sz w:val="24"/>
          <w:szCs w:val="24"/>
          <w:lang w:val="en-US" w:eastAsia="zh-CN"/>
        </w:rPr>
        <w:t>C.Müller</w:t>
      </w:r>
      <w:r w:rsidRPr="008602E8">
        <w:rPr>
          <w:rFonts w:asciiTheme="minorHAnsi" w:eastAsia="SimSun" w:hAnsiTheme="minorHAnsi" w:cstheme="minorHAnsi"/>
          <w:color w:val="000000"/>
          <w:sz w:val="24"/>
          <w:szCs w:val="24"/>
          <w:vertAlign w:val="superscript"/>
          <w:lang w:val="en-US" w:eastAsia="zh-CN"/>
        </w:rPr>
        <w:t>4</w:t>
      </w:r>
      <w:r>
        <w:rPr>
          <w:rFonts w:asciiTheme="minorHAnsi" w:eastAsia="SimSun" w:hAnsiTheme="minorHAnsi" w:cstheme="minorHAnsi"/>
          <w:color w:val="000000"/>
          <w:sz w:val="24"/>
          <w:szCs w:val="24"/>
          <w:lang w:val="en-US" w:eastAsia="zh-CN"/>
        </w:rPr>
        <w:t xml:space="preserve">, </w:t>
      </w:r>
      <w:r w:rsidRPr="00FB7389">
        <w:rPr>
          <w:rFonts w:asciiTheme="minorHAnsi" w:eastAsia="SimSun" w:hAnsiTheme="minorHAnsi" w:cstheme="minorHAnsi"/>
          <w:color w:val="000000"/>
          <w:sz w:val="24"/>
          <w:szCs w:val="24"/>
          <w:lang w:val="en-US" w:eastAsia="zh-CN"/>
        </w:rPr>
        <w:t>I.Chevalot</w:t>
      </w:r>
      <w:r w:rsidRPr="00FB7389">
        <w:rPr>
          <w:rFonts w:asciiTheme="minorHAnsi" w:eastAsia="SimSun" w:hAnsiTheme="minorHAnsi" w:cstheme="minorHAnsi"/>
          <w:color w:val="000000"/>
          <w:sz w:val="24"/>
          <w:szCs w:val="24"/>
          <w:vertAlign w:val="superscript"/>
          <w:lang w:val="en-US" w:eastAsia="zh-CN"/>
        </w:rPr>
        <w:t>1</w:t>
      </w:r>
      <w:r>
        <w:rPr>
          <w:rFonts w:asciiTheme="minorHAnsi" w:eastAsia="SimSun" w:hAnsiTheme="minorHAnsi" w:cstheme="minorHAnsi"/>
          <w:color w:val="000000"/>
          <w:sz w:val="24"/>
          <w:szCs w:val="24"/>
          <w:vertAlign w:val="superscript"/>
          <w:lang w:val="en-US" w:eastAsia="zh-CN"/>
        </w:rPr>
        <w:t>,2</w:t>
      </w:r>
      <w:r w:rsidRPr="00FB7389">
        <w:rPr>
          <w:rFonts w:asciiTheme="minorHAnsi" w:eastAsia="SimSun" w:hAnsiTheme="minorHAnsi" w:cstheme="minorHAnsi"/>
          <w:color w:val="000000"/>
          <w:sz w:val="24"/>
          <w:szCs w:val="24"/>
          <w:lang w:val="en-US" w:eastAsia="zh-CN"/>
        </w:rPr>
        <w:t>, E. Guedon</w:t>
      </w:r>
      <w:r w:rsidRPr="00FB7389">
        <w:rPr>
          <w:rFonts w:asciiTheme="minorHAnsi" w:eastAsia="SimSun" w:hAnsiTheme="minorHAnsi" w:cstheme="minorHAnsi"/>
          <w:color w:val="000000"/>
          <w:sz w:val="24"/>
          <w:szCs w:val="24"/>
          <w:vertAlign w:val="superscript"/>
          <w:lang w:val="en-US" w:eastAsia="zh-CN"/>
        </w:rPr>
        <w:t>1</w:t>
      </w:r>
      <w:r>
        <w:rPr>
          <w:rFonts w:asciiTheme="minorHAnsi" w:eastAsia="SimSun" w:hAnsiTheme="minorHAnsi" w:cstheme="minorHAnsi"/>
          <w:color w:val="000000"/>
          <w:sz w:val="24"/>
          <w:szCs w:val="24"/>
          <w:vertAlign w:val="superscript"/>
          <w:lang w:val="en-US" w:eastAsia="zh-CN"/>
        </w:rPr>
        <w:t>,2</w:t>
      </w:r>
      <w:r w:rsidRPr="00FB7389">
        <w:rPr>
          <w:rFonts w:asciiTheme="minorHAnsi" w:eastAsia="SimSun" w:hAnsiTheme="minorHAnsi" w:cstheme="minorHAnsi"/>
          <w:color w:val="000000"/>
          <w:sz w:val="24"/>
          <w:szCs w:val="24"/>
          <w:lang w:val="en-US" w:eastAsia="zh-CN"/>
        </w:rPr>
        <w:t>, E.Olmos</w:t>
      </w:r>
      <w:r w:rsidRPr="00FB7389">
        <w:rPr>
          <w:rFonts w:asciiTheme="minorHAnsi" w:eastAsia="SimSun" w:hAnsiTheme="minorHAnsi" w:cstheme="minorHAnsi"/>
          <w:color w:val="000000"/>
          <w:sz w:val="24"/>
          <w:szCs w:val="24"/>
          <w:vertAlign w:val="superscript"/>
          <w:lang w:val="en-US" w:eastAsia="zh-CN"/>
        </w:rPr>
        <w:t>1</w:t>
      </w:r>
      <w:r>
        <w:rPr>
          <w:rFonts w:asciiTheme="minorHAnsi" w:eastAsia="SimSun" w:hAnsiTheme="minorHAnsi" w:cstheme="minorHAnsi"/>
          <w:color w:val="000000"/>
          <w:sz w:val="24"/>
          <w:szCs w:val="24"/>
          <w:vertAlign w:val="superscript"/>
          <w:lang w:val="en-US" w:eastAsia="zh-CN"/>
        </w:rPr>
        <w:t>,2</w:t>
      </w:r>
      <w:r w:rsidRPr="00FB7389">
        <w:rPr>
          <w:rFonts w:asciiTheme="minorHAnsi" w:eastAsia="SimSun" w:hAnsiTheme="minorHAnsi" w:cstheme="minorHAnsi"/>
          <w:color w:val="000000"/>
          <w:sz w:val="24"/>
          <w:szCs w:val="24"/>
          <w:lang w:val="en-US" w:eastAsia="zh-CN"/>
        </w:rPr>
        <w:t xml:space="preserve"> </w:t>
      </w:r>
    </w:p>
    <w:p w:rsidR="00BE2262" w:rsidRPr="00DF52DD" w:rsidRDefault="00BE2262" w:rsidP="00BE2262">
      <w:pPr>
        <w:pStyle w:val="CHISA"/>
        <w:spacing w:after="120" w:line="276" w:lineRule="auto"/>
        <w:contextualSpacing/>
        <w:rPr>
          <w:i/>
          <w:iCs/>
          <w:color w:val="000000"/>
          <w:sz w:val="20"/>
          <w:vertAlign w:val="superscript"/>
          <w:lang w:val="fr-FR"/>
        </w:rPr>
      </w:pPr>
      <w:r w:rsidRPr="00DF52DD">
        <w:rPr>
          <w:rFonts w:asciiTheme="minorHAnsi" w:eastAsia="MS PGothic" w:hAnsiTheme="minorHAnsi" w:cstheme="minorHAnsi"/>
          <w:i/>
          <w:iCs/>
          <w:color w:val="000000"/>
          <w:sz w:val="20"/>
          <w:lang w:val="fr-FR"/>
        </w:rPr>
        <w:t>1</w:t>
      </w:r>
      <w:r w:rsidRPr="00DF52DD">
        <w:rPr>
          <w:rFonts w:asciiTheme="minorHAnsi" w:eastAsia="MS PGothic" w:hAnsiTheme="minorHAnsi"/>
          <w:i/>
          <w:iCs/>
          <w:color w:val="000000"/>
          <w:sz w:val="20"/>
          <w:lang w:val="fr-FR"/>
        </w:rPr>
        <w:t xml:space="preserve"> </w:t>
      </w:r>
      <w:r w:rsidRPr="00DF52DD">
        <w:rPr>
          <w:rFonts w:asciiTheme="minorHAnsi" w:hAnsiTheme="minorHAnsi" w:cstheme="minorHAnsi"/>
          <w:i/>
          <w:sz w:val="20"/>
          <w:lang w:val="fr-FR"/>
        </w:rPr>
        <w:t>CNRS, Laboratoire Réactions et Génie des Procédés, UMR 7274, 2 avenue de la forêt de Haye, TSA 40602, Vandœuvre-lès-Nancy, 54518, France</w:t>
      </w:r>
      <w:r w:rsidRPr="00DF52DD">
        <w:rPr>
          <w:i/>
          <w:iCs/>
          <w:color w:val="000000"/>
          <w:sz w:val="20"/>
          <w:vertAlign w:val="superscript"/>
          <w:lang w:val="fr-FR"/>
        </w:rPr>
        <w:t> </w:t>
      </w:r>
      <w:r w:rsidRPr="00DF52DD">
        <w:rPr>
          <w:rFonts w:asciiTheme="minorHAnsi" w:eastAsia="MS PGothic" w:hAnsiTheme="minorHAnsi"/>
          <w:i/>
          <w:iCs/>
          <w:color w:val="000000"/>
          <w:sz w:val="20"/>
          <w:lang w:val="fr-FR"/>
        </w:rPr>
        <w:t xml:space="preserve">; 2 </w:t>
      </w:r>
      <w:r w:rsidRPr="00DF52DD">
        <w:rPr>
          <w:rFonts w:asciiTheme="minorHAnsi" w:hAnsiTheme="minorHAnsi" w:cstheme="minorHAnsi"/>
          <w:i/>
          <w:sz w:val="20"/>
          <w:lang w:val="fr-FR"/>
        </w:rPr>
        <w:t>Université de Lorraine, LRGP, 2 avenue de la forêt de Haye, TSA 40602, Vandœuvre-lès-Nancy, 54518, France</w:t>
      </w:r>
      <w:r w:rsidRPr="00DF52DD">
        <w:rPr>
          <w:rFonts w:asciiTheme="minorHAnsi" w:hAnsiTheme="minorHAnsi" w:cstheme="minorHAnsi"/>
          <w:i/>
          <w:iCs/>
          <w:color w:val="000000"/>
          <w:sz w:val="20"/>
          <w:lang w:val="fr-FR"/>
        </w:rPr>
        <w:t> ;</w:t>
      </w:r>
      <w:r w:rsidRPr="00DF52DD">
        <w:rPr>
          <w:i/>
          <w:iCs/>
          <w:color w:val="000000"/>
          <w:sz w:val="20"/>
          <w:lang w:val="fr-FR"/>
        </w:rPr>
        <w:t xml:space="preserve"> </w:t>
      </w:r>
      <w:r w:rsidRPr="00DF52DD">
        <w:rPr>
          <w:rFonts w:asciiTheme="minorHAnsi" w:hAnsiTheme="minorHAnsi" w:cstheme="minorHAnsi"/>
          <w:i/>
          <w:iCs/>
          <w:color w:val="000000"/>
          <w:sz w:val="20"/>
          <w:lang w:val="fr-FR"/>
        </w:rPr>
        <w:t>3 INM - Leibniz-Institut für Neue Materialien gGmbH,Campus D2 2, 66123 Saarbrücken ; 4 FB Physik und Forschungszentrum OPTIMAS,AG Grenzflächen, Nanomaterialien und Biophysik, Kaiserslautern</w:t>
      </w:r>
    </w:p>
    <w:p w:rsidR="00BE2262" w:rsidRPr="00644FA6" w:rsidRDefault="00BE2262" w:rsidP="00BE2262">
      <w:pPr>
        <w:snapToGrid w:val="0"/>
        <w:jc w:val="center"/>
        <w:rPr>
          <w:rFonts w:asciiTheme="minorHAnsi" w:eastAsia="MS PGothic" w:hAnsiTheme="minorHAnsi"/>
          <w:bCs/>
          <w:i/>
          <w:iCs/>
          <w:sz w:val="20"/>
        </w:rPr>
      </w:pPr>
      <w:r w:rsidRPr="00644FA6">
        <w:rPr>
          <w:rFonts w:asciiTheme="minorHAnsi" w:eastAsia="MS PGothic" w:hAnsiTheme="minorHAnsi"/>
          <w:bCs/>
          <w:i/>
          <w:iCs/>
          <w:color w:val="000000"/>
          <w:sz w:val="20"/>
        </w:rPr>
        <w:t>*Corresponding author</w:t>
      </w:r>
      <w:r w:rsidRPr="00644FA6">
        <w:rPr>
          <w:rFonts w:asciiTheme="minorHAnsi" w:eastAsia="MS PGothic" w:hAnsiTheme="minorHAnsi"/>
          <w:bCs/>
          <w:i/>
          <w:iCs/>
          <w:sz w:val="20"/>
          <w:lang w:eastAsia="ko-KR"/>
        </w:rPr>
        <w:t>:</w:t>
      </w:r>
      <w:r w:rsidRPr="00644FA6">
        <w:rPr>
          <w:rFonts w:asciiTheme="minorHAnsi" w:eastAsia="MS PGothic" w:hAnsiTheme="minorHAnsi"/>
          <w:bCs/>
          <w:i/>
          <w:iCs/>
          <w:sz w:val="20"/>
        </w:rPr>
        <w:t xml:space="preserve"> eric.olmos@univ-lorraine.fr</w:t>
      </w:r>
    </w:p>
    <w:p w:rsidR="00BE2262" w:rsidRPr="00EC66CC" w:rsidRDefault="00BE2262" w:rsidP="00BE2262">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BE2262" w:rsidRPr="0027282E" w:rsidRDefault="00BE2262" w:rsidP="00BE2262">
      <w:pPr>
        <w:pStyle w:val="Paragrafoelenco"/>
        <w:numPr>
          <w:ilvl w:val="0"/>
          <w:numId w:val="16"/>
        </w:numPr>
        <w:rPr>
          <w:rFonts w:asciiTheme="minorHAnsi" w:hAnsiTheme="minorHAnsi"/>
          <w:sz w:val="22"/>
          <w:lang w:val="en-US"/>
        </w:rPr>
      </w:pPr>
      <w:r w:rsidRPr="0027282E">
        <w:rPr>
          <w:rFonts w:asciiTheme="minorHAnsi" w:hAnsiTheme="minorHAnsi"/>
          <w:sz w:val="20"/>
          <w:lang w:val="en-US"/>
        </w:rPr>
        <w:t>Agitation mode and microcarrier distribution within the bioreactor have an important impact on MSC culture.</w:t>
      </w:r>
    </w:p>
    <w:p w:rsidR="00BE2262" w:rsidRPr="00A15B93" w:rsidRDefault="00BE2262" w:rsidP="00BE2262">
      <w:pPr>
        <w:pStyle w:val="Paragrafoelenco"/>
        <w:numPr>
          <w:ilvl w:val="0"/>
          <w:numId w:val="16"/>
        </w:numPr>
        <w:rPr>
          <w:rFonts w:eastAsia="SimSun"/>
          <w:bCs/>
          <w:i/>
          <w:iCs/>
          <w:color w:val="0000FF"/>
          <w:sz w:val="20"/>
          <w:lang w:val="en-US" w:eastAsia="zh-CN"/>
        </w:rPr>
      </w:pPr>
      <w:r w:rsidRPr="007D09A6">
        <w:rPr>
          <w:rFonts w:asciiTheme="minorHAnsi" w:hAnsiTheme="minorHAnsi"/>
          <w:sz w:val="20"/>
          <w:lang w:val="en-US"/>
        </w:rPr>
        <w:t xml:space="preserve">Collisions between microcarriers are detrimental to MSC viability </w:t>
      </w:r>
    </w:p>
    <w:p w:rsidR="00BE2262" w:rsidRPr="008D0BEB" w:rsidRDefault="00BE2262" w:rsidP="00BE2262">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BE2262" w:rsidRPr="0005723C" w:rsidRDefault="00BE2262" w:rsidP="00BE2262">
      <w:pPr>
        <w:snapToGrid w:val="0"/>
        <w:spacing w:after="120"/>
        <w:rPr>
          <w:rFonts w:asciiTheme="minorHAnsi" w:eastAsia="MS PGothic" w:hAnsiTheme="minorHAnsi" w:cstheme="minorHAnsi"/>
          <w:sz w:val="22"/>
          <w:szCs w:val="22"/>
          <w:lang w:val="en-US"/>
        </w:rPr>
      </w:pPr>
      <w:r w:rsidRPr="0005723C">
        <w:rPr>
          <w:rFonts w:asciiTheme="minorHAnsi" w:hAnsiTheme="minorHAnsi" w:cstheme="minorHAnsi"/>
          <w:sz w:val="22"/>
          <w:szCs w:val="22"/>
        </w:rPr>
        <w:t xml:space="preserve">Mesenchymal stem cells extracted from the Wharton’s jelly of human umbilical cords (hWJ-MSC) </w:t>
      </w:r>
      <w:r>
        <w:rPr>
          <w:rFonts w:asciiTheme="minorHAnsi" w:hAnsiTheme="minorHAnsi" w:cstheme="minorHAnsi"/>
          <w:sz w:val="22"/>
          <w:szCs w:val="22"/>
        </w:rPr>
        <w:t>are of</w:t>
      </w:r>
      <w:r w:rsidRPr="0005723C">
        <w:rPr>
          <w:rFonts w:asciiTheme="minorHAnsi" w:hAnsiTheme="minorHAnsi" w:cstheme="minorHAnsi"/>
          <w:sz w:val="22"/>
          <w:szCs w:val="22"/>
        </w:rPr>
        <w:t xml:space="preserve"> increasing interest for cell therapies due to their reduced immunogenicity, high expansion capabilities, fast growth kinetics and various growth factors synthesis capabilities. </w:t>
      </w:r>
      <w:r>
        <w:rPr>
          <w:rFonts w:asciiTheme="minorHAnsi" w:hAnsiTheme="minorHAnsi" w:cstheme="minorHAnsi"/>
          <w:sz w:val="22"/>
          <w:szCs w:val="22"/>
        </w:rPr>
        <w:t xml:space="preserve">To address the problem of cell confluence on microcarriers during their culture in stirred bioreactors, </w:t>
      </w:r>
      <w:r w:rsidRPr="0005723C">
        <w:rPr>
          <w:rFonts w:asciiTheme="minorHAnsi" w:hAnsiTheme="minorHAnsi" w:cstheme="minorHAnsi"/>
          <w:sz w:val="22"/>
          <w:szCs w:val="22"/>
        </w:rPr>
        <w:t xml:space="preserve">it was previously shown that </w:t>
      </w:r>
      <w:r>
        <w:rPr>
          <w:rFonts w:asciiTheme="minorHAnsi" w:hAnsiTheme="minorHAnsi" w:cstheme="minorHAnsi"/>
          <w:sz w:val="22"/>
          <w:szCs w:val="22"/>
        </w:rPr>
        <w:t xml:space="preserve">the addition of fresh microcarriers could maintain the cell growth and could allow reaching higher cell densities than without microcarriers feeding </w:t>
      </w:r>
      <w:r w:rsidRPr="0005723C">
        <w:rPr>
          <w:rFonts w:asciiTheme="minorHAnsi" w:hAnsiTheme="minorHAnsi" w:cstheme="minorHAnsi"/>
          <w:sz w:val="22"/>
          <w:szCs w:val="22"/>
        </w:rPr>
        <w:t xml:space="preserve">[1]. </w:t>
      </w:r>
      <w:r w:rsidRPr="00E810CA">
        <w:rPr>
          <w:rFonts w:asciiTheme="minorHAnsi" w:hAnsiTheme="minorHAnsi" w:cstheme="minorHAnsi"/>
          <w:sz w:val="22"/>
          <w:szCs w:val="22"/>
        </w:rPr>
        <w:t>However, the resulting increase</w:t>
      </w:r>
      <w:r>
        <w:rPr>
          <w:rFonts w:asciiTheme="minorHAnsi" w:hAnsiTheme="minorHAnsi" w:cstheme="minorHAnsi"/>
          <w:sz w:val="22"/>
          <w:szCs w:val="22"/>
        </w:rPr>
        <w:t xml:space="preserve"> in the</w:t>
      </w:r>
      <w:r w:rsidRPr="00E810CA">
        <w:rPr>
          <w:rFonts w:asciiTheme="minorHAnsi" w:hAnsiTheme="minorHAnsi" w:cstheme="minorHAnsi"/>
          <w:sz w:val="22"/>
          <w:szCs w:val="22"/>
        </w:rPr>
        <w:t xml:space="preserve"> bead shocks frequency </w:t>
      </w:r>
      <w:r>
        <w:rPr>
          <w:rFonts w:asciiTheme="minorHAnsi" w:hAnsiTheme="minorHAnsi" w:cstheme="minorHAnsi"/>
          <w:sz w:val="22"/>
          <w:szCs w:val="22"/>
        </w:rPr>
        <w:t>c</w:t>
      </w:r>
      <w:r w:rsidRPr="00E810CA">
        <w:rPr>
          <w:rFonts w:asciiTheme="minorHAnsi" w:hAnsiTheme="minorHAnsi" w:cstheme="minorHAnsi"/>
          <w:sz w:val="22"/>
          <w:szCs w:val="22"/>
        </w:rPr>
        <w:t>ould also negatively impact cell quantity and quality. Until now, no quantitative stud</w:t>
      </w:r>
      <w:r>
        <w:rPr>
          <w:rFonts w:asciiTheme="minorHAnsi" w:hAnsiTheme="minorHAnsi" w:cstheme="minorHAnsi"/>
          <w:sz w:val="22"/>
          <w:szCs w:val="22"/>
        </w:rPr>
        <w:t xml:space="preserve">y describing the impact of </w:t>
      </w:r>
      <w:r w:rsidRPr="00E810CA">
        <w:rPr>
          <w:rFonts w:asciiTheme="minorHAnsi" w:hAnsiTheme="minorHAnsi" w:cstheme="minorHAnsi"/>
          <w:sz w:val="22"/>
          <w:szCs w:val="22"/>
        </w:rPr>
        <w:t xml:space="preserve">bead interactions on MSC death was reported in the literature. </w:t>
      </w:r>
      <w:r>
        <w:rPr>
          <w:rFonts w:asciiTheme="minorHAnsi" w:hAnsiTheme="minorHAnsi" w:cstheme="minorHAnsi"/>
          <w:sz w:val="22"/>
          <w:szCs w:val="22"/>
        </w:rPr>
        <w:t xml:space="preserve">It is crucial </w:t>
      </w:r>
      <w:r w:rsidRPr="00E810CA">
        <w:rPr>
          <w:rFonts w:asciiTheme="minorHAnsi" w:hAnsiTheme="minorHAnsi" w:cstheme="minorHAnsi"/>
          <w:sz w:val="22"/>
          <w:szCs w:val="22"/>
        </w:rPr>
        <w:t>to determine the respective influence of microcarrier feed strategy and microcarrier mixing characteristics on cell viability and to propose robust culture conditions</w:t>
      </w:r>
      <w:r>
        <w:rPr>
          <w:rFonts w:asciiTheme="minorHAnsi" w:hAnsiTheme="minorHAnsi" w:cstheme="minorHAnsi"/>
          <w:sz w:val="22"/>
          <w:szCs w:val="22"/>
        </w:rPr>
        <w:t xml:space="preserve"> of mixing and microcarrier concentrations</w:t>
      </w:r>
      <w:r w:rsidRPr="00E810CA">
        <w:rPr>
          <w:rFonts w:asciiTheme="minorHAnsi" w:hAnsiTheme="minorHAnsi" w:cstheme="minorHAnsi"/>
          <w:sz w:val="22"/>
          <w:szCs w:val="22"/>
        </w:rPr>
        <w:t>.</w:t>
      </w:r>
      <w:r>
        <w:rPr>
          <w:rFonts w:asciiTheme="minorHAnsi" w:hAnsiTheme="minorHAnsi" w:cstheme="minorHAnsi"/>
          <w:sz w:val="22"/>
          <w:szCs w:val="22"/>
        </w:rPr>
        <w:t xml:space="preserve"> The objective of this study was to demonstrate the importance of the agitation mode on the expansion and the ability of cells to migrate to new fresh carriers. It appears that agitation has an important impact on the cell death and more precisely on the cell lysis in microcarrier cell cultures due to the lack of protective cell wall, high cell size and the lack of individual cell mobility [3]. </w:t>
      </w:r>
    </w:p>
    <w:p w:rsidR="00BE2262" w:rsidRPr="008D0BEB" w:rsidRDefault="00BE2262" w:rsidP="00BE2262">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BE2262" w:rsidRDefault="00BE2262" w:rsidP="00BE2262">
      <w:pPr>
        <w:snapToGrid w:val="0"/>
        <w:spacing w:after="120"/>
        <w:rPr>
          <w:rFonts w:asciiTheme="minorHAnsi" w:eastAsia="MS PGothic" w:hAnsiTheme="minorHAnsi"/>
          <w:color w:val="000000"/>
          <w:sz w:val="22"/>
          <w:szCs w:val="22"/>
          <w:lang w:val="en-US"/>
        </w:rPr>
      </w:pPr>
      <w:r w:rsidRPr="004D5F63">
        <w:rPr>
          <w:rFonts w:asciiTheme="minorHAnsi" w:eastAsia="MS PGothic" w:hAnsiTheme="minorHAnsi" w:cstheme="minorHAnsi"/>
          <w:color w:val="000000"/>
          <w:sz w:val="22"/>
          <w:szCs w:val="22"/>
          <w:lang w:val="en-US"/>
        </w:rPr>
        <w:t>hWJ-MSC were cultivated on Cytodex-1 microcarrier in HPL-supplemented medium, with an initial</w:t>
      </w:r>
      <w:r>
        <w:rPr>
          <w:rFonts w:asciiTheme="minorHAnsi" w:eastAsia="MS PGothic" w:hAnsiTheme="minorHAnsi" w:cstheme="minorHAnsi"/>
          <w:color w:val="000000"/>
          <w:sz w:val="22"/>
          <w:szCs w:val="22"/>
          <w:lang w:val="en-US"/>
        </w:rPr>
        <w:t xml:space="preserve"> </w:t>
      </w:r>
      <w:r w:rsidRPr="004D5F63">
        <w:rPr>
          <w:rFonts w:asciiTheme="minorHAnsi" w:eastAsia="MS PGothic" w:hAnsiTheme="minorHAnsi" w:cstheme="minorHAnsi"/>
          <w:color w:val="000000"/>
          <w:sz w:val="22"/>
          <w:szCs w:val="22"/>
          <w:lang w:val="en-US"/>
        </w:rPr>
        <w:t>concentration of 7000 cells/cm</w:t>
      </w:r>
      <w:r w:rsidRPr="004D5F63">
        <w:rPr>
          <w:rFonts w:asciiTheme="minorHAnsi" w:eastAsia="MS PGothic" w:hAnsiTheme="minorHAnsi" w:cstheme="minorHAnsi"/>
          <w:color w:val="000000"/>
          <w:sz w:val="22"/>
          <w:szCs w:val="22"/>
          <w:vertAlign w:val="superscript"/>
          <w:lang w:val="en-US"/>
        </w:rPr>
        <w:t>2</w:t>
      </w:r>
      <w:r>
        <w:rPr>
          <w:rFonts w:asciiTheme="minorHAnsi" w:eastAsia="MS PGothic" w:hAnsiTheme="minorHAnsi"/>
          <w:color w:val="000000"/>
          <w:sz w:val="22"/>
          <w:szCs w:val="22"/>
          <w:lang w:val="en-US"/>
        </w:rPr>
        <w:t>. Previous studies (Loubière et al. 2018) showed that the best choice of microcarrier for hWJ-MSC adherence and expansion, in dynamic conditions, was Cytodex-1 [2]. Two types of culture systems were evaluated, shaken flaks (orbital agitation) and spinner vessels (mechanical agitation), agitated below or above particle just-suspended agitation rate (</w:t>
      </w:r>
      <w:r w:rsidRPr="001E67D1">
        <w:rPr>
          <w:rFonts w:asciiTheme="minorHAnsi" w:eastAsia="MS PGothic" w:hAnsiTheme="minorHAnsi"/>
          <w:i/>
          <w:color w:val="000000"/>
          <w:sz w:val="22"/>
          <w:szCs w:val="22"/>
          <w:lang w:val="en-US"/>
        </w:rPr>
        <w:t>N</w:t>
      </w:r>
      <w:r w:rsidRPr="001E67D1">
        <w:rPr>
          <w:rFonts w:asciiTheme="minorHAnsi" w:eastAsia="MS PGothic" w:hAnsiTheme="minorHAnsi"/>
          <w:i/>
          <w:color w:val="000000"/>
          <w:sz w:val="22"/>
          <w:szCs w:val="22"/>
          <w:vertAlign w:val="subscript"/>
          <w:lang w:val="en-US"/>
        </w:rPr>
        <w:t>js</w:t>
      </w:r>
      <w:r>
        <w:rPr>
          <w:rFonts w:asciiTheme="minorHAnsi" w:eastAsia="MS PGothic" w:hAnsiTheme="minorHAnsi"/>
          <w:color w:val="000000"/>
          <w:sz w:val="22"/>
          <w:szCs w:val="22"/>
          <w:lang w:val="en-US"/>
        </w:rPr>
        <w:t xml:space="preserve">). </w:t>
      </w:r>
      <w:r w:rsidRPr="007B20F7">
        <w:rPr>
          <w:rFonts w:asciiTheme="minorHAnsi" w:eastAsia="MS PGothic" w:hAnsiTheme="minorHAnsi"/>
          <w:color w:val="000000"/>
          <w:sz w:val="22"/>
          <w:szCs w:val="22"/>
          <w:lang w:val="en-US"/>
        </w:rPr>
        <w:t>Glucose, glutamine, ammonium, lactate and lactate dehydrog</w:t>
      </w:r>
      <w:r>
        <w:rPr>
          <w:rFonts w:asciiTheme="minorHAnsi" w:eastAsia="MS PGothic" w:hAnsiTheme="minorHAnsi"/>
          <w:color w:val="000000"/>
          <w:sz w:val="22"/>
          <w:szCs w:val="22"/>
          <w:lang w:val="en-US"/>
        </w:rPr>
        <w:t xml:space="preserve">enase concentrations were monitored every day. Moreover, cells were counted from the post-processing of DAPI-stained cells </w:t>
      </w:r>
      <w:r>
        <w:rPr>
          <w:rFonts w:asciiTheme="minorHAnsi" w:eastAsia="MS PGothic" w:hAnsiTheme="minorHAnsi"/>
          <w:color w:val="000000"/>
          <w:sz w:val="22"/>
          <w:szCs w:val="22"/>
          <w:lang w:val="en-US"/>
        </w:rPr>
        <w:lastRenderedPageBreak/>
        <w:t>pictures [2]. Using this method, a strategy of microcarrier feeding at an appropriate time during the culture was established</w:t>
      </w:r>
      <w:r>
        <w:rPr>
          <w:rFonts w:asciiTheme="minorHAnsi" w:eastAsia="MS PGothic" w:hAnsiTheme="minorHAnsi"/>
          <w:color w:val="000000"/>
          <w:sz w:val="22"/>
          <w:szCs w:val="22"/>
        </w:rPr>
        <w:t xml:space="preserve"> to maintain a constant target value of cells per microcarrier [4]</w:t>
      </w:r>
      <w:r>
        <w:rPr>
          <w:rFonts w:asciiTheme="minorHAnsi" w:eastAsia="MS PGothic" w:hAnsiTheme="minorHAnsi"/>
          <w:color w:val="000000"/>
          <w:sz w:val="22"/>
          <w:szCs w:val="22"/>
          <w:lang w:val="en-US"/>
        </w:rPr>
        <w:t xml:space="preserve">. </w:t>
      </w:r>
    </w:p>
    <w:p w:rsidR="00BE2262" w:rsidRDefault="00BE2262" w:rsidP="00BE2262">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BE2262" w:rsidRDefault="00BE2262" w:rsidP="00BE2262">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First, it was shown that hWJ-MSC bead-to-bead transfer appeared to be a potential way to avoid or delay cell and microcarrier aggregation, allowing an increase of the maximal total cell number in comparison with a culture with only medium feed addition. This assessment was applied to all culture systems: shaken flasks or spinner vessels. In the meantime, better performance of bead-to-bead transfer could be obtained by controlling </w:t>
      </w:r>
      <w:r w:rsidRPr="0080622B">
        <w:rPr>
          <w:rFonts w:asciiTheme="minorHAnsi" w:eastAsia="MS PGothic" w:hAnsiTheme="minorHAnsi"/>
          <w:color w:val="000000"/>
          <w:sz w:val="22"/>
          <w:szCs w:val="22"/>
          <w:lang w:val="en-US"/>
        </w:rPr>
        <w:t>N</w:t>
      </w:r>
      <w:r w:rsidRPr="00D67D8E">
        <w:rPr>
          <w:rFonts w:asciiTheme="minorHAnsi" w:eastAsia="MS PGothic" w:hAnsiTheme="minorHAnsi"/>
          <w:i/>
          <w:color w:val="000000"/>
          <w:sz w:val="22"/>
          <w:szCs w:val="22"/>
          <w:vertAlign w:val="subscript"/>
          <w:lang w:val="en-US"/>
        </w:rPr>
        <w:t>js</w:t>
      </w:r>
      <w:r>
        <w:rPr>
          <w:rFonts w:asciiTheme="minorHAnsi" w:eastAsia="MS PGothic" w:hAnsiTheme="minorHAnsi"/>
          <w:color w:val="000000"/>
          <w:sz w:val="22"/>
          <w:szCs w:val="22"/>
          <w:lang w:val="en-US"/>
        </w:rPr>
        <w:t xml:space="preserve"> and the mode of agitation. The</w:t>
      </w:r>
      <w:r w:rsidRPr="001E2A69">
        <w:rPr>
          <w:rFonts w:asciiTheme="minorHAnsi" w:eastAsia="MS PGothic" w:hAnsiTheme="minorHAnsi"/>
          <w:color w:val="000000"/>
          <w:sz w:val="22"/>
          <w:szCs w:val="22"/>
          <w:lang w:val="en-US"/>
        </w:rPr>
        <w:t xml:space="preserve"> results also showed that the addition of fresh microcarriers could have a significant negative impact on cell viability, as revealed by the dead  cell staining and the strong increase </w:t>
      </w:r>
      <w:r>
        <w:rPr>
          <w:rFonts w:asciiTheme="minorHAnsi" w:eastAsia="MS PGothic" w:hAnsiTheme="minorHAnsi"/>
          <w:color w:val="000000"/>
          <w:sz w:val="22"/>
          <w:szCs w:val="22"/>
          <w:lang w:val="en-US"/>
        </w:rPr>
        <w:t>in</w:t>
      </w:r>
      <w:r w:rsidRPr="001E2A69">
        <w:rPr>
          <w:rFonts w:asciiTheme="minorHAnsi" w:eastAsia="MS PGothic" w:hAnsiTheme="minorHAnsi"/>
          <w:color w:val="000000"/>
          <w:sz w:val="22"/>
          <w:szCs w:val="22"/>
          <w:lang w:val="en-US"/>
        </w:rPr>
        <w:t xml:space="preserve"> LDH concentration in the liquid phase (Figure 1). However, as indicated by LDH concentration measurements, this was particularly the case in orbitally shaken flasks and below N</w:t>
      </w:r>
      <w:r w:rsidRPr="005976F6">
        <w:rPr>
          <w:rFonts w:asciiTheme="minorHAnsi" w:eastAsia="MS PGothic" w:hAnsiTheme="minorHAnsi"/>
          <w:i/>
          <w:color w:val="000000"/>
          <w:sz w:val="22"/>
          <w:szCs w:val="22"/>
          <w:vertAlign w:val="subscript"/>
          <w:lang w:val="en-US"/>
        </w:rPr>
        <w:t>js</w:t>
      </w:r>
      <w:r w:rsidRPr="001E2A69">
        <w:rPr>
          <w:rFonts w:asciiTheme="minorHAnsi" w:eastAsia="MS PGothic" w:hAnsiTheme="minorHAnsi"/>
          <w:color w:val="000000"/>
          <w:sz w:val="22"/>
          <w:szCs w:val="22"/>
          <w:lang w:val="en-US"/>
        </w:rPr>
        <w:t xml:space="preserve">. For these conditions, </w:t>
      </w:r>
      <w:r>
        <w:rPr>
          <w:rFonts w:asciiTheme="minorHAnsi" w:eastAsia="MS PGothic" w:hAnsiTheme="minorHAnsi"/>
          <w:color w:val="000000"/>
          <w:sz w:val="22"/>
          <w:szCs w:val="22"/>
          <w:lang w:val="en-US"/>
        </w:rPr>
        <w:t>a concentration</w:t>
      </w:r>
      <w:r w:rsidRPr="001E2A69">
        <w:rPr>
          <w:rFonts w:asciiTheme="minorHAnsi" w:eastAsia="MS PGothic" w:hAnsiTheme="minorHAnsi"/>
          <w:color w:val="000000"/>
          <w:sz w:val="22"/>
          <w:szCs w:val="22"/>
          <w:lang w:val="en-US"/>
        </w:rPr>
        <w:t xml:space="preserve"> of microcarriers was observed in the lower part of the bioreactor, promoting more frequent collisions</w:t>
      </w:r>
      <w:r>
        <w:rPr>
          <w:rFonts w:asciiTheme="minorHAnsi" w:eastAsia="MS PGothic" w:hAnsiTheme="minorHAnsi"/>
          <w:color w:val="000000"/>
          <w:sz w:val="22"/>
          <w:szCs w:val="22"/>
          <w:lang w:val="en-US"/>
        </w:rPr>
        <w:t>.</w:t>
      </w:r>
      <w:r>
        <w:rPr>
          <w:rFonts w:asciiTheme="minorHAnsi" w:eastAsia="MS PGothic" w:hAnsiTheme="minorHAnsi"/>
          <w:noProof/>
          <w:color w:val="000000"/>
          <w:sz w:val="22"/>
          <w:szCs w:val="22"/>
          <w:lang w:val="it-IT" w:eastAsia="it-IT"/>
        </w:rPr>
        <w:drawing>
          <wp:inline distT="0" distB="0" distL="0" distR="0" wp14:anchorId="58D27937" wp14:editId="1D811417">
            <wp:extent cx="5562600" cy="1511300"/>
            <wp:effectExtent l="0" t="0" r="0" b="0"/>
            <wp:docPr id="4" name="Image 4" descr="C:\Users\sion2\Documents\09. Réunions - Présentations - Rapports\02. Abstract- Congrès\ECAB Septembre 2019\Résultats - Lyse cellualair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on2\Documents\09. Réunions - Présentations - Rapports\02. Abstract- Congrès\ECAB Septembre 2019\Résultats - Lyse cellualaire_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0" cy="1511300"/>
                    </a:xfrm>
                    <a:prstGeom prst="rect">
                      <a:avLst/>
                    </a:prstGeom>
                    <a:noFill/>
                    <a:ln>
                      <a:noFill/>
                    </a:ln>
                  </pic:spPr>
                </pic:pic>
              </a:graphicData>
            </a:graphic>
          </wp:inline>
        </w:drawing>
      </w:r>
    </w:p>
    <w:p w:rsidR="00BE2262" w:rsidRPr="00683414" w:rsidRDefault="00BE2262" w:rsidP="00BE2262">
      <w:pPr>
        <w:snapToGrid w:val="0"/>
        <w:spacing w:after="120"/>
        <w:jc w:val="center"/>
        <w:rPr>
          <w:rFonts w:asciiTheme="minorHAnsi" w:hAnsiTheme="minorHAnsi"/>
          <w:lang w:val="en-US"/>
        </w:rPr>
      </w:pPr>
      <w:r w:rsidRPr="00683414">
        <w:rPr>
          <w:rFonts w:asciiTheme="minorHAnsi" w:eastAsia="MS PGothic" w:hAnsiTheme="minorHAnsi"/>
          <w:b/>
          <w:color w:val="000000"/>
          <w:szCs w:val="18"/>
          <w:lang w:val="en-US"/>
        </w:rPr>
        <w:t>Figure 1.</w:t>
      </w:r>
      <w:r>
        <w:rPr>
          <w:rFonts w:asciiTheme="minorHAnsi" w:eastAsia="MS PGothic" w:hAnsiTheme="minorHAnsi"/>
          <w:color w:val="000000"/>
          <w:szCs w:val="18"/>
          <w:lang w:val="en-US"/>
        </w:rPr>
        <w:t xml:space="preserve"> Impact of the cell culture system on viability and cell lysis.</w:t>
      </w:r>
    </w:p>
    <w:p w:rsidR="00BE2262" w:rsidRPr="001E2A69" w:rsidRDefault="00BE2262" w:rsidP="00BE2262">
      <w:pPr>
        <w:pStyle w:val="Testocommento"/>
        <w:rPr>
          <w:rFonts w:asciiTheme="minorHAnsi" w:eastAsia="MS PGothic" w:hAnsiTheme="minorHAnsi"/>
          <w:color w:val="000000"/>
          <w:sz w:val="22"/>
          <w:szCs w:val="22"/>
          <w:lang w:val="en-US"/>
        </w:rPr>
      </w:pPr>
      <w:r w:rsidRPr="001E2A69">
        <w:rPr>
          <w:rFonts w:asciiTheme="minorHAnsi" w:eastAsia="MS PGothic" w:hAnsiTheme="minorHAnsi"/>
          <w:color w:val="000000"/>
          <w:sz w:val="22"/>
          <w:szCs w:val="22"/>
          <w:lang w:val="en-US"/>
        </w:rPr>
        <w:t xml:space="preserve">Consequently, </w:t>
      </w:r>
      <w:r>
        <w:rPr>
          <w:rFonts w:asciiTheme="minorHAnsi" w:eastAsia="MS PGothic" w:hAnsiTheme="minorHAnsi"/>
          <w:color w:val="000000"/>
          <w:sz w:val="22"/>
          <w:szCs w:val="22"/>
          <w:lang w:val="en-US"/>
        </w:rPr>
        <w:t>these</w:t>
      </w:r>
      <w:r w:rsidRPr="001E2A69">
        <w:rPr>
          <w:rFonts w:asciiTheme="minorHAnsi" w:eastAsia="MS PGothic" w:hAnsiTheme="minorHAnsi"/>
          <w:color w:val="000000"/>
          <w:sz w:val="22"/>
          <w:szCs w:val="22"/>
          <w:lang w:val="en-US"/>
        </w:rPr>
        <w:t xml:space="preserve"> results suggest that the collisional energy dissipation was more detrimental to cell viability than the hydromechanical stress arising from mechanical agitation.</w:t>
      </w:r>
      <w:r w:rsidRPr="00675B41">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Hence, a compromise must be found between a limited concentration in microcarriers and the ability of cells to migrate towards other microcarriers, promoted by contact between them.</w:t>
      </w:r>
    </w:p>
    <w:p w:rsidR="00BE2262" w:rsidRPr="008D0BEB" w:rsidRDefault="00BE2262" w:rsidP="00BE2262">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BE2262" w:rsidRPr="00E24078" w:rsidRDefault="00BE2262" w:rsidP="00BE2262">
      <w:pPr>
        <w:pStyle w:val="Testocommen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Pr="00E24078">
        <w:rPr>
          <w:rFonts w:asciiTheme="minorHAnsi" w:eastAsia="MS PGothic" w:hAnsiTheme="minorHAnsi"/>
          <w:color w:val="000000"/>
          <w:sz w:val="22"/>
          <w:szCs w:val="22"/>
          <w:lang w:val="en-US"/>
        </w:rPr>
        <w:t>o conclude, t</w:t>
      </w:r>
      <w:r>
        <w:rPr>
          <w:rFonts w:asciiTheme="minorHAnsi" w:eastAsia="MS PGothic" w:hAnsiTheme="minorHAnsi"/>
          <w:color w:val="000000"/>
          <w:sz w:val="22"/>
          <w:szCs w:val="22"/>
          <w:lang w:val="en-US"/>
        </w:rPr>
        <w:t xml:space="preserve">his study underlined the importance of the just-suspended state determination and particle distribution in the bioreactor on the hWJ-MSC performances, notably during the bead-to-bead transfer phenomena. </w:t>
      </w:r>
    </w:p>
    <w:p w:rsidR="00BE2262" w:rsidRPr="008D0BEB" w:rsidRDefault="00BE2262" w:rsidP="00BE2262">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BE2262" w:rsidRPr="004F1F1F" w:rsidRDefault="00BE2262" w:rsidP="00BE2262">
      <w:pPr>
        <w:pStyle w:val="FirstParagraph"/>
        <w:numPr>
          <w:ilvl w:val="0"/>
          <w:numId w:val="17"/>
        </w:numPr>
        <w:tabs>
          <w:tab w:val="left" w:pos="426"/>
        </w:tabs>
        <w:spacing w:line="240" w:lineRule="auto"/>
        <w:ind w:left="426" w:hanging="426"/>
        <w:rPr>
          <w:rFonts w:asciiTheme="minorHAnsi" w:hAnsiTheme="minorHAnsi"/>
          <w:color w:val="000000"/>
        </w:rPr>
      </w:pPr>
      <w:r w:rsidRPr="004F1F1F">
        <w:rPr>
          <w:rFonts w:asciiTheme="minorHAnsi" w:hAnsiTheme="minorHAnsi"/>
          <w:color w:val="000000"/>
        </w:rPr>
        <w:t>Ferrari, C., et al., (2012). Limiting cell aggregation during mesenchymal stem cell expansion on microcarriers. Biotechnology progress, 28(3), 780-787</w:t>
      </w:r>
    </w:p>
    <w:p w:rsidR="00BE2262" w:rsidRDefault="00BE2262" w:rsidP="00BE2262">
      <w:pPr>
        <w:pStyle w:val="FirstParagraph"/>
        <w:numPr>
          <w:ilvl w:val="0"/>
          <w:numId w:val="17"/>
        </w:numPr>
        <w:tabs>
          <w:tab w:val="left" w:pos="426"/>
        </w:tabs>
        <w:spacing w:line="240" w:lineRule="auto"/>
        <w:ind w:left="426" w:hanging="426"/>
        <w:rPr>
          <w:rFonts w:asciiTheme="minorHAnsi" w:hAnsiTheme="minorHAnsi"/>
          <w:color w:val="000000"/>
        </w:rPr>
      </w:pPr>
      <w:r w:rsidRPr="00362FD6">
        <w:rPr>
          <w:rFonts w:asciiTheme="minorHAnsi" w:hAnsiTheme="minorHAnsi"/>
          <w:color w:val="000000"/>
        </w:rPr>
        <w:t>Loubière,</w:t>
      </w:r>
      <w:r>
        <w:rPr>
          <w:rFonts w:asciiTheme="minorHAnsi" w:hAnsiTheme="minorHAnsi"/>
          <w:color w:val="000000"/>
        </w:rPr>
        <w:t xml:space="preserve"> </w:t>
      </w:r>
      <w:r w:rsidRPr="00362FD6">
        <w:rPr>
          <w:rFonts w:asciiTheme="minorHAnsi" w:hAnsiTheme="minorHAnsi"/>
          <w:color w:val="000000"/>
        </w:rPr>
        <w:t xml:space="preserve">C., et al., (2018). Impact of the type of microcarrier and agitation modes on the expansion performances of mesenchymal stem cells derived from umbilical cord. </w:t>
      </w:r>
      <w:r>
        <w:rPr>
          <w:rFonts w:asciiTheme="minorHAnsi" w:hAnsiTheme="minorHAnsi"/>
          <w:color w:val="000000"/>
        </w:rPr>
        <w:t xml:space="preserve">Submitted to </w:t>
      </w:r>
      <w:r w:rsidRPr="00362FD6">
        <w:rPr>
          <w:rFonts w:asciiTheme="minorHAnsi" w:hAnsiTheme="minorHAnsi"/>
          <w:color w:val="000000"/>
        </w:rPr>
        <w:t>Biochemical Engineering Journal</w:t>
      </w:r>
      <w:r>
        <w:rPr>
          <w:rFonts w:asciiTheme="minorHAnsi" w:hAnsiTheme="minorHAnsi"/>
          <w:color w:val="000000"/>
        </w:rPr>
        <w:t>.</w:t>
      </w:r>
      <w:r w:rsidRPr="00362FD6">
        <w:rPr>
          <w:rFonts w:asciiTheme="minorHAnsi" w:hAnsiTheme="minorHAnsi"/>
          <w:color w:val="000000"/>
        </w:rPr>
        <w:t xml:space="preserve"> </w:t>
      </w:r>
    </w:p>
    <w:p w:rsidR="00BE2262" w:rsidRPr="006C3889" w:rsidRDefault="00BE2262" w:rsidP="00BE2262">
      <w:pPr>
        <w:pStyle w:val="FirstParagraph"/>
        <w:numPr>
          <w:ilvl w:val="0"/>
          <w:numId w:val="17"/>
        </w:numPr>
        <w:tabs>
          <w:tab w:val="left" w:pos="426"/>
        </w:tabs>
        <w:spacing w:line="240" w:lineRule="auto"/>
        <w:ind w:left="426" w:hanging="426"/>
        <w:rPr>
          <w:rFonts w:asciiTheme="minorHAnsi" w:hAnsiTheme="minorHAnsi" w:cstheme="minorHAnsi"/>
        </w:rPr>
      </w:pPr>
      <w:r w:rsidRPr="006C3889">
        <w:rPr>
          <w:rFonts w:asciiTheme="minorHAnsi" w:hAnsiTheme="minorHAnsi" w:cstheme="minorHAnsi"/>
        </w:rPr>
        <w:t>M. S. Croughan, J.-F. Hamel, D. I. Wang, Hydrodynamic effects on animal cells grown in microcarrier cultures, Biotechnology and bioengineering 67 (2000) 841–852.</w:t>
      </w:r>
    </w:p>
    <w:p w:rsidR="00BE2262" w:rsidRPr="006C3889" w:rsidRDefault="00BE2262" w:rsidP="00BE2262">
      <w:pPr>
        <w:pStyle w:val="FirstParagraph"/>
        <w:numPr>
          <w:ilvl w:val="0"/>
          <w:numId w:val="17"/>
        </w:numPr>
        <w:tabs>
          <w:tab w:val="left" w:pos="426"/>
        </w:tabs>
        <w:spacing w:line="240" w:lineRule="auto"/>
        <w:ind w:left="426" w:hanging="426"/>
        <w:rPr>
          <w:rFonts w:asciiTheme="minorHAnsi" w:hAnsiTheme="minorHAnsi" w:cstheme="minorHAnsi"/>
        </w:rPr>
      </w:pPr>
      <w:r w:rsidRPr="006C3889">
        <w:rPr>
          <w:rFonts w:asciiTheme="minorHAnsi" w:hAnsiTheme="minorHAnsi" w:cstheme="minorHAnsi"/>
        </w:rPr>
        <w:t>Sion C., Loubière C., Grandfils C, Sevrin C., Vandeberg R., Guedon E., Chevalot I., Olmos E.</w:t>
      </w:r>
      <w:r w:rsidRPr="006C3889">
        <w:rPr>
          <w:rFonts w:asciiTheme="minorHAnsi" w:hAnsiTheme="minorHAnsi" w:cstheme="minorHAnsi"/>
        </w:rPr>
        <w:br/>
        <w:t>Control of microcarrier feed time by quantitative determination of bead-to-bead transfer</w:t>
      </w:r>
      <w:r w:rsidRPr="006C3889">
        <w:rPr>
          <w:rFonts w:asciiTheme="minorHAnsi" w:hAnsiTheme="minorHAnsi" w:cstheme="minorHAnsi"/>
        </w:rPr>
        <w:br/>
        <w:t>during hMSC cultures. Conference at the European Society of Biochemical Engineering Science</w:t>
      </w:r>
      <w:r w:rsidRPr="006C3889">
        <w:rPr>
          <w:rFonts w:asciiTheme="minorHAnsi" w:hAnsiTheme="minorHAnsi" w:cstheme="minorHAnsi"/>
        </w:rPr>
        <w:br/>
        <w:t>(ESBES), Lisbon, in September 2018</w:t>
      </w:r>
    </w:p>
    <w:sectPr w:rsidR="00BE2262" w:rsidRPr="006C3889" w:rsidSect="00BE2262">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221" w:rsidRDefault="007C0221" w:rsidP="004F5E36">
      <w:r>
        <w:separator/>
      </w:r>
    </w:p>
  </w:endnote>
  <w:endnote w:type="continuationSeparator" w:id="0">
    <w:p w:rsidR="007C0221" w:rsidRDefault="007C022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221" w:rsidRDefault="007C0221" w:rsidP="004F5E36">
      <w:r>
        <w:separator/>
      </w:r>
    </w:p>
  </w:footnote>
  <w:footnote w:type="continuationSeparator" w:id="0">
    <w:p w:rsidR="007C0221" w:rsidRDefault="007C022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59F0B6DC"/>
    <w:lvl w:ilvl="0" w:tplc="91F26F5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68A9"/>
    <w:rsid w:val="000117CB"/>
    <w:rsid w:val="0003148D"/>
    <w:rsid w:val="0005723C"/>
    <w:rsid w:val="00062A9A"/>
    <w:rsid w:val="000A03B2"/>
    <w:rsid w:val="000A42AE"/>
    <w:rsid w:val="000C31EB"/>
    <w:rsid w:val="000D34BE"/>
    <w:rsid w:val="000E36F1"/>
    <w:rsid w:val="000E3A73"/>
    <w:rsid w:val="000E414A"/>
    <w:rsid w:val="000F4755"/>
    <w:rsid w:val="00107B39"/>
    <w:rsid w:val="0013121F"/>
    <w:rsid w:val="00134DE4"/>
    <w:rsid w:val="00150E59"/>
    <w:rsid w:val="00163F84"/>
    <w:rsid w:val="00184AD6"/>
    <w:rsid w:val="0019199F"/>
    <w:rsid w:val="001B65C1"/>
    <w:rsid w:val="001C5D3F"/>
    <w:rsid w:val="001C684B"/>
    <w:rsid w:val="001D53FC"/>
    <w:rsid w:val="001F2EC7"/>
    <w:rsid w:val="002065DB"/>
    <w:rsid w:val="002162DF"/>
    <w:rsid w:val="002447EF"/>
    <w:rsid w:val="00251550"/>
    <w:rsid w:val="00271D2B"/>
    <w:rsid w:val="0027221A"/>
    <w:rsid w:val="00275B61"/>
    <w:rsid w:val="002D1F12"/>
    <w:rsid w:val="002E1CE8"/>
    <w:rsid w:val="002F4ED1"/>
    <w:rsid w:val="003009B7"/>
    <w:rsid w:val="0030469C"/>
    <w:rsid w:val="00362FD6"/>
    <w:rsid w:val="003723D4"/>
    <w:rsid w:val="003A7D1C"/>
    <w:rsid w:val="003E0477"/>
    <w:rsid w:val="0044356D"/>
    <w:rsid w:val="0046164A"/>
    <w:rsid w:val="00462DCD"/>
    <w:rsid w:val="004655CD"/>
    <w:rsid w:val="0046726F"/>
    <w:rsid w:val="004D1162"/>
    <w:rsid w:val="004E4DD6"/>
    <w:rsid w:val="004F1435"/>
    <w:rsid w:val="004F1F1F"/>
    <w:rsid w:val="004F563B"/>
    <w:rsid w:val="004F5E36"/>
    <w:rsid w:val="005119A5"/>
    <w:rsid w:val="005273B7"/>
    <w:rsid w:val="005278B7"/>
    <w:rsid w:val="005346C8"/>
    <w:rsid w:val="00594E9F"/>
    <w:rsid w:val="005B61E6"/>
    <w:rsid w:val="005C77E1"/>
    <w:rsid w:val="005D69D2"/>
    <w:rsid w:val="005D6A2F"/>
    <w:rsid w:val="005E1A82"/>
    <w:rsid w:val="005E626E"/>
    <w:rsid w:val="005F0A28"/>
    <w:rsid w:val="005F0E5E"/>
    <w:rsid w:val="00620DEE"/>
    <w:rsid w:val="00625639"/>
    <w:rsid w:val="006366F8"/>
    <w:rsid w:val="0064184D"/>
    <w:rsid w:val="00644FA6"/>
    <w:rsid w:val="00660E3E"/>
    <w:rsid w:val="00662E74"/>
    <w:rsid w:val="006B1143"/>
    <w:rsid w:val="006C5579"/>
    <w:rsid w:val="006C7DA7"/>
    <w:rsid w:val="006D768E"/>
    <w:rsid w:val="006E55AC"/>
    <w:rsid w:val="00703BC1"/>
    <w:rsid w:val="00704BDF"/>
    <w:rsid w:val="00736B13"/>
    <w:rsid w:val="00736E78"/>
    <w:rsid w:val="007447F3"/>
    <w:rsid w:val="007661C8"/>
    <w:rsid w:val="007B20F7"/>
    <w:rsid w:val="007C0221"/>
    <w:rsid w:val="007D52CD"/>
    <w:rsid w:val="007E49CE"/>
    <w:rsid w:val="00813288"/>
    <w:rsid w:val="008168FC"/>
    <w:rsid w:val="008479A2"/>
    <w:rsid w:val="008602E8"/>
    <w:rsid w:val="00861D0A"/>
    <w:rsid w:val="0087637F"/>
    <w:rsid w:val="0088074B"/>
    <w:rsid w:val="0089125E"/>
    <w:rsid w:val="008A1512"/>
    <w:rsid w:val="008C4D84"/>
    <w:rsid w:val="008D0BEB"/>
    <w:rsid w:val="008D6AC6"/>
    <w:rsid w:val="008D72FF"/>
    <w:rsid w:val="008E566E"/>
    <w:rsid w:val="00901EB6"/>
    <w:rsid w:val="0093439E"/>
    <w:rsid w:val="009450CE"/>
    <w:rsid w:val="0095164B"/>
    <w:rsid w:val="00996483"/>
    <w:rsid w:val="009E788A"/>
    <w:rsid w:val="00A1763D"/>
    <w:rsid w:val="00A17CEC"/>
    <w:rsid w:val="00A27EF0"/>
    <w:rsid w:val="00A32793"/>
    <w:rsid w:val="00A36E73"/>
    <w:rsid w:val="00A76EFC"/>
    <w:rsid w:val="00A855E6"/>
    <w:rsid w:val="00A97F29"/>
    <w:rsid w:val="00AB0964"/>
    <w:rsid w:val="00AE377D"/>
    <w:rsid w:val="00B61DBF"/>
    <w:rsid w:val="00BC30C9"/>
    <w:rsid w:val="00BE2262"/>
    <w:rsid w:val="00BE3E58"/>
    <w:rsid w:val="00C01616"/>
    <w:rsid w:val="00C0162B"/>
    <w:rsid w:val="00C04383"/>
    <w:rsid w:val="00C319A7"/>
    <w:rsid w:val="00C345B1"/>
    <w:rsid w:val="00C40142"/>
    <w:rsid w:val="00C57182"/>
    <w:rsid w:val="00C6559A"/>
    <w:rsid w:val="00C655FD"/>
    <w:rsid w:val="00C7725E"/>
    <w:rsid w:val="00C94434"/>
    <w:rsid w:val="00C96DDD"/>
    <w:rsid w:val="00CA1C95"/>
    <w:rsid w:val="00CA5A9C"/>
    <w:rsid w:val="00CA7D82"/>
    <w:rsid w:val="00CB7F82"/>
    <w:rsid w:val="00CD5FE2"/>
    <w:rsid w:val="00CD7006"/>
    <w:rsid w:val="00D02B4C"/>
    <w:rsid w:val="00D250E3"/>
    <w:rsid w:val="00D6126A"/>
    <w:rsid w:val="00D84576"/>
    <w:rsid w:val="00DE0019"/>
    <w:rsid w:val="00DE264A"/>
    <w:rsid w:val="00E00614"/>
    <w:rsid w:val="00E041E7"/>
    <w:rsid w:val="00E23CA1"/>
    <w:rsid w:val="00E409A8"/>
    <w:rsid w:val="00E47211"/>
    <w:rsid w:val="00E659E5"/>
    <w:rsid w:val="00E7209D"/>
    <w:rsid w:val="00E810CA"/>
    <w:rsid w:val="00EA50E1"/>
    <w:rsid w:val="00EC34D3"/>
    <w:rsid w:val="00EE0131"/>
    <w:rsid w:val="00F17C24"/>
    <w:rsid w:val="00F30C64"/>
    <w:rsid w:val="00F4487B"/>
    <w:rsid w:val="00F9740E"/>
    <w:rsid w:val="00FA1E79"/>
    <w:rsid w:val="00FB730C"/>
    <w:rsid w:val="00FB7389"/>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CHISA">
    <w:name w:val="CHISA"/>
    <w:rsid w:val="00FB7389"/>
    <w:pPr>
      <w:suppressAutoHyphens/>
      <w:spacing w:after="0" w:line="240" w:lineRule="auto"/>
    </w:pPr>
    <w:rPr>
      <w:rFonts w:ascii="Arial" w:eastAsia="Times New Roman" w:hAnsi="Arial" w:cs="Arial"/>
      <w:color w:val="00000A"/>
      <w:kern w:val="1"/>
      <w:szCs w:val="20"/>
      <w:lang w:val="en-GB" w:eastAsia="ar-SA"/>
    </w:rPr>
  </w:style>
  <w:style w:type="paragraph" w:styleId="Paragrafoelenco">
    <w:name w:val="List Paragraph"/>
    <w:basedOn w:val="Normale"/>
    <w:uiPriority w:val="34"/>
    <w:qFormat/>
    <w:locked/>
    <w:rsid w:val="00BE2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5FF9E-9978-4316-BFD9-C429B0A6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4835</Characters>
  <Application>Microsoft Office Word</Application>
  <DocSecurity>0</DocSecurity>
  <Lines>40</Lines>
  <Paragraphs>11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Dipartimento CMIC - Politecnico di Milano</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2019-07-03T08:37:00Z</dcterms:created>
  <dcterms:modified xsi:type="dcterms:W3CDTF">2019-07-03T08:37:00Z</dcterms:modified>
</cp:coreProperties>
</file>