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AF1BD" w14:textId="77777777" w:rsidR="000A03B2" w:rsidRPr="00437AC0" w:rsidRDefault="000A03B2" w:rsidP="00704BDF">
      <w:pPr>
        <w:pStyle w:val="CETAuthors"/>
        <w:tabs>
          <w:tab w:val="clear" w:pos="7100"/>
          <w:tab w:val="right" w:pos="9070"/>
        </w:tabs>
        <w:rPr>
          <w:lang w:val="fr-FR"/>
        </w:rPr>
        <w:sectPr w:rsidR="000A03B2" w:rsidRPr="00437AC0" w:rsidSect="006009B0">
          <w:headerReference w:type="default" r:id="rId8"/>
          <w:headerReference w:type="first" r:id="rId9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14:paraId="2708AA24" w14:textId="4BF24BFD" w:rsidR="00381276" w:rsidRPr="00DE0019" w:rsidRDefault="0072290B" w:rsidP="0038127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bookmarkStart w:id="0" w:name="_GoBack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Precipitation and c</w:t>
      </w:r>
      <w:r w:rsidR="0038127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haracterization of </w:t>
      </w:r>
      <w:r w:rsidR="00CC143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vanadium </w:t>
      </w:r>
      <w:proofErr w:type="gramStart"/>
      <w:r w:rsidR="00381276">
        <w:rPr>
          <w:rFonts w:asciiTheme="minorHAnsi" w:eastAsia="MS PGothic" w:hAnsiTheme="minorHAnsi"/>
          <w:b/>
          <w:bCs/>
          <w:sz w:val="28"/>
          <w:szCs w:val="28"/>
          <w:lang w:val="en-US"/>
        </w:rPr>
        <w:t>V(</w:t>
      </w:r>
      <w:proofErr w:type="gramEnd"/>
      <w:r w:rsidR="0038127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II), V(III) and V(V) </w:t>
      </w:r>
      <w:r w:rsidR="00CC143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sulfate </w:t>
      </w:r>
      <w:r w:rsidR="00797A0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compounds </w:t>
      </w:r>
      <w:r w:rsidR="0038127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 </w:t>
      </w:r>
      <w:r w:rsidR="00797A0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Vanadium </w:t>
      </w:r>
      <w:r w:rsidR="0038127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Redox Flow </w:t>
      </w:r>
      <w:r w:rsidR="00381276" w:rsidRPr="0038127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Battery </w:t>
      </w:r>
      <w:r w:rsidR="00797A06">
        <w:rPr>
          <w:rFonts w:asciiTheme="minorHAnsi" w:eastAsia="MS PGothic" w:hAnsiTheme="minorHAnsi"/>
          <w:b/>
          <w:bCs/>
          <w:sz w:val="28"/>
          <w:szCs w:val="28"/>
          <w:lang w:val="en-US"/>
        </w:rPr>
        <w:t>e</w:t>
      </w:r>
      <w:r w:rsidR="00797A06" w:rsidRPr="00381276">
        <w:rPr>
          <w:rFonts w:asciiTheme="minorHAnsi" w:eastAsia="MS PGothic" w:hAnsiTheme="minorHAnsi"/>
          <w:b/>
          <w:bCs/>
          <w:sz w:val="28"/>
          <w:szCs w:val="28"/>
          <w:lang w:val="en-US"/>
        </w:rPr>
        <w:t>lectrolyte</w:t>
      </w:r>
    </w:p>
    <w:bookmarkEnd w:id="0"/>
    <w:p w14:paraId="1273EFB0" w14:textId="7DC66A4E" w:rsidR="00DE0019" w:rsidRPr="00BC4302" w:rsidRDefault="00585441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</w:pPr>
      <w:proofErr w:type="spellStart"/>
      <w:r w:rsidRPr="00BC4302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fr-FR" w:eastAsia="zh-CN"/>
        </w:rPr>
        <w:t>Waldemir</w:t>
      </w:r>
      <w:proofErr w:type="spellEnd"/>
      <w:r w:rsidRPr="00BC4302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fr-FR" w:eastAsia="zh-CN"/>
        </w:rPr>
        <w:t xml:space="preserve"> M. Carvalho Jr.</w:t>
      </w:r>
      <w:r w:rsidR="0072290B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fr-FR" w:eastAsia="zh-CN"/>
        </w:rPr>
        <w:t>*</w:t>
      </w:r>
      <w:r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 xml:space="preserve">, Laurent </w:t>
      </w:r>
      <w:proofErr w:type="spellStart"/>
      <w:r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Cassayre</w:t>
      </w:r>
      <w:proofErr w:type="spellEnd"/>
      <w:r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 xml:space="preserve">, </w:t>
      </w:r>
      <w:r w:rsidR="007415F5"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 xml:space="preserve">Theodore </w:t>
      </w:r>
      <w:proofErr w:type="spellStart"/>
      <w:r w:rsidR="007415F5"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Tzedakis</w:t>
      </w:r>
      <w:proofErr w:type="spellEnd"/>
      <w:r w:rsidR="007415F5"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 xml:space="preserve">, Fabien Chauvet, </w:t>
      </w:r>
      <w:proofErr w:type="spellStart"/>
      <w:r w:rsidR="007415F5"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Ranine</w:t>
      </w:r>
      <w:proofErr w:type="spellEnd"/>
      <w:r w:rsidR="007415F5"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 xml:space="preserve"> El</w:t>
      </w:r>
      <w:r w:rsidR="0072290B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-</w:t>
      </w:r>
      <w:proofErr w:type="spellStart"/>
      <w:r w:rsidR="0072290B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H</w:t>
      </w:r>
      <w:r w:rsidR="007415F5"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age</w:t>
      </w:r>
      <w:proofErr w:type="spellEnd"/>
      <w:r w:rsidR="007415F5"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 xml:space="preserve">, </w:t>
      </w:r>
      <w:r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B</w:t>
      </w:r>
      <w:r w:rsidR="0072290B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é</w:t>
      </w:r>
      <w:r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 xml:space="preserve">atrice </w:t>
      </w:r>
      <w:proofErr w:type="spellStart"/>
      <w:r w:rsidRPr="00BC4302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Biscans</w:t>
      </w:r>
      <w:proofErr w:type="spellEnd"/>
      <w:r w:rsidR="00D7756E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.</w:t>
      </w:r>
    </w:p>
    <w:p w14:paraId="04BEE6CB" w14:textId="7A8EB4F2" w:rsidR="005F5D61" w:rsidRDefault="00797A06" w:rsidP="00BC4302">
      <w:pPr>
        <w:snapToGrid w:val="0"/>
        <w:spacing w:after="120"/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</w:pPr>
      <w:r w:rsidRPr="00797A06"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  <w:t>Laboratoire de G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  <w:t>é</w:t>
      </w:r>
      <w:r w:rsidRPr="00797A06"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  <w:t>nie Chimique, Universit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  <w:t xml:space="preserve">é de Toulouse, CNRS, INP, UPS, </w:t>
      </w:r>
      <w:r w:rsidRPr="00797A06"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  <w:t>Toulouse, France</w:t>
      </w:r>
    </w:p>
    <w:p w14:paraId="2AA8A189" w14:textId="683E584B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7756E" w:rsidRPr="00D7756E">
        <w:rPr>
          <w:rFonts w:asciiTheme="minorHAnsi" w:eastAsia="MS PGothic" w:hAnsiTheme="minorHAnsi"/>
          <w:bCs/>
          <w:i/>
          <w:iCs/>
          <w:sz w:val="20"/>
          <w:lang w:val="en-US"/>
        </w:rPr>
        <w:t>waldemir.mouradecarvalho@ensiacet.fr</w:t>
      </w:r>
    </w:p>
    <w:p w14:paraId="2249C98E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A6BAD1D" w14:textId="685AC8B3" w:rsidR="009A5887" w:rsidRPr="00EC66CC" w:rsidRDefault="009A5887" w:rsidP="003740E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9A5887">
        <w:rPr>
          <w:rFonts w:asciiTheme="minorHAnsi" w:hAnsiTheme="minorHAnsi"/>
        </w:rPr>
        <w:t>V(</w:t>
      </w:r>
      <w:proofErr w:type="gramEnd"/>
      <w:r w:rsidRPr="009A5887">
        <w:rPr>
          <w:rFonts w:asciiTheme="minorHAnsi" w:hAnsiTheme="minorHAnsi"/>
        </w:rPr>
        <w:t>II), V(III) and V(V) supersaturated solutions</w:t>
      </w:r>
      <w:r w:rsidR="003740E7">
        <w:rPr>
          <w:rFonts w:asciiTheme="minorHAnsi" w:hAnsiTheme="minorHAnsi"/>
        </w:rPr>
        <w:t xml:space="preserve"> </w:t>
      </w:r>
      <w:r w:rsidR="00CD6500">
        <w:rPr>
          <w:rFonts w:asciiTheme="minorHAnsi" w:hAnsiTheme="minorHAnsi"/>
        </w:rPr>
        <w:t xml:space="preserve">were </w:t>
      </w:r>
      <w:r w:rsidR="003740E7">
        <w:rPr>
          <w:rFonts w:asciiTheme="minorHAnsi" w:hAnsiTheme="minorHAnsi"/>
        </w:rPr>
        <w:t xml:space="preserve">prepared by </w:t>
      </w:r>
      <w:r w:rsidR="003740E7" w:rsidRPr="003740E7">
        <w:rPr>
          <w:rFonts w:asciiTheme="minorHAnsi" w:hAnsiTheme="minorHAnsi"/>
        </w:rPr>
        <w:t>electrolytic</w:t>
      </w:r>
      <w:r w:rsidR="003740E7">
        <w:rPr>
          <w:rFonts w:asciiTheme="minorHAnsi" w:hAnsiTheme="minorHAnsi"/>
        </w:rPr>
        <w:t xml:space="preserve"> dissolutions</w:t>
      </w:r>
      <w:r w:rsidR="00CD6500">
        <w:rPr>
          <w:rFonts w:asciiTheme="minorHAnsi" w:hAnsiTheme="minorHAnsi"/>
        </w:rPr>
        <w:t xml:space="preserve"> of commercial vanadium salt in </w:t>
      </w:r>
      <w:r w:rsidR="00CD6500" w:rsidRPr="002A6819">
        <w:rPr>
          <w:rFonts w:asciiTheme="minorHAnsi" w:hAnsiTheme="minorHAnsi"/>
          <w:noProof/>
        </w:rPr>
        <w:t>su</w:t>
      </w:r>
      <w:r w:rsidR="002A6819">
        <w:rPr>
          <w:rFonts w:asciiTheme="minorHAnsi" w:hAnsiTheme="minorHAnsi"/>
          <w:noProof/>
        </w:rPr>
        <w:t>l</w:t>
      </w:r>
      <w:r w:rsidR="00CD6500" w:rsidRPr="002A6819">
        <w:rPr>
          <w:rFonts w:asciiTheme="minorHAnsi" w:hAnsiTheme="minorHAnsi"/>
          <w:noProof/>
        </w:rPr>
        <w:t>phuric</w:t>
      </w:r>
      <w:r w:rsidR="00CD6500">
        <w:rPr>
          <w:rFonts w:asciiTheme="minorHAnsi" w:hAnsiTheme="minorHAnsi"/>
        </w:rPr>
        <w:t xml:space="preserve"> acid solutions</w:t>
      </w:r>
      <w:r w:rsidR="003740E7">
        <w:rPr>
          <w:rFonts w:asciiTheme="minorHAnsi" w:hAnsiTheme="minorHAnsi"/>
        </w:rPr>
        <w:t>.</w:t>
      </w:r>
    </w:p>
    <w:p w14:paraId="0A26A7E0" w14:textId="27B7228E" w:rsidR="0028003A" w:rsidRDefault="00CD650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Pure </w:t>
      </w:r>
      <w:r w:rsidR="0023119B">
        <w:rPr>
          <w:rFonts w:asciiTheme="minorHAnsi" w:hAnsiTheme="minorHAnsi"/>
        </w:rPr>
        <w:t xml:space="preserve">crystals of hydrated </w:t>
      </w:r>
      <w:proofErr w:type="gramStart"/>
      <w:r w:rsidR="0028003A" w:rsidRPr="0028003A">
        <w:rPr>
          <w:rFonts w:asciiTheme="minorHAnsi" w:hAnsiTheme="minorHAnsi"/>
        </w:rPr>
        <w:t>V(</w:t>
      </w:r>
      <w:proofErr w:type="gramEnd"/>
      <w:r w:rsidR="0028003A" w:rsidRPr="0028003A">
        <w:rPr>
          <w:rFonts w:asciiTheme="minorHAnsi" w:hAnsiTheme="minorHAnsi"/>
        </w:rPr>
        <w:t>II), V(III) and V(V) sulfate</w:t>
      </w:r>
      <w:r w:rsidR="0023119B">
        <w:rPr>
          <w:rFonts w:asciiTheme="minorHAnsi" w:hAnsiTheme="minorHAnsi"/>
        </w:rPr>
        <w:t>s</w:t>
      </w:r>
      <w:r w:rsidR="0028003A" w:rsidRPr="0028003A">
        <w:rPr>
          <w:rFonts w:asciiTheme="minorHAnsi" w:hAnsiTheme="minorHAnsi"/>
        </w:rPr>
        <w:t xml:space="preserve"> </w:t>
      </w:r>
      <w:r w:rsidR="0023119B" w:rsidRPr="0023119B">
        <w:rPr>
          <w:rFonts w:asciiTheme="minorHAnsi" w:hAnsiTheme="minorHAnsi"/>
        </w:rPr>
        <w:t>(</w:t>
      </w:r>
      <w:r w:rsidR="0023119B" w:rsidRPr="002A6819">
        <w:rPr>
          <w:rFonts w:asciiTheme="minorHAnsi" w:eastAsia="MS PGothic" w:hAnsiTheme="minorHAnsi"/>
          <w:color w:val="000000"/>
        </w:rPr>
        <w:t>VSO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4</w:t>
      </w:r>
      <w:r w:rsidR="0023119B" w:rsidRPr="002A6819">
        <w:rPr>
          <w:rFonts w:asciiTheme="minorHAnsi" w:eastAsia="MS PGothic" w:hAnsiTheme="minorHAnsi" w:cstheme="minorHAnsi"/>
          <w:color w:val="000000"/>
          <w:vertAlign w:val="subscript"/>
        </w:rPr>
        <w:t>·</w:t>
      </w:r>
      <w:r w:rsidR="0023119B" w:rsidRPr="002A6819">
        <w:rPr>
          <w:rFonts w:asciiTheme="minorHAnsi" w:eastAsia="MS PGothic" w:hAnsiTheme="minorHAnsi"/>
          <w:color w:val="000000"/>
        </w:rPr>
        <w:t>7H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2</w:t>
      </w:r>
      <w:r w:rsidR="0023119B" w:rsidRPr="002A6819">
        <w:rPr>
          <w:rFonts w:asciiTheme="minorHAnsi" w:eastAsia="MS PGothic" w:hAnsiTheme="minorHAnsi"/>
          <w:color w:val="000000"/>
        </w:rPr>
        <w:t>O, V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2</w:t>
      </w:r>
      <w:r w:rsidR="0023119B" w:rsidRPr="002A6819">
        <w:rPr>
          <w:rFonts w:asciiTheme="minorHAnsi" w:eastAsia="MS PGothic" w:hAnsiTheme="minorHAnsi"/>
          <w:color w:val="000000"/>
        </w:rPr>
        <w:t>(SO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4</w:t>
      </w:r>
      <w:r w:rsidR="0023119B" w:rsidRPr="002A6819">
        <w:rPr>
          <w:rFonts w:asciiTheme="minorHAnsi" w:eastAsia="MS PGothic" w:hAnsiTheme="minorHAnsi"/>
          <w:color w:val="000000"/>
        </w:rPr>
        <w:t>)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3</w:t>
      </w:r>
      <w:r w:rsidR="0023119B" w:rsidRPr="002A6819">
        <w:rPr>
          <w:rFonts w:asciiTheme="minorHAnsi" w:eastAsia="MS PGothic" w:hAnsiTheme="minorHAnsi" w:cstheme="minorHAnsi"/>
          <w:color w:val="000000"/>
          <w:vertAlign w:val="subscript"/>
        </w:rPr>
        <w:t>·</w:t>
      </w:r>
      <w:r w:rsidR="0023119B" w:rsidRPr="002A6819">
        <w:rPr>
          <w:rFonts w:asciiTheme="minorHAnsi" w:eastAsia="MS PGothic" w:hAnsiTheme="minorHAnsi"/>
          <w:color w:val="000000"/>
        </w:rPr>
        <w:t>10H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2</w:t>
      </w:r>
      <w:r w:rsidR="0023119B" w:rsidRPr="002A6819">
        <w:rPr>
          <w:rFonts w:asciiTheme="minorHAnsi" w:eastAsia="MS PGothic" w:hAnsiTheme="minorHAnsi"/>
          <w:color w:val="000000"/>
        </w:rPr>
        <w:t>O</w:t>
      </w:r>
      <w:r w:rsidR="0023119B">
        <w:rPr>
          <w:rFonts w:asciiTheme="minorHAnsi" w:eastAsia="MS PGothic" w:hAnsiTheme="minorHAnsi"/>
          <w:color w:val="000000"/>
        </w:rPr>
        <w:t xml:space="preserve"> </w:t>
      </w:r>
      <w:r w:rsidR="0028003A" w:rsidRPr="0023119B">
        <w:rPr>
          <w:rFonts w:asciiTheme="minorHAnsi" w:hAnsiTheme="minorHAnsi"/>
        </w:rPr>
        <w:t xml:space="preserve">and </w:t>
      </w:r>
      <w:r w:rsidR="0023119B" w:rsidRPr="002A6819">
        <w:rPr>
          <w:rFonts w:asciiTheme="minorHAnsi" w:eastAsia="MS PGothic" w:hAnsiTheme="minorHAnsi"/>
          <w:color w:val="000000"/>
        </w:rPr>
        <w:t>V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2</w:t>
      </w:r>
      <w:r w:rsidR="0023119B" w:rsidRPr="002A6819">
        <w:rPr>
          <w:rFonts w:asciiTheme="minorHAnsi" w:eastAsia="MS PGothic" w:hAnsiTheme="minorHAnsi"/>
          <w:color w:val="000000"/>
        </w:rPr>
        <w:t>O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5</w:t>
      </w:r>
      <w:r w:rsidR="0023119B" w:rsidRPr="002A6819">
        <w:rPr>
          <w:rFonts w:asciiTheme="minorHAnsi" w:eastAsia="MS PGothic" w:hAnsiTheme="minorHAnsi" w:cstheme="minorHAnsi"/>
          <w:color w:val="000000"/>
          <w:vertAlign w:val="subscript"/>
        </w:rPr>
        <w:t>·</w:t>
      </w:r>
      <w:r w:rsidR="0023119B" w:rsidRPr="002A6819">
        <w:rPr>
          <w:rFonts w:asciiTheme="minorHAnsi" w:eastAsia="MS PGothic" w:hAnsiTheme="minorHAnsi"/>
          <w:color w:val="000000"/>
        </w:rPr>
        <w:t>1.5H</w:t>
      </w:r>
      <w:r w:rsidR="0023119B" w:rsidRPr="002A6819">
        <w:rPr>
          <w:rFonts w:asciiTheme="minorHAnsi" w:eastAsia="MS PGothic" w:hAnsiTheme="minorHAnsi"/>
          <w:color w:val="000000"/>
          <w:vertAlign w:val="subscript"/>
        </w:rPr>
        <w:t>2</w:t>
      </w:r>
      <w:r w:rsidR="0023119B" w:rsidRPr="002A6819">
        <w:rPr>
          <w:rFonts w:asciiTheme="minorHAnsi" w:eastAsia="MS PGothic" w:hAnsiTheme="minorHAnsi"/>
          <w:color w:val="000000"/>
        </w:rPr>
        <w:t>O</w:t>
      </w:r>
      <w:r w:rsidR="0023119B" w:rsidRPr="0023119B">
        <w:rPr>
          <w:rFonts w:asciiTheme="minorHAnsi" w:hAnsiTheme="minorHAnsi"/>
        </w:rPr>
        <w:t>)</w:t>
      </w:r>
      <w:r w:rsidR="002311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were </w:t>
      </w:r>
      <w:r w:rsidR="008C2135">
        <w:rPr>
          <w:rFonts w:asciiTheme="minorHAnsi" w:hAnsiTheme="minorHAnsi"/>
        </w:rPr>
        <w:t xml:space="preserve">isolated and </w:t>
      </w:r>
      <w:r>
        <w:rPr>
          <w:rFonts w:asciiTheme="minorHAnsi" w:hAnsiTheme="minorHAnsi"/>
        </w:rPr>
        <w:t>identified as precipitating phases</w:t>
      </w:r>
      <w:r w:rsidR="00F5087D">
        <w:rPr>
          <w:rFonts w:asciiTheme="minorHAnsi" w:hAnsiTheme="minorHAnsi"/>
        </w:rPr>
        <w:t>, in different conditions</w:t>
      </w:r>
      <w:r>
        <w:rPr>
          <w:rFonts w:asciiTheme="minorHAnsi" w:hAnsiTheme="minorHAnsi"/>
        </w:rPr>
        <w:t>.</w:t>
      </w:r>
    </w:p>
    <w:p w14:paraId="5227695E" w14:textId="77777777" w:rsidR="00704BDF" w:rsidRPr="005516C8" w:rsidRDefault="00704BDF" w:rsidP="005516C8">
      <w:pPr>
        <w:snapToGrid w:val="0"/>
        <w:spacing w:after="120"/>
        <w:rPr>
          <w:rFonts w:eastAsia="SimSun"/>
          <w:bCs/>
          <w:i/>
          <w:iCs/>
          <w:color w:val="0000FF"/>
          <w:sz w:val="4"/>
          <w:lang w:val="en-US" w:eastAsia="zh-CN"/>
        </w:rPr>
      </w:pPr>
    </w:p>
    <w:p w14:paraId="4D022AB7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72D9A13" w14:textId="77E62A80" w:rsidR="00FE335B" w:rsidRPr="002A6819" w:rsidRDefault="00FE335B" w:rsidP="0058544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gramStart"/>
      <w:r w:rsidRPr="0058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>vanadiu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 </w:t>
      </w:r>
      <w:r w:rsidRPr="0058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redox flow battery</w:t>
      </w:r>
      <w:proofErr w:type="gramEnd"/>
      <w:r w:rsidRPr="0058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(VR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Pr="0058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receiving considerable </w:t>
      </w:r>
      <w:r w:rsidRPr="0058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attention in recent years, as one 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 the most viable energy 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storage technologies for large-scale application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eliminates the </w:t>
      </w:r>
      <w:r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cross</w:t>
      </w:r>
      <w:r w:rsidR="009D2CCB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-</w:t>
      </w:r>
      <w:r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contamination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 in flow battery</w:t>
      </w:r>
      <w:r w:rsidR="002A2CDD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enables 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long cycle life</w:t>
      </w:r>
      <w:r w:rsidR="008C213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(&gt;10000 cycles)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high-energy efficiencies and relatively low-cost structure for large storage capacities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141A" w:rsidRPr="002A6819">
        <w:rPr>
          <w:rStyle w:val="Appelnotedebasdep"/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676A7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10.1016/j.jechem.2018.04.007","ISSN":"20954956","author":[{"dropping-particle":"","family":"Cao","given":"Liuyue","non-dropping-particle":"","parse-names":false,"suffix":""},{"dropping-particle":"","family":"Skyllas-Kazacos","given":"Maria","non-dropping-particle":"","parse-names":false,"suffix":""},{"dropping-particle":"","family":"Menictas","given":"Chris","non-dropping-particle":"","parse-names":false,"suffix":""},{"dropping-particle":"","family":"Noack","given":"Jens","non-dropping-particle":"","parse-names":false,"suffix":""}],"container-title":"Journal of Energy Chemistry","id":"ITEM-1","issue":"5","issued":{"date-parts":[["2018","9"]]},"page":"1269-1291","title":"A review of electrolyte additives and impurities in vanadium redox flow batteries","type":"article-journal","volume":"27"},"uris":["http://www.mendeley.com/documents/?uuid=081747b2-2d69-435e-b8ba-964bd741bcfb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FC141A" w:rsidRPr="002A6819">
        <w:rPr>
          <w:rStyle w:val="Appelnotedebasdep"/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792AC0" w:rsidRPr="002A6819">
        <w:rPr>
          <w:rFonts w:asciiTheme="minorHAnsi" w:eastAsia="MS PGothic" w:hAnsiTheme="minorHAnsi"/>
          <w:bCs/>
          <w:noProof/>
          <w:color w:val="000000"/>
          <w:sz w:val="22"/>
          <w:szCs w:val="22"/>
          <w:lang w:val="en-US"/>
        </w:rPr>
        <w:t>[1]</w:t>
      </w:r>
      <w:r w:rsidR="00FC141A" w:rsidRPr="002A6819">
        <w:rPr>
          <w:rStyle w:val="Appelnotedebasdep"/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A2CDD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concentration of vanadium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species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O-H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electrolyte determine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0B1CA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VRFB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 density, high concentrations are </w:t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required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Meanwhile</w:t>
      </w:r>
      <w:r w:rsidR="00C9036F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933118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major precipitatio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vanadium compounds must be avoided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76A7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676A7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10.1016/j.jpowsour.2008.12.113","ISSN":"03787753","author":[{"dropping-particle":"","family":"Rahman","given":"Faizur","non-dropping-particle":"","parse-names":false,"suffix":""},{"dropping-particle":"","family":"Skyllas-Kazacos","given":"Maria","non-dropping-particle":"","parse-names":false,"suffix":""}],"container-title":"Journal of Power Sources","id":"ITEM-1","issue":"2","issued":{"date-parts":[["2009","4"]]},"page":"1212-1219","title":"Vanadium redox battery: Positive half-cell electrolyte studies","type":"article-journal","volume":"189"},"uris":["http://www.mendeley.com/documents/?uuid=3d8a36c7-8c9d-4e2f-8215-02ecd39294b8"]}],"mendeley":{"formattedCitation":"[2]","plainTextFormattedCitation":"[2]"},"properties":{"noteIndex":0},"schema":"https://github.com/citation-style-language/schema/raw/master/csl-citation.json"}</w:instrText>
      </w:r>
      <w:r w:rsidR="00676A7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676A71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676A7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33118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Despite current 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933118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search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933118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7A06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aiming at</w:t>
      </w:r>
      <w:r w:rsidR="00933118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F5D6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understanding </w:t>
      </w:r>
      <w:r w:rsidR="00933118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vanadium 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salts </w:t>
      </w:r>
      <w:r w:rsidR="00933118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precipitation in a VRFB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very little </w:t>
      </w:r>
      <w:proofErr w:type="gramStart"/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done</w:t>
      </w:r>
      <w:proofErr w:type="gramEnd"/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identify the </w:t>
      </w:r>
      <w:r w:rsidR="00132463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phases precipitated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2463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vanadium </w:t>
      </w:r>
      <w:r w:rsidR="00132463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acidic 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 used as VRFB electrolyte. 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study has thus focused on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preparing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V(II), V(III) and V(V) </w:t>
      </w:r>
      <w:r w:rsidR="00C9036F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saturated solution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(ii) </w:t>
      </w:r>
      <w:r w:rsidR="00797A06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identifying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precipitation products 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VRFB </w:t>
      </w:r>
      <w:r w:rsidR="00797A0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operating conditions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an aim of </w:t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improving the 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understanding </w:t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vanadate chemistry in 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340DFA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high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sulphuric</w:t>
      </w:r>
      <w:proofErr w:type="spellEnd"/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</w:t>
      </w:r>
      <w:r w:rsidR="00340DF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CE71D08" w14:textId="47D6B8EE" w:rsidR="00F8347C" w:rsidRPr="002A6819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A681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C972758" w14:textId="7A2DD894" w:rsidR="00061932" w:rsidRPr="005F5D61" w:rsidRDefault="00180FD9" w:rsidP="00FE335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vanadium </w:t>
      </w:r>
      <w:r w:rsidR="0059057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supersaturated 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solution</w:t>
      </w:r>
      <w:r w:rsidR="00C92B54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347C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are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prepared by dissolution of 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commercial 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VOSO</w:t>
      </w:r>
      <w:r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 suspension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subsequent </w:t>
      </w:r>
      <w:r w:rsidR="000A792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electrochemical 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oxidation (for </w:t>
      </w:r>
      <w:proofErr w:type="gramStart"/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V) preparation) or reduction (for V(II) and V(III) preparation) 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of the compartment</w:t>
      </w:r>
      <w:r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two-compartment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electrolytic cell</w:t>
      </w:r>
      <w:r w:rsidR="000A792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separated by a </w:t>
      </w:r>
      <w:proofErr w:type="spellStart"/>
      <w:r w:rsidR="000A792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Nafion</w:t>
      </w:r>
      <w:proofErr w:type="spellEnd"/>
      <w:r w:rsidR="000A792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cationic membrane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A792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5248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hick carbon felt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5248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792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(5mm) </w:t>
      </w:r>
      <w:proofErr w:type="gramStart"/>
      <w:r w:rsidR="000A792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35248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</w:t>
      </w:r>
      <w:proofErr w:type="gramEnd"/>
      <w:r w:rsidR="0035248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anode and cathode.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</w:t>
      </w:r>
      <w:r w:rsidR="0059057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solubility curves of the vanadium salts available in the literature</w:t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7925" w:rsidRPr="002A6819">
        <w:rPr>
          <w:rFonts w:asciiTheme="minorHAnsi" w:eastAsia="MS PGothic" w:hAnsiTheme="minorHAnsi"/>
          <w:bCs/>
          <w:noProof/>
          <w:color w:val="000000"/>
          <w:sz w:val="22"/>
          <w:szCs w:val="22"/>
          <w:lang w:val="en-US"/>
        </w:rPr>
        <w:t>[2]</w:t>
      </w:r>
      <w:r w:rsidR="0059057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60.63 grams of VOSO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 (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corresponding to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 </w:t>
      </w:r>
      <w:proofErr w:type="spellStart"/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3F34C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59057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added 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50 mL of a 5 </w:t>
      </w:r>
      <w:proofErr w:type="spellStart"/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4 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solution, and placed either 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into the negative half-cell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prepare V(II) 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V(III) 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supersaturated </w:t>
      </w:r>
      <w:r w:rsidR="00CC143E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sulfate solution</w:t>
      </w:r>
      <w:r w:rsidR="003C7AC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C143E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</w:t>
      </w:r>
      <w:r w:rsidR="00590576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into the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positive half-cell to prepare V(V) </w:t>
      </w:r>
      <w:r w:rsidR="00CC143E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sulfate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solution.</w:t>
      </w:r>
      <w:proofErr w:type="gramEnd"/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spellStart"/>
      <w:r w:rsidR="004F344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galvanostatic</w:t>
      </w:r>
      <w:proofErr w:type="spellEnd"/>
      <w:r w:rsidR="004F344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344A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electroly</w:t>
      </w:r>
      <w:r w:rsid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z</w:t>
      </w:r>
      <w:r w:rsidR="004516A9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es</w:t>
      </w:r>
      <w:r w:rsidR="004F344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34C1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run at a constant current density (1</w:t>
      </w:r>
      <w:r w:rsidR="009D405D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1932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A) </w:t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DC power supply. Th</w:t>
      </w:r>
      <w:r w:rsidR="000B1CA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vanadium species concentration </w:t>
      </w:r>
      <w:r w:rsidR="004F344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followed by UV-vis spectroscopy for </w:t>
      </w:r>
      <w:proofErr w:type="gramStart"/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 and V(III) solution and by titration for V(V) solution</w:t>
      </w:r>
      <w:r w:rsidR="000B1CA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F344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0B1CA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F344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required </w:t>
      </w:r>
      <w:r w:rsidR="000B1CA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vanadium </w:t>
      </w:r>
      <w:r w:rsidR="000B1CAA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conversion</w:t>
      </w:r>
      <w:r w:rsidR="004F344A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was achieved </w:t>
      </w:r>
      <w:r w:rsidR="009D2CCB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,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7415F5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supersatur</w:t>
      </w:r>
      <w:r w:rsidR="00C92B54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at</w:t>
      </w:r>
      <w:r w:rsidR="007415F5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ed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 </w:t>
      </w:r>
      <w:r w:rsidR="004F344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transferred to another </w:t>
      </w:r>
      <w:r w:rsidR="007415F5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vessel 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where </w:t>
      </w:r>
      <w:r w:rsidR="00F8347C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they </w:t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DC15A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aged</w:t>
      </w:r>
      <w:r w:rsidR="00D50C4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constant </w:t>
      </w:r>
      <w:r w:rsidR="009D2C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</w:t>
      </w:r>
      <w:r w:rsidR="000A5F2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(30</w:t>
      </w:r>
      <w:r w:rsidR="00D113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5F2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°C for V(II) </w:t>
      </w:r>
      <w:r w:rsidR="00D113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0A5F2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V(III) and 60</w:t>
      </w:r>
      <w:r w:rsidR="00D113CB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5F2A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for</w:t>
      </w:r>
      <w:r w:rsidR="000A5F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5F2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V(V))</w:t>
      </w:r>
      <w:r w:rsidR="009D2CCB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344A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451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nd a</w:t>
      </w:r>
      <w:r w:rsidR="004F34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4F344A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constant </w:t>
      </w:r>
      <w:r w:rsidR="009D2CCB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agitation </w:t>
      </w:r>
      <w:r w:rsidR="000A5F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(400 </w:t>
      </w:r>
      <w:r w:rsidR="004F344A">
        <w:rPr>
          <w:rFonts w:asciiTheme="minorHAnsi" w:eastAsia="MS PGothic" w:hAnsiTheme="minorHAnsi"/>
          <w:color w:val="000000"/>
          <w:sz w:val="22"/>
          <w:szCs w:val="22"/>
          <w:lang w:val="en-US"/>
        </w:rPr>
        <w:t>rpm)</w:t>
      </w:r>
      <w:r w:rsidR="00DC15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8347C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the</w:t>
      </w:r>
      <w:r w:rsidR="00DC15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34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vanadium species </w:t>
      </w:r>
      <w:r w:rsidR="00DC15A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 w:rsidR="00F834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4F34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F8347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monitored</w:t>
      </w:r>
      <w:r w:rsidR="000A5F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CCB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until precipitation </w:t>
      </w:r>
      <w:r w:rsidR="004516A9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occu</w:t>
      </w:r>
      <w:r w:rsid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</w:t>
      </w:r>
      <w:r w:rsidR="004516A9" w:rsidRPr="002A681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red</w:t>
      </w:r>
      <w:r w:rsidR="009D2CCB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A5F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precipitated product</w:t>
      </w:r>
      <w:r w:rsidR="00C92B5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834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344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were</w:t>
      </w:r>
      <w:r w:rsidR="004F34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34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="000A5F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filtrated, washed with </w:t>
      </w:r>
      <w:r w:rsid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ethanol, dried at 60</w:t>
      </w:r>
      <w:r w:rsidR="00D113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for 4 hours,</w:t>
      </w:r>
      <w:r w:rsidR="00792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792AC0" w:rsidRPr="00792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 by</w:t>
      </w:r>
      <w:r w:rsid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0576">
        <w:rPr>
          <w:rFonts w:asciiTheme="minorHAnsi" w:eastAsia="MS PGothic" w:hAnsiTheme="minorHAnsi"/>
          <w:color w:val="000000"/>
          <w:sz w:val="22"/>
          <w:szCs w:val="22"/>
          <w:lang w:val="en-US"/>
        </w:rPr>
        <w:t>X</w:t>
      </w:r>
      <w:r w:rsidR="00F8347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82119" w:rsidRPr="003821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ray diffraction </w:t>
      </w:r>
      <w:r w:rsidR="0038211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XRD</w:t>
      </w:r>
      <w:r w:rsidR="003821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</w:t>
      </w:r>
      <w:proofErr w:type="spellStart"/>
      <w:r w:rsidR="00382119" w:rsidRPr="003821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thermogravimetric</w:t>
      </w:r>
      <w:proofErr w:type="spellEnd"/>
      <w:r w:rsidR="00382119" w:rsidRPr="003821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 </w:t>
      </w:r>
      <w:r w:rsidR="00382119">
        <w:rPr>
          <w:rFonts w:asciiTheme="minorHAnsi" w:eastAsia="MS PGothic" w:hAnsiTheme="minorHAnsi"/>
          <w:color w:val="000000"/>
          <w:sz w:val="22"/>
          <w:szCs w:val="22"/>
          <w:lang w:val="en-US"/>
        </w:rPr>
        <w:t>(TGA)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13CB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and</w:t>
      </w:r>
      <w:r w:rsidR="00D113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UV-Vis</w:t>
      </w:r>
      <w:r w:rsidR="003821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spectroscopy</w:t>
      </w:r>
      <w:r w:rsidR="00792AC0" w:rsidRPr="00792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DCD3542" w14:textId="77777777" w:rsidR="00704BDF" w:rsidRPr="005F5D6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F5D6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480FA19" w14:textId="148BA609" w:rsidR="007E6153" w:rsidRDefault="00B1489A" w:rsidP="004D0B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6D0DDC" w:rsidRPr="006D0DDC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F861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initial </w:t>
      </w:r>
      <w:r w:rsidR="00F861DF">
        <w:rPr>
          <w:rFonts w:asciiTheme="minorHAnsi" w:eastAsia="MS PGothic" w:hAnsiTheme="minorHAnsi"/>
          <w:color w:val="000000"/>
          <w:sz w:val="22"/>
          <w:szCs w:val="22"/>
          <w:lang w:val="en-US"/>
        </w:rPr>
        <w:t>vanadium concentration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861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 measured </w:t>
      </w:r>
      <w:r w:rsidR="007A72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before the aging process </w:t>
      </w:r>
      <w:r w:rsidR="00C903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3.2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903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3.5</w:t>
      </w:r>
      <w:r w:rsidR="00B74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4.0 </w:t>
      </w:r>
      <w:proofErr w:type="spellStart"/>
      <w:r w:rsidR="00B74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B74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B7495D" w:rsidRPr="007460F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B74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proofErr w:type="gramStart"/>
      <w:r w:rsidR="00B74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B74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74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V(III)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V(V)</w:t>
      </w:r>
      <w:r w:rsidR="0074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903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solution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s, respectively</w:t>
      </w:r>
      <w:r w:rsidR="007A72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10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Significant amounts of precipitated solids were obtained in </w:t>
      </w:r>
      <w:proofErr w:type="gramStart"/>
      <w:r w:rsidR="007A729C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7A729C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 and V(III) solution</w:t>
      </w:r>
      <w:r w:rsidR="00610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A72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6D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12 </w:t>
      </w:r>
      <w:r w:rsidR="00816D8D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h  </w:t>
      </w:r>
      <w:r w:rsidR="00610F5D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</w:t>
      </w:r>
      <w:r w:rsidR="00816D8D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purple precipitate for V(II) and green precipitate for V(III)</w:t>
      </w:r>
      <w:r w:rsidR="00610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For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V) solution</w:t>
      </w:r>
      <w:r w:rsidR="003C7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11 </w:t>
      </w:r>
      <w:r w:rsidR="00D92A23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days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required to produce </w:t>
      </w:r>
      <w:r w:rsidR="00042C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enough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 </w:t>
      </w:r>
      <w:r w:rsidR="00742A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(orange/brown precipitate)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further characterization</w:t>
      </w:r>
      <w:r w:rsidR="00042C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47EC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247E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precipitated 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powder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 then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dilute</w:t>
      </w:r>
      <w:r w:rsidR="00247EC9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4063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92A23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sulphuric</w:t>
      </w:r>
      <w:r w:rsidR="00D92A23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247E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26BF" w:rsidRPr="00E626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</w:t>
      </w:r>
      <w:r w:rsidR="00247EC9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E626BF" w:rsidRPr="00E626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26BF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UV-Vis spectroscopy</w:t>
      </w:r>
      <w:proofErr w:type="gramEnd"/>
      <w:r w:rsidR="00247EC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hey all showed </w:t>
      </w:r>
      <w:r w:rsidR="00E626BF" w:rsidRPr="00E626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own 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 absorption</w:t>
      </w:r>
      <w:r w:rsidR="00E626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profile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confirming that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each of 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precipitate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2A23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correspond</w:t>
      </w:r>
      <w:r w:rsid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specific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state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depending on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initial</w:t>
      </w:r>
      <w:r w:rsidR="00D92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</w: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on.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F51664" w:rsidRPr="00EE0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owder </w: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XRD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analysis </w: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each of </w: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51664" w:rsidRPr="00EE0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dried </w: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precipitate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51664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was perform</w:t>
      </w:r>
      <w:r w:rsid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ed</w: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51664"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F51664"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_Ref534722862 \h </w:instrText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\* MERGEFORMAT </w:instrText>
      </w:r>
      <w:r w:rsidR="00F51664"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F51664"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516A9" w:rsidRPr="002A6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</w:t>
      </w:r>
      <w:r w:rsidR="00F51664"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51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The </w:t>
      </w:r>
      <w:r w:rsidR="007E6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precipitate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</w:t>
      </w:r>
      <w:r w:rsidR="00CF4278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from</w:t>
      </w:r>
      <w:r w:rsidR="007E6153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the</w:t>
      </w:r>
      <w:r w:rsidR="007E6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V(II) solution </w:t>
      </w:r>
      <w:r w:rsidR="003A335E" w:rsidRP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perfectly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match the </w:t>
      </w:r>
      <w:r w:rsidR="003A335E" w:rsidRPr="003B2120">
        <w:rPr>
          <w:rFonts w:asciiTheme="minorHAnsi" w:eastAsia="MS PGothic" w:hAnsiTheme="minorHAnsi"/>
          <w:color w:val="000000"/>
          <w:sz w:val="22"/>
          <w:szCs w:val="22"/>
          <w:lang w:val="en-US"/>
        </w:rPr>
        <w:t>VSO</w:t>
      </w:r>
      <w:r w:rsidR="003A335E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23119B" w:rsidRPr="00A06F51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·</w:t>
      </w:r>
      <w:r w:rsidR="003A335E" w:rsidRPr="003B2120">
        <w:rPr>
          <w:rFonts w:asciiTheme="minorHAnsi" w:eastAsia="MS PGothic" w:hAnsiTheme="minorHAnsi"/>
          <w:color w:val="000000"/>
          <w:sz w:val="22"/>
          <w:szCs w:val="22"/>
          <w:lang w:val="en-US"/>
        </w:rPr>
        <w:t>7H</w:t>
      </w:r>
      <w:r w:rsidR="003A335E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A335E" w:rsidRPr="003B2120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 produced from </w:t>
      </w:r>
      <w:r w:rsidR="007E6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V(III) and V(V) </w:t>
      </w:r>
      <w:r w:rsidR="007E6153" w:rsidRPr="007E6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solutions</w:t>
      </w:r>
      <w:r w:rsidR="007E6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fairly match 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(SO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23119B" w:rsidRPr="002A6819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·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10H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O and V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23119B" w:rsidRPr="00A06F51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·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1.5H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s,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respectively.</w:t>
      </w:r>
      <w:r w:rsidR="00042C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phases were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similar f</w:t>
      </w:r>
      <w:r w:rsidR="00DC2C6F" w:rsidRPr="00DC2C6F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042C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C2C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aging/precipitation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durations</w:t>
      </w:r>
      <w:r w:rsidR="00DC2C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confirm the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III) and V(V)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precipitate</w:t>
      </w:r>
      <w:r w:rsidR="00451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1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identification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powder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B17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</w:t>
      </w:r>
      <w:r w:rsidR="00CF427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ere</w:t>
      </w:r>
      <w:r w:rsidR="00BE6D83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E6D83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heat</w:t>
      </w:r>
      <w:r w:rsid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-</w:t>
      </w:r>
      <w:r w:rsidR="00BE6D83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treated</w:t>
      </w:r>
      <w:r w:rsidR="00BE6D83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200 °C in air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B17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and</w:t>
      </w:r>
      <w:r w:rsidR="004D0B17" w:rsidRP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analyzed again by XRD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E6D83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(200 °C) </w:t>
      </w:r>
      <w:proofErr w:type="gramStart"/>
      <w:r w:rsidR="003A335E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</w:t>
      </w:r>
      <w:r w:rsid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as</w:t>
      </w:r>
      <w:r w:rsidR="00BE6D83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determined</w:t>
      </w:r>
      <w:proofErr w:type="gramEnd"/>
      <w:r w:rsidR="00BE6D83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TG</w:t>
      </w:r>
      <w:r w:rsidR="00BE6D83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enables a complete removal of the</w:t>
      </w:r>
      <w:r w:rsidR="007362D2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E6D83" w:rsidRPr="00BE6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from the 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hydrates 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without any decomposition (to SO</w:t>
      </w:r>
      <w:r w:rsidR="007362D2" w:rsidRPr="002A6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example) nor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ny 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transition</w:t>
      </w:r>
      <w:r w:rsidR="00CF42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(due to oxidation for instance)</w:t>
      </w:r>
      <w:r w:rsid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the heat </w:t>
      </w:r>
      <w:r w:rsidR="004D0B17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treatment</w:t>
      </w:r>
      <w:r w:rsid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,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gramStart"/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III) and V(V) precipitate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D0B17" w:rsidRP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B17" w:rsidRPr="003A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perfectly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match the V</w:t>
      </w:r>
      <w:r w:rsidR="00DC2C6F" w:rsidRPr="00DC2C6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(SO</w:t>
      </w:r>
      <w:r w:rsidR="004D0B17" w:rsidRPr="00DC2C6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4D0B17" w:rsidRPr="00DC2C6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</w:t>
      </w:r>
      <w:r w:rsidR="004D0B17" w:rsidRPr="004D0B1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4D0B17" w:rsidRPr="004D0B1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4D0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pattern respectively.</w:t>
      </w:r>
    </w:p>
    <w:p w14:paraId="530751BF" w14:textId="77777777" w:rsidR="009E0EB6" w:rsidRPr="005F5D61" w:rsidRDefault="00BE6D83" w:rsidP="00792AC0">
      <w:pPr>
        <w:pStyle w:val="Lgende"/>
        <w:jc w:val="center"/>
      </w:pPr>
      <w:r w:rsidRPr="00BE6D83">
        <w:rPr>
          <w:noProof/>
          <w:lang w:val="fr-FR" w:eastAsia="fr-FR"/>
        </w:rPr>
        <w:drawing>
          <wp:inline distT="0" distB="0" distL="0" distR="0" wp14:anchorId="2E0A86C7" wp14:editId="64E14A2C">
            <wp:extent cx="5616000" cy="1428495"/>
            <wp:effectExtent l="0" t="0" r="381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" t="3290"/>
                    <a:stretch/>
                  </pic:blipFill>
                  <pic:spPr bwMode="auto">
                    <a:xfrm>
                      <a:off x="0" y="0"/>
                      <a:ext cx="5616000" cy="14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7DCDC" w14:textId="12BD3C57" w:rsidR="009E0EB6" w:rsidRPr="009D13E7" w:rsidRDefault="009E0EB6" w:rsidP="009D13E7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bookmarkStart w:id="1" w:name="_Ref534722862"/>
      <w:r w:rsidRPr="005F5D61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Pr="005F5D61">
        <w:rPr>
          <w:rFonts w:asciiTheme="minorHAnsi" w:eastAsia="MS PGothic" w:hAnsiTheme="minorHAnsi"/>
          <w:b/>
          <w:color w:val="000000"/>
          <w:szCs w:val="18"/>
          <w:lang w:val="en-US"/>
        </w:rPr>
        <w:fldChar w:fldCharType="begin"/>
      </w:r>
      <w:r w:rsidRPr="005F5D61">
        <w:rPr>
          <w:rFonts w:asciiTheme="minorHAnsi" w:eastAsia="MS PGothic" w:hAnsiTheme="minorHAnsi"/>
          <w:b/>
          <w:color w:val="000000"/>
          <w:szCs w:val="18"/>
          <w:lang w:val="en-US"/>
        </w:rPr>
        <w:instrText xml:space="preserve"> SEQ Figure \* ARABIC </w:instrText>
      </w:r>
      <w:r w:rsidRPr="005F5D61">
        <w:rPr>
          <w:rFonts w:asciiTheme="minorHAnsi" w:eastAsia="MS PGothic" w:hAnsiTheme="minorHAnsi"/>
          <w:b/>
          <w:color w:val="000000"/>
          <w:szCs w:val="18"/>
          <w:lang w:val="en-US"/>
        </w:rPr>
        <w:fldChar w:fldCharType="separate"/>
      </w:r>
      <w:r w:rsidR="004516A9">
        <w:rPr>
          <w:rFonts w:asciiTheme="minorHAnsi" w:eastAsia="MS PGothic" w:hAnsiTheme="minorHAnsi"/>
          <w:b/>
          <w:noProof/>
          <w:color w:val="000000"/>
          <w:szCs w:val="18"/>
          <w:lang w:val="en-US"/>
        </w:rPr>
        <w:t>1</w:t>
      </w:r>
      <w:r w:rsidRPr="005F5D61">
        <w:rPr>
          <w:rFonts w:asciiTheme="minorHAnsi" w:eastAsia="MS PGothic" w:hAnsiTheme="minorHAnsi"/>
          <w:b/>
          <w:color w:val="000000"/>
          <w:szCs w:val="18"/>
          <w:lang w:val="en-US"/>
        </w:rPr>
        <w:fldChar w:fldCharType="end"/>
      </w:r>
      <w:bookmarkEnd w:id="1"/>
      <w:r w:rsidRPr="005F5D61">
        <w:rPr>
          <w:rFonts w:asciiTheme="minorHAnsi" w:eastAsia="MS PGothic" w:hAnsiTheme="minorHAnsi"/>
          <w:b/>
          <w:color w:val="000000"/>
          <w:szCs w:val="18"/>
          <w:lang w:val="en-US"/>
        </w:rPr>
        <w:t>.</w:t>
      </w:r>
      <w:r w:rsidR="00BC39CC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BC39CC" w:rsidRPr="00C92B54">
        <w:rPr>
          <w:rFonts w:asciiTheme="minorHAnsi" w:eastAsia="MS PGothic" w:hAnsiTheme="minorHAnsi"/>
          <w:noProof/>
          <w:color w:val="000000"/>
          <w:szCs w:val="18"/>
          <w:lang w:val="en-US"/>
        </w:rPr>
        <w:t>X</w:t>
      </w:r>
      <w:r w:rsidR="00180FD9" w:rsidRPr="00C92B54">
        <w:rPr>
          <w:rFonts w:asciiTheme="minorHAnsi" w:eastAsia="MS PGothic" w:hAnsiTheme="minorHAnsi"/>
          <w:noProof/>
          <w:color w:val="000000"/>
          <w:szCs w:val="18"/>
          <w:lang w:val="en-US"/>
        </w:rPr>
        <w:t>-ray</w:t>
      </w:r>
      <w:r w:rsidR="00180FD9" w:rsidRPr="005F5D61">
        <w:rPr>
          <w:rFonts w:asciiTheme="minorHAnsi" w:eastAsia="MS PGothic" w:hAnsiTheme="minorHAnsi"/>
          <w:color w:val="000000"/>
          <w:szCs w:val="18"/>
          <w:lang w:val="en-US"/>
        </w:rPr>
        <w:t xml:space="preserve"> diffraction pattern of </w:t>
      </w:r>
      <w:r w:rsidR="009F74C4">
        <w:rPr>
          <w:rFonts w:asciiTheme="minorHAnsi" w:eastAsia="MS PGothic" w:hAnsiTheme="minorHAnsi"/>
          <w:color w:val="000000"/>
          <w:szCs w:val="18"/>
          <w:lang w:val="en-US"/>
        </w:rPr>
        <w:t>the</w:t>
      </w:r>
      <w:r w:rsidR="00180FD9" w:rsidRPr="005F5D61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D113CB" w:rsidRPr="005F5D61">
        <w:rPr>
          <w:rFonts w:asciiTheme="minorHAnsi" w:eastAsia="MS PGothic" w:hAnsiTheme="minorHAnsi"/>
          <w:color w:val="000000"/>
          <w:szCs w:val="18"/>
          <w:lang w:val="en-US"/>
        </w:rPr>
        <w:t xml:space="preserve">precipitation </w:t>
      </w:r>
      <w:r w:rsidR="00180FD9" w:rsidRPr="005F5D61">
        <w:rPr>
          <w:rFonts w:asciiTheme="minorHAnsi" w:eastAsia="MS PGothic" w:hAnsiTheme="minorHAnsi"/>
          <w:color w:val="000000"/>
          <w:szCs w:val="18"/>
          <w:lang w:val="en-US"/>
        </w:rPr>
        <w:t>product of the (</w:t>
      </w:r>
      <w:r w:rsidR="00DC2C6F">
        <w:rPr>
          <w:rFonts w:asciiTheme="minorHAnsi" w:eastAsia="MS PGothic" w:hAnsiTheme="minorHAnsi"/>
          <w:color w:val="000000"/>
          <w:szCs w:val="18"/>
          <w:lang w:val="en-US"/>
        </w:rPr>
        <w:t>a)</w:t>
      </w:r>
      <w:r w:rsidR="00BB455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gramStart"/>
      <w:r w:rsidR="00BB4554">
        <w:rPr>
          <w:rFonts w:asciiTheme="minorHAnsi" w:eastAsia="MS PGothic" w:hAnsiTheme="minorHAnsi"/>
          <w:color w:val="000000"/>
          <w:szCs w:val="18"/>
          <w:lang w:val="en-US"/>
        </w:rPr>
        <w:t>V(</w:t>
      </w:r>
      <w:proofErr w:type="gramEnd"/>
      <w:r w:rsidR="00DC2C6F">
        <w:rPr>
          <w:rFonts w:asciiTheme="minorHAnsi" w:eastAsia="MS PGothic" w:hAnsiTheme="minorHAnsi"/>
          <w:color w:val="000000"/>
          <w:szCs w:val="18"/>
          <w:lang w:val="en-US"/>
        </w:rPr>
        <w:t>II</w:t>
      </w:r>
      <w:r w:rsidR="00BB4554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DC2C6F">
        <w:rPr>
          <w:rFonts w:asciiTheme="minorHAnsi" w:eastAsia="MS PGothic" w:hAnsiTheme="minorHAnsi"/>
          <w:color w:val="000000"/>
          <w:szCs w:val="18"/>
          <w:lang w:val="en-US"/>
        </w:rPr>
        <w:t>, (b)</w:t>
      </w:r>
      <w:r w:rsidR="00BB4554">
        <w:rPr>
          <w:rFonts w:asciiTheme="minorHAnsi" w:eastAsia="MS PGothic" w:hAnsiTheme="minorHAnsi"/>
          <w:color w:val="000000"/>
          <w:szCs w:val="18"/>
          <w:lang w:val="en-US"/>
        </w:rPr>
        <w:t xml:space="preserve"> V(</w:t>
      </w:r>
      <w:r w:rsidR="00180FD9" w:rsidRPr="005F5D61">
        <w:rPr>
          <w:rFonts w:asciiTheme="minorHAnsi" w:eastAsia="MS PGothic" w:hAnsiTheme="minorHAnsi"/>
          <w:color w:val="000000"/>
          <w:szCs w:val="18"/>
          <w:lang w:val="en-US"/>
        </w:rPr>
        <w:t>III</w:t>
      </w:r>
      <w:r w:rsidR="00BB4554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DC2C6F">
        <w:rPr>
          <w:rFonts w:asciiTheme="minorHAnsi" w:eastAsia="MS PGothic" w:hAnsiTheme="minorHAnsi"/>
          <w:color w:val="000000"/>
          <w:szCs w:val="18"/>
          <w:lang w:val="en-US"/>
        </w:rPr>
        <w:t xml:space="preserve"> and (c)</w:t>
      </w:r>
      <w:r w:rsidR="00BB4554">
        <w:rPr>
          <w:rFonts w:asciiTheme="minorHAnsi" w:eastAsia="MS PGothic" w:hAnsiTheme="minorHAnsi"/>
          <w:color w:val="000000"/>
          <w:szCs w:val="18"/>
          <w:lang w:val="en-US"/>
        </w:rPr>
        <w:t xml:space="preserve"> V(</w:t>
      </w:r>
      <w:r w:rsidR="00DC2C6F">
        <w:rPr>
          <w:rFonts w:asciiTheme="minorHAnsi" w:eastAsia="MS PGothic" w:hAnsiTheme="minorHAnsi"/>
          <w:color w:val="000000"/>
          <w:szCs w:val="18"/>
          <w:lang w:val="en-US"/>
        </w:rPr>
        <w:t>V</w:t>
      </w:r>
      <w:r w:rsidR="00BB4554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DC2C6F">
        <w:rPr>
          <w:rFonts w:asciiTheme="minorHAnsi" w:eastAsia="MS PGothic" w:hAnsiTheme="minorHAnsi"/>
          <w:color w:val="000000"/>
          <w:szCs w:val="18"/>
          <w:lang w:val="en-US"/>
        </w:rPr>
        <w:t xml:space="preserve"> solution after aging.</w:t>
      </w:r>
    </w:p>
    <w:p w14:paraId="2640C0E9" w14:textId="77777777" w:rsidR="00704BDF" w:rsidRPr="009D13E7" w:rsidRDefault="00704BDF" w:rsidP="009D13E7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Conclusions</w:t>
      </w:r>
    </w:p>
    <w:p w14:paraId="1D356E15" w14:textId="303D779E" w:rsidR="00EE08A9" w:rsidRPr="00EE08A9" w:rsidRDefault="00D46784" w:rsidP="001E1C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summary, we report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to prepare </w:t>
      </w:r>
      <w:proofErr w:type="gramStart"/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V(</w:t>
      </w:r>
      <w:proofErr w:type="gramEnd"/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II), V(III) and V(V) 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supersaturated solution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in 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</w:t>
      </w:r>
      <w:r w:rsid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n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H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vertAlign w:val="subscript"/>
          <w:lang w:val="en-US"/>
        </w:rPr>
        <w:t>2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SO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vertAlign w:val="subscript"/>
          <w:lang w:val="en-US"/>
        </w:rPr>
        <w:t>4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-H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vertAlign w:val="subscript"/>
          <w:lang w:val="en-US"/>
        </w:rPr>
        <w:t>2</w:t>
      </w:r>
      <w:r w:rsidR="00AB27DB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O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electrolyte,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the only vanadium sulfate compound commercially available (</w:t>
      </w:r>
      <w:r w:rsidR="00AB27DB" w:rsidRPr="005F5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VOSO</w:t>
      </w:r>
      <w:r w:rsidR="00AB27DB" w:rsidRPr="005F5D6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). We also identify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precipitation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may 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VRFB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operated 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such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supersaturated solution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D4678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08A9" w:rsidRPr="00EE0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show</w:t>
      </w:r>
      <w:r w:rsidR="003B0A5D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EE08A9" w:rsidRPr="00EE0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</w:t>
      </w:r>
      <w:r w:rsidR="001E1CD6" w:rsidRP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V(II), V(III) and V(V) </w:t>
      </w:r>
      <w:r w:rsidR="003B0A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sulfate </w:t>
      </w:r>
      <w:r w:rsidR="001E1CD6" w:rsidRPr="007E6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solutions</w:t>
      </w:r>
      <w:r w:rsid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1CD6" w:rsidRPr="004063A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precipitate</w:t>
      </w:r>
      <w:r w:rsidR="00BB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VSO</w:t>
      </w:r>
      <w:r w:rsidR="00BB4554" w:rsidRPr="00BB45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B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V</w:t>
      </w:r>
      <w:r w:rsidR="00BB4554" w:rsidRPr="00BB45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B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>(SO</w:t>
      </w:r>
      <w:r w:rsidR="00BB4554" w:rsidRPr="00BB45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B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B4554" w:rsidRPr="00BB45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BB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</w:t>
      </w:r>
      <w:r w:rsidR="00BB4554" w:rsidRPr="00BB45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B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BB4554" w:rsidRPr="00BB45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BB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27DB" w:rsidRP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hydrate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B27DB" w:rsidRPr="001E1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not in 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anhydrous form. Taking into account this hydration degree might change the vanadium concentration limit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VRFB 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occurrence of precipitation </w:t>
      </w:r>
      <w:r w:rsidR="00AB27DB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are currently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calculated 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r w:rsidR="00B05242" w:rsidRPr="00C92B5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literature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B0524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anhydrous fo</w:t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rm </w:t>
      </w:r>
      <w:r w:rsidR="00BE6D83">
        <w:rPr>
          <w:rStyle w:val="Appelnotedebasdep"/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676A71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10.1016/j.jechem.2018.04.007","ISSN":"20954956","author":[{"dropping-particle":"","family":"Cao","given":"Liuyue","non-dropping-particle":"","parse-names":false,"suffix":""},{"dropping-particle":"","family":"Skyllas-Kazacos","given":"Maria","non-dropping-particle":"","parse-names":false,"suffix":""},{"dropping-particle":"","family":"Menictas","given":"Chris","non-dropping-particle":"","parse-names":false,"suffix":""},{"dropping-particle":"","family":"Noack","given":"Jens","non-dropping-particle":"","parse-names":false,"suffix":""}],"container-title":"Journal of Energy Chemistry","id":"ITEM-1","issue":"5","issued":{"date-parts":[["2018","9"]]},"page":"1269-1291","title":"A review of electrolyte additives and impurities in vanadium redox flow batteries","type":"article-journal","volume":"27"},"uris":["http://www.mendeley.com/documents/?uuid=081747b2-2d69-435e-b8ba-964bd741bcfb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BE6D83">
        <w:rPr>
          <w:rStyle w:val="Appelnotedebasdep"/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E6D83" w:rsidRPr="00792AC0">
        <w:rPr>
          <w:rFonts w:asciiTheme="minorHAnsi" w:eastAsia="MS PGothic" w:hAnsiTheme="minorHAnsi"/>
          <w:bCs/>
          <w:noProof/>
          <w:color w:val="000000"/>
          <w:sz w:val="22"/>
          <w:szCs w:val="22"/>
          <w:lang w:val="en-US"/>
        </w:rPr>
        <w:t>[1]</w:t>
      </w:r>
      <w:r w:rsidR="00BE6D83">
        <w:rPr>
          <w:rStyle w:val="Appelnotedebasdep"/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736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5CCE164" w14:textId="77777777" w:rsidR="00704BDF" w:rsidRPr="009D13E7" w:rsidRDefault="001E1CD6" w:rsidP="009D13E7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3FEF70ED" w14:textId="36357275" w:rsidR="00676A71" w:rsidRPr="00676A71" w:rsidRDefault="00FC141A" w:rsidP="00676A71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alibri" w:hAnsi="Calibri" w:cs="Calibri"/>
          <w:noProof/>
          <w:sz w:val="22"/>
          <w:szCs w:val="24"/>
        </w:rPr>
      </w:pPr>
      <w:r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ADDIN Mendeley Bibliography CSL_BIBLIOGRAPHY </w:instrText>
      </w:r>
      <w:r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676A71" w:rsidRPr="00676A71">
        <w:rPr>
          <w:rFonts w:ascii="Calibri" w:hAnsi="Calibri" w:cs="Calibri"/>
          <w:noProof/>
          <w:sz w:val="22"/>
          <w:szCs w:val="24"/>
        </w:rPr>
        <w:t>[1]</w:t>
      </w:r>
      <w:r w:rsidR="00676A71" w:rsidRPr="00676A71">
        <w:rPr>
          <w:rFonts w:ascii="Calibri" w:hAnsi="Calibri" w:cs="Calibri"/>
          <w:noProof/>
          <w:sz w:val="22"/>
          <w:szCs w:val="24"/>
        </w:rPr>
        <w:tab/>
        <w:t>L. Cao, M. Skyllas-</w:t>
      </w:r>
      <w:r w:rsidR="00676A71">
        <w:rPr>
          <w:rFonts w:ascii="Calibri" w:hAnsi="Calibri" w:cs="Calibri"/>
          <w:noProof/>
          <w:sz w:val="22"/>
          <w:szCs w:val="24"/>
        </w:rPr>
        <w:t>Kazacos, C. Menictas, J. Noack</w:t>
      </w:r>
      <w:r w:rsidR="00676A71" w:rsidRPr="00676A71">
        <w:rPr>
          <w:rFonts w:ascii="Calibri" w:hAnsi="Calibri" w:cs="Calibri"/>
          <w:noProof/>
          <w:sz w:val="22"/>
          <w:szCs w:val="24"/>
        </w:rPr>
        <w:t>, J. E</w:t>
      </w:r>
      <w:r w:rsidR="002A6819">
        <w:rPr>
          <w:rFonts w:ascii="Calibri" w:hAnsi="Calibri" w:cs="Calibri"/>
          <w:noProof/>
          <w:sz w:val="22"/>
          <w:szCs w:val="24"/>
        </w:rPr>
        <w:t>nergy Chem. 27 (2018) 1269–1291</w:t>
      </w:r>
      <w:r w:rsidR="00676A71" w:rsidRPr="00676A71">
        <w:rPr>
          <w:rFonts w:ascii="Calibri" w:hAnsi="Calibri" w:cs="Calibri"/>
          <w:noProof/>
          <w:sz w:val="22"/>
          <w:szCs w:val="24"/>
        </w:rPr>
        <w:t>.</w:t>
      </w:r>
    </w:p>
    <w:p w14:paraId="30F7D09B" w14:textId="1FCC1294" w:rsidR="00704BDF" w:rsidRPr="00704BDF" w:rsidRDefault="00676A71" w:rsidP="0028003A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76A71">
        <w:rPr>
          <w:rFonts w:ascii="Calibri" w:hAnsi="Calibri" w:cs="Calibri"/>
          <w:noProof/>
          <w:sz w:val="22"/>
          <w:szCs w:val="24"/>
        </w:rPr>
        <w:t>[2]</w:t>
      </w:r>
      <w:r w:rsidRPr="00676A71"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 xml:space="preserve">F. Rahman, M. Skyllas-Kazacos, </w:t>
      </w:r>
      <w:r w:rsidRPr="00676A71">
        <w:rPr>
          <w:rFonts w:ascii="Calibri" w:hAnsi="Calibri" w:cs="Calibri"/>
          <w:noProof/>
          <w:sz w:val="22"/>
          <w:szCs w:val="24"/>
        </w:rPr>
        <w:t>J. Power</w:t>
      </w:r>
      <w:r w:rsidR="002A6819">
        <w:rPr>
          <w:rFonts w:ascii="Calibri" w:hAnsi="Calibri" w:cs="Calibri"/>
          <w:noProof/>
          <w:sz w:val="22"/>
          <w:szCs w:val="24"/>
        </w:rPr>
        <w:t xml:space="preserve"> Sources. 189 (2009) 1212–1219</w:t>
      </w:r>
      <w:r w:rsidRPr="00676A71">
        <w:rPr>
          <w:rFonts w:ascii="Calibri" w:hAnsi="Calibri" w:cs="Calibri"/>
          <w:noProof/>
          <w:sz w:val="22"/>
          <w:szCs w:val="24"/>
        </w:rPr>
        <w:t>.</w:t>
      </w:r>
      <w:r w:rsidR="00FC141A" w:rsidRPr="005516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</w:p>
    <w:sectPr w:rsidR="00704BDF" w:rsidRPr="00704BD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7ADE3" w16cid:durableId="1FE82E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FE25" w14:textId="77777777" w:rsidR="009E6414" w:rsidRDefault="009E6414" w:rsidP="004F5E36">
      <w:r>
        <w:separator/>
      </w:r>
    </w:p>
  </w:endnote>
  <w:endnote w:type="continuationSeparator" w:id="0">
    <w:p w14:paraId="32FC3F8B" w14:textId="77777777" w:rsidR="009E6414" w:rsidRDefault="009E641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EF5D9" w14:textId="77777777" w:rsidR="009E6414" w:rsidRDefault="009E6414" w:rsidP="004F5E36">
      <w:r>
        <w:separator/>
      </w:r>
    </w:p>
  </w:footnote>
  <w:footnote w:type="continuationSeparator" w:id="0">
    <w:p w14:paraId="703B82C9" w14:textId="77777777" w:rsidR="009E6414" w:rsidRDefault="009E641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C1D7" w14:textId="77777777"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A4952E" wp14:editId="34FBC3C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99185E0" wp14:editId="1EC9B62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BF0E" w14:textId="77777777"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B5D8621" wp14:editId="0DEF6DE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5827266" w14:textId="77777777"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14:paraId="686B85B3" w14:textId="77777777" w:rsidR="005D0FAF" w:rsidRPr="00047DFD" w:rsidRDefault="00C2112F" w:rsidP="00047DFD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</w:t>
    </w:r>
    <w:r w:rsidR="00047DFD" w:rsidRPr="00047DFD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fundamentals and industrial processes</w:t>
    </w:r>
  </w:p>
  <w:p w14:paraId="7FF50B46" w14:textId="77777777" w:rsidR="00704BDF" w:rsidRDefault="00704BDF" w:rsidP="005D0FAF">
    <w:pPr>
      <w:ind w:left="-426" w:right="-285"/>
      <w:jc w:val="cen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88040" wp14:editId="1F3CF3B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2NjO1NDIxMDS1MDVR0lEKTi0uzszPAymwrAUAVJHfIywAAAA="/>
  </w:docVars>
  <w:rsids>
    <w:rsidRoot w:val="000E414A"/>
    <w:rsid w:val="000027C0"/>
    <w:rsid w:val="000117CB"/>
    <w:rsid w:val="000239B9"/>
    <w:rsid w:val="0003148D"/>
    <w:rsid w:val="00042C1E"/>
    <w:rsid w:val="00047DFD"/>
    <w:rsid w:val="000558FC"/>
    <w:rsid w:val="00060188"/>
    <w:rsid w:val="00061932"/>
    <w:rsid w:val="00062A9A"/>
    <w:rsid w:val="0007509A"/>
    <w:rsid w:val="000A03B2"/>
    <w:rsid w:val="000A5F2A"/>
    <w:rsid w:val="000A7925"/>
    <w:rsid w:val="000B1CAA"/>
    <w:rsid w:val="000D34BE"/>
    <w:rsid w:val="000E36F1"/>
    <w:rsid w:val="000E3A73"/>
    <w:rsid w:val="000E414A"/>
    <w:rsid w:val="0013121F"/>
    <w:rsid w:val="00132463"/>
    <w:rsid w:val="00134DE4"/>
    <w:rsid w:val="00150E59"/>
    <w:rsid w:val="00180FD9"/>
    <w:rsid w:val="00184AD6"/>
    <w:rsid w:val="00185E7F"/>
    <w:rsid w:val="001A5348"/>
    <w:rsid w:val="001B65C1"/>
    <w:rsid w:val="001C684B"/>
    <w:rsid w:val="001D53FC"/>
    <w:rsid w:val="001E1CD6"/>
    <w:rsid w:val="001F2EC7"/>
    <w:rsid w:val="002065DB"/>
    <w:rsid w:val="0023119B"/>
    <w:rsid w:val="002447EF"/>
    <w:rsid w:val="00247EC9"/>
    <w:rsid w:val="00251550"/>
    <w:rsid w:val="0027221A"/>
    <w:rsid w:val="00275B61"/>
    <w:rsid w:val="0028003A"/>
    <w:rsid w:val="002A2CDD"/>
    <w:rsid w:val="002A3FB7"/>
    <w:rsid w:val="002A6819"/>
    <w:rsid w:val="002C58BE"/>
    <w:rsid w:val="002D1F12"/>
    <w:rsid w:val="002F4051"/>
    <w:rsid w:val="003009B7"/>
    <w:rsid w:val="0030469C"/>
    <w:rsid w:val="00340DFA"/>
    <w:rsid w:val="00352486"/>
    <w:rsid w:val="0036661C"/>
    <w:rsid w:val="003723D4"/>
    <w:rsid w:val="003740E7"/>
    <w:rsid w:val="00381276"/>
    <w:rsid w:val="00382119"/>
    <w:rsid w:val="003862A4"/>
    <w:rsid w:val="003A335E"/>
    <w:rsid w:val="003A7D1C"/>
    <w:rsid w:val="003B0A5D"/>
    <w:rsid w:val="003B2120"/>
    <w:rsid w:val="003C7AC2"/>
    <w:rsid w:val="003D6731"/>
    <w:rsid w:val="003E649F"/>
    <w:rsid w:val="003F34C1"/>
    <w:rsid w:val="004063AA"/>
    <w:rsid w:val="00437AC0"/>
    <w:rsid w:val="004516A9"/>
    <w:rsid w:val="0046164A"/>
    <w:rsid w:val="00462DCD"/>
    <w:rsid w:val="004D0B17"/>
    <w:rsid w:val="004D0E20"/>
    <w:rsid w:val="004D1162"/>
    <w:rsid w:val="004E4DD6"/>
    <w:rsid w:val="004F344A"/>
    <w:rsid w:val="004F5E36"/>
    <w:rsid w:val="005119A5"/>
    <w:rsid w:val="005278B7"/>
    <w:rsid w:val="005346C8"/>
    <w:rsid w:val="005516C8"/>
    <w:rsid w:val="00585441"/>
    <w:rsid w:val="00590576"/>
    <w:rsid w:val="00594E9F"/>
    <w:rsid w:val="005A082C"/>
    <w:rsid w:val="005A6BB8"/>
    <w:rsid w:val="005B61E6"/>
    <w:rsid w:val="005C2E77"/>
    <w:rsid w:val="005C77E1"/>
    <w:rsid w:val="005D0FAF"/>
    <w:rsid w:val="005D6A2F"/>
    <w:rsid w:val="005E1A82"/>
    <w:rsid w:val="005F0A28"/>
    <w:rsid w:val="005F0E5E"/>
    <w:rsid w:val="005F5D61"/>
    <w:rsid w:val="00600452"/>
    <w:rsid w:val="006009B0"/>
    <w:rsid w:val="00610F5D"/>
    <w:rsid w:val="00620DEE"/>
    <w:rsid w:val="00625639"/>
    <w:rsid w:val="0064184D"/>
    <w:rsid w:val="00660E3E"/>
    <w:rsid w:val="00662E74"/>
    <w:rsid w:val="00676A71"/>
    <w:rsid w:val="006A58D2"/>
    <w:rsid w:val="006C5579"/>
    <w:rsid w:val="006D0DDC"/>
    <w:rsid w:val="006E3881"/>
    <w:rsid w:val="00704BDF"/>
    <w:rsid w:val="0072290B"/>
    <w:rsid w:val="007362D2"/>
    <w:rsid w:val="00736B13"/>
    <w:rsid w:val="007415F5"/>
    <w:rsid w:val="00742A5C"/>
    <w:rsid w:val="007447F3"/>
    <w:rsid w:val="007460F4"/>
    <w:rsid w:val="007661C8"/>
    <w:rsid w:val="00792AC0"/>
    <w:rsid w:val="00797A06"/>
    <w:rsid w:val="007A5509"/>
    <w:rsid w:val="007A729C"/>
    <w:rsid w:val="007D52CD"/>
    <w:rsid w:val="007E6153"/>
    <w:rsid w:val="007F1A11"/>
    <w:rsid w:val="00812DAA"/>
    <w:rsid w:val="00813288"/>
    <w:rsid w:val="008168FC"/>
    <w:rsid w:val="00816D8D"/>
    <w:rsid w:val="00845645"/>
    <w:rsid w:val="008479A2"/>
    <w:rsid w:val="00864181"/>
    <w:rsid w:val="0087637F"/>
    <w:rsid w:val="00886851"/>
    <w:rsid w:val="008A1512"/>
    <w:rsid w:val="008C2135"/>
    <w:rsid w:val="008D0BEB"/>
    <w:rsid w:val="008D2987"/>
    <w:rsid w:val="008E566E"/>
    <w:rsid w:val="009018ED"/>
    <w:rsid w:val="00901EB6"/>
    <w:rsid w:val="00933118"/>
    <w:rsid w:val="009450CE"/>
    <w:rsid w:val="0095164B"/>
    <w:rsid w:val="00996483"/>
    <w:rsid w:val="009A43FC"/>
    <w:rsid w:val="009A5887"/>
    <w:rsid w:val="009B7835"/>
    <w:rsid w:val="009C67DA"/>
    <w:rsid w:val="009D13E7"/>
    <w:rsid w:val="009D2CCB"/>
    <w:rsid w:val="009D405D"/>
    <w:rsid w:val="009E0437"/>
    <w:rsid w:val="009E0EB6"/>
    <w:rsid w:val="009E6414"/>
    <w:rsid w:val="009E788A"/>
    <w:rsid w:val="009F74C4"/>
    <w:rsid w:val="00A1763D"/>
    <w:rsid w:val="00A17CEC"/>
    <w:rsid w:val="00A27EF0"/>
    <w:rsid w:val="00A41C86"/>
    <w:rsid w:val="00A76EFC"/>
    <w:rsid w:val="00A95F01"/>
    <w:rsid w:val="00A9626B"/>
    <w:rsid w:val="00A97C1D"/>
    <w:rsid w:val="00A97F29"/>
    <w:rsid w:val="00AB0964"/>
    <w:rsid w:val="00AB27DB"/>
    <w:rsid w:val="00AE377D"/>
    <w:rsid w:val="00B05242"/>
    <w:rsid w:val="00B1489A"/>
    <w:rsid w:val="00B61DBF"/>
    <w:rsid w:val="00B71BCD"/>
    <w:rsid w:val="00B7495D"/>
    <w:rsid w:val="00BB4554"/>
    <w:rsid w:val="00BC30C9"/>
    <w:rsid w:val="00BC39CC"/>
    <w:rsid w:val="00BC4302"/>
    <w:rsid w:val="00BE3E58"/>
    <w:rsid w:val="00BE6D83"/>
    <w:rsid w:val="00C01616"/>
    <w:rsid w:val="00C0162B"/>
    <w:rsid w:val="00C2112F"/>
    <w:rsid w:val="00C345B1"/>
    <w:rsid w:val="00C40142"/>
    <w:rsid w:val="00C57182"/>
    <w:rsid w:val="00C655FD"/>
    <w:rsid w:val="00C867B1"/>
    <w:rsid w:val="00C9036F"/>
    <w:rsid w:val="00C92B54"/>
    <w:rsid w:val="00C94434"/>
    <w:rsid w:val="00CA1C95"/>
    <w:rsid w:val="00CA5A9C"/>
    <w:rsid w:val="00CC143E"/>
    <w:rsid w:val="00CD5FE2"/>
    <w:rsid w:val="00CD6500"/>
    <w:rsid w:val="00CF4278"/>
    <w:rsid w:val="00D02B4C"/>
    <w:rsid w:val="00D113CB"/>
    <w:rsid w:val="00D46784"/>
    <w:rsid w:val="00D50C4B"/>
    <w:rsid w:val="00D7756E"/>
    <w:rsid w:val="00D84576"/>
    <w:rsid w:val="00D92A23"/>
    <w:rsid w:val="00DC15AB"/>
    <w:rsid w:val="00DC2C6F"/>
    <w:rsid w:val="00DD40EB"/>
    <w:rsid w:val="00DE0019"/>
    <w:rsid w:val="00DE264A"/>
    <w:rsid w:val="00E041E7"/>
    <w:rsid w:val="00E1297F"/>
    <w:rsid w:val="00E23CA1"/>
    <w:rsid w:val="00E409A8"/>
    <w:rsid w:val="00E626BF"/>
    <w:rsid w:val="00E7209D"/>
    <w:rsid w:val="00EA50E1"/>
    <w:rsid w:val="00EE0131"/>
    <w:rsid w:val="00EE08A9"/>
    <w:rsid w:val="00F30C64"/>
    <w:rsid w:val="00F5087D"/>
    <w:rsid w:val="00F51664"/>
    <w:rsid w:val="00F8347C"/>
    <w:rsid w:val="00F861DF"/>
    <w:rsid w:val="00FA4C52"/>
    <w:rsid w:val="00FB730C"/>
    <w:rsid w:val="00FC141A"/>
    <w:rsid w:val="00FC2695"/>
    <w:rsid w:val="00FC3E03"/>
    <w:rsid w:val="00FE335B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754D1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FC141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2F40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7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AB23-68F8-483F-87D5-FCBF29DB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1438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Waldemir Moura Carvalho Junior</cp:lastModifiedBy>
  <cp:revision>3</cp:revision>
  <cp:lastPrinted>2015-05-12T18:31:00Z</cp:lastPrinted>
  <dcterms:created xsi:type="dcterms:W3CDTF">2019-01-15T12:46:00Z</dcterms:created>
  <dcterms:modified xsi:type="dcterms:W3CDTF">2019-01-15T12:59:00Z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http://www.zotero.org/styles/advanced-organic-chemistry-letters</vt:lpwstr>
  </property>
  <property fmtid="{D5CDD505-2E9C-101B-9397-08002B2CF9AE}" pid="3" name="Mendeley Recent Style Name 0_1">
    <vt:lpwstr>Advanced Organic Chemistry Letters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http://www.zotero.org/styles/applied-physics-letters</vt:lpwstr>
  </property>
  <property fmtid="{D5CDD505-2E9C-101B-9397-08002B2CF9AE}" pid="9" name="Mendeley Recent Style Name 3_1">
    <vt:lpwstr>Applied Physics Letters</vt:lpwstr>
  </property>
  <property fmtid="{D5CDD505-2E9C-101B-9397-08002B2CF9AE}" pid="10" name="Mendeley Recent Style Id 4_1">
    <vt:lpwstr>http://www.zotero.org/styles/chemical-physics-letters</vt:lpwstr>
  </property>
  <property fmtid="{D5CDD505-2E9C-101B-9397-08002B2CF9AE}" pid="11" name="Mendeley Recent Style Name 4_1">
    <vt:lpwstr>Chemical Physics Letters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http://www.zotero.org/styles/the-journal-of-physical-chemistry-letters</vt:lpwstr>
  </property>
  <property fmtid="{D5CDD505-2E9C-101B-9397-08002B2CF9AE}" pid="21" name="Mendeley Recent Style Name 9_1">
    <vt:lpwstr>The Journal of Physical Chemistry Letters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eee680a6-01b9-3aff-a56b-2cac7cf4d8de</vt:lpwstr>
  </property>
  <property fmtid="{D5CDD505-2E9C-101B-9397-08002B2CF9AE}" pid="24" name="Mendeley Citation Style_1">
    <vt:lpwstr>http://www.zotero.org/styles/chemical-physics-letters</vt:lpwstr>
  </property>
</Properties>
</file>