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3B2" w:rsidRPr="003F0D80" w:rsidRDefault="000A03B2" w:rsidP="00704BDF">
      <w:pPr>
        <w:pStyle w:val="CETAuthors"/>
        <w:tabs>
          <w:tab w:val="clear" w:pos="7100"/>
          <w:tab w:val="right" w:pos="9070"/>
        </w:tabs>
        <w:rPr>
          <w:lang w:val="fr-FR"/>
        </w:rPr>
        <w:sectPr w:rsidR="000A03B2" w:rsidRPr="003F0D80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A41422" w:rsidRDefault="004C50E7" w:rsidP="00672051">
      <w:pPr>
        <w:snapToGrid w:val="0"/>
        <w:spacing w:after="360" w:line="240" w:lineRule="auto"/>
        <w:rPr>
          <w:rFonts w:asciiTheme="minorHAnsi" w:eastAsia="MS PGothic" w:hAnsiTheme="minorHAnsi"/>
          <w:b/>
          <w:bCs/>
          <w:sz w:val="28"/>
          <w:szCs w:val="28"/>
          <w:lang w:val="en-US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Generating maximal mass transfer in </w:t>
      </w:r>
      <w:r w:rsidR="00C860C6">
        <w:rPr>
          <w:rFonts w:asciiTheme="minorHAnsi" w:eastAsia="MS PGothic" w:hAnsiTheme="minorHAnsi"/>
          <w:b/>
          <w:bCs/>
          <w:sz w:val="28"/>
          <w:szCs w:val="28"/>
          <w:lang w:val="en-US"/>
        </w:rPr>
        <w:t>h</w:t>
      </w:r>
      <w:r w:rsidR="00A65BA3" w:rsidRPr="00A65BA3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ighly </w:t>
      </w:r>
      <w:r w:rsidR="00672051">
        <w:rPr>
          <w:rFonts w:asciiTheme="minorHAnsi" w:eastAsia="MS PGothic" w:hAnsiTheme="minorHAnsi"/>
          <w:b/>
          <w:bCs/>
          <w:sz w:val="28"/>
          <w:szCs w:val="28"/>
          <w:lang w:val="en-US"/>
        </w:rPr>
        <w:t>c</w:t>
      </w:r>
      <w:r w:rsidR="00A65BA3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urved </w:t>
      </w:r>
      <w:r w:rsidR="00A41422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helical hollow </w:t>
      </w:r>
      <w:r w:rsidR="00076356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fiber </w:t>
      </w:r>
      <w:r w:rsidR="00A41422">
        <w:rPr>
          <w:rFonts w:asciiTheme="minorHAnsi" w:eastAsia="MS PGothic" w:hAnsiTheme="minorHAnsi"/>
          <w:b/>
          <w:bCs/>
          <w:sz w:val="28"/>
          <w:szCs w:val="28"/>
          <w:lang w:val="en-US"/>
        </w:rPr>
        <w:t>membrane</w:t>
      </w:r>
      <w:r w:rsidR="00076356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s: a CFD </w:t>
      </w:r>
      <w:r w:rsidR="005B5FC1">
        <w:rPr>
          <w:rFonts w:asciiTheme="minorHAnsi" w:eastAsia="MS PGothic" w:hAnsiTheme="minorHAnsi"/>
          <w:b/>
          <w:bCs/>
          <w:sz w:val="28"/>
          <w:szCs w:val="28"/>
          <w:lang w:val="en-US"/>
        </w:rPr>
        <w:t>study</w:t>
      </w:r>
      <w:r w:rsidR="005E2FED">
        <w:rPr>
          <w:rFonts w:asciiTheme="minorHAnsi" w:eastAsia="MS PGothic" w:hAnsiTheme="minorHAnsi"/>
          <w:b/>
          <w:bCs/>
          <w:sz w:val="28"/>
          <w:szCs w:val="28"/>
          <w:lang w:val="en-US"/>
        </w:rPr>
        <w:t>.</w:t>
      </w:r>
      <w:r w:rsidR="007D6474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</w:t>
      </w:r>
    </w:p>
    <w:p w:rsidR="00A41422" w:rsidRDefault="00C159B8" w:rsidP="00A5449D">
      <w:pPr>
        <w:snapToGrid w:val="0"/>
        <w:spacing w:after="360" w:line="240" w:lineRule="auto"/>
        <w:rPr>
          <w:rFonts w:asciiTheme="minorHAnsi" w:eastAsia="MS PGothic" w:hAnsiTheme="minorHAnsi"/>
          <w:b/>
          <w:bCs/>
          <w:sz w:val="28"/>
          <w:szCs w:val="28"/>
          <w:lang w:val="fr-FR"/>
        </w:rPr>
      </w:pPr>
      <w:proofErr w:type="spellStart"/>
      <w:r w:rsidRPr="00A41422">
        <w:rPr>
          <w:rFonts w:asciiTheme="minorHAnsi" w:eastAsia="SimSun" w:hAnsiTheme="minorHAnsi"/>
          <w:color w:val="000000"/>
          <w:sz w:val="24"/>
          <w:szCs w:val="24"/>
          <w:u w:val="single"/>
          <w:lang w:val="fr-FR" w:eastAsia="zh-CN"/>
        </w:rPr>
        <w:t>Omran</w:t>
      </w:r>
      <w:proofErr w:type="spellEnd"/>
      <w:r w:rsidRPr="00A41422">
        <w:rPr>
          <w:rFonts w:asciiTheme="minorHAnsi" w:eastAsia="SimSun" w:hAnsiTheme="minorHAnsi"/>
          <w:color w:val="000000"/>
          <w:sz w:val="24"/>
          <w:szCs w:val="24"/>
          <w:u w:val="single"/>
          <w:lang w:val="fr-FR" w:eastAsia="zh-CN"/>
        </w:rPr>
        <w:t xml:space="preserve"> </w:t>
      </w:r>
      <w:bookmarkStart w:id="0" w:name="_GoBack"/>
      <w:proofErr w:type="spellStart"/>
      <w:r w:rsidR="00407A5F">
        <w:rPr>
          <w:rFonts w:asciiTheme="minorHAnsi" w:eastAsia="SimSun" w:hAnsiTheme="minorHAnsi"/>
          <w:color w:val="000000"/>
          <w:sz w:val="24"/>
          <w:szCs w:val="24"/>
          <w:u w:val="single"/>
          <w:lang w:val="fr-FR" w:eastAsia="zh-CN"/>
        </w:rPr>
        <w:t>A</w:t>
      </w:r>
      <w:r w:rsidRPr="00A41422">
        <w:rPr>
          <w:rFonts w:asciiTheme="minorHAnsi" w:eastAsia="SimSun" w:hAnsiTheme="minorHAnsi"/>
          <w:color w:val="000000"/>
          <w:sz w:val="24"/>
          <w:szCs w:val="24"/>
          <w:u w:val="single"/>
          <w:lang w:val="fr-FR" w:eastAsia="zh-CN"/>
        </w:rPr>
        <w:t>bushammala</w:t>
      </w:r>
      <w:bookmarkEnd w:id="0"/>
      <w:proofErr w:type="spellEnd"/>
      <w:r w:rsidR="00286EDB" w:rsidRPr="00A41422">
        <w:rPr>
          <w:rFonts w:asciiTheme="minorHAnsi" w:eastAsia="MS PGothic" w:hAnsiTheme="minorHAnsi"/>
          <w:bCs/>
          <w:i/>
          <w:iCs/>
          <w:color w:val="000000"/>
          <w:sz w:val="20"/>
          <w:lang w:val="fr-FR"/>
        </w:rPr>
        <w:t>*</w:t>
      </w:r>
      <w:r w:rsidR="00704BDF" w:rsidRPr="0010760B">
        <w:rPr>
          <w:rFonts w:asciiTheme="minorHAnsi" w:eastAsia="SimSun" w:hAnsiTheme="minorHAnsi"/>
          <w:color w:val="000000"/>
          <w:sz w:val="24"/>
          <w:szCs w:val="24"/>
          <w:vertAlign w:val="superscript"/>
          <w:lang w:val="fr-FR" w:eastAsia="zh-CN"/>
        </w:rPr>
        <w:t>1</w:t>
      </w:r>
      <w:r w:rsidR="00736B13" w:rsidRPr="00A41422"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 xml:space="preserve">, </w:t>
      </w:r>
      <w:r w:rsidR="00BF71A0" w:rsidRPr="00A41422"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 xml:space="preserve">Rainier </w:t>
      </w:r>
      <w:proofErr w:type="spellStart"/>
      <w:r w:rsidR="00BF71A0" w:rsidRPr="00A41422"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>Hreiz</w:t>
      </w:r>
      <w:r w:rsidR="007A3E5B" w:rsidRPr="0010760B">
        <w:rPr>
          <w:rFonts w:asciiTheme="minorHAnsi" w:eastAsia="SimSun" w:hAnsiTheme="minorHAnsi"/>
          <w:color w:val="000000"/>
          <w:sz w:val="24"/>
          <w:szCs w:val="24"/>
          <w:vertAlign w:val="superscript"/>
          <w:lang w:val="fr-FR" w:eastAsia="zh-CN"/>
        </w:rPr>
        <w:t>1</w:t>
      </w:r>
      <w:proofErr w:type="spellEnd"/>
      <w:r w:rsidR="00BF71A0" w:rsidRPr="00A41422"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>, Cécile Lemaître</w:t>
      </w:r>
      <w:r w:rsidR="007A3E5B" w:rsidRPr="0010760B">
        <w:rPr>
          <w:rFonts w:asciiTheme="minorHAnsi" w:eastAsia="SimSun" w:hAnsiTheme="minorHAnsi"/>
          <w:color w:val="000000"/>
          <w:sz w:val="24"/>
          <w:szCs w:val="24"/>
          <w:vertAlign w:val="superscript"/>
          <w:lang w:val="fr-FR" w:eastAsia="zh-CN"/>
        </w:rPr>
        <w:t>1</w:t>
      </w:r>
      <w:r w:rsidR="00BF71A0" w:rsidRPr="00A41422"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>, Éric Favre</w:t>
      </w:r>
      <w:r w:rsidR="007A3E5B" w:rsidRPr="0010760B">
        <w:rPr>
          <w:rFonts w:asciiTheme="minorHAnsi" w:eastAsia="SimSun" w:hAnsiTheme="minorHAnsi"/>
          <w:color w:val="000000"/>
          <w:sz w:val="24"/>
          <w:szCs w:val="24"/>
          <w:vertAlign w:val="superscript"/>
          <w:lang w:val="fr-FR" w:eastAsia="zh-CN"/>
        </w:rPr>
        <w:t>1</w:t>
      </w:r>
    </w:p>
    <w:p w:rsidR="00286EDB" w:rsidRPr="00A41422" w:rsidRDefault="009E0C32" w:rsidP="00776306">
      <w:pPr>
        <w:snapToGrid w:val="0"/>
        <w:spacing w:after="360" w:line="240" w:lineRule="auto"/>
        <w:rPr>
          <w:rFonts w:asciiTheme="minorHAnsi" w:eastAsia="MS PGothic" w:hAnsiTheme="minorHAnsi"/>
          <w:b/>
          <w:bCs/>
          <w:sz w:val="28"/>
          <w:szCs w:val="28"/>
          <w:lang w:val="fr-FR"/>
        </w:rPr>
      </w:pPr>
      <w:r w:rsidRPr="0010760B">
        <w:rPr>
          <w:rFonts w:asciiTheme="minorHAnsi" w:eastAsia="SimSun" w:hAnsiTheme="minorHAnsi"/>
          <w:color w:val="000000"/>
          <w:sz w:val="24"/>
          <w:szCs w:val="24"/>
          <w:vertAlign w:val="superscript"/>
          <w:lang w:val="fr-FR" w:eastAsia="zh-CN"/>
        </w:rPr>
        <w:t>1</w:t>
      </w:r>
      <w:r w:rsidR="00286EDB" w:rsidRPr="00286EDB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>Laboratoire Réactions et Génie des Procédés, Université de Lorraine, CNRS, LRGP, F-54000 Nancy, France.</w:t>
      </w:r>
    </w:p>
    <w:p w:rsidR="00286EDB" w:rsidRPr="00286EDB" w:rsidRDefault="00704BDF" w:rsidP="00776306">
      <w:pPr>
        <w:snapToGrid w:val="0"/>
        <w:spacing w:after="120" w:line="240" w:lineRule="auto"/>
        <w:jc w:val="center"/>
        <w:rPr>
          <w:rFonts w:asciiTheme="minorHAnsi" w:eastAsia="MS PGothic" w:hAnsiTheme="minorHAnsi"/>
          <w:i/>
          <w:iCs/>
          <w:color w:val="000000"/>
          <w:sz w:val="20"/>
          <w:lang w:val="fr-FR"/>
        </w:rPr>
      </w:pPr>
      <w:r w:rsidRPr="00286EDB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 xml:space="preserve"> </w:t>
      </w:r>
      <w:hyperlink r:id="rId10" w:history="1">
        <w:r w:rsidR="00286EDB" w:rsidRPr="00286EDB">
          <w:rPr>
            <w:rFonts w:asciiTheme="minorHAnsi" w:eastAsia="MS PGothic" w:hAnsiTheme="minorHAnsi"/>
            <w:i/>
            <w:iCs/>
            <w:color w:val="000000"/>
            <w:sz w:val="20"/>
            <w:lang w:val="fr-FR"/>
          </w:rPr>
          <w:t>Omran.abushammala@univ-lorraine.fr</w:t>
        </w:r>
      </w:hyperlink>
    </w:p>
    <w:p w:rsidR="00704BDF" w:rsidRPr="004B28AA" w:rsidRDefault="00704BDF" w:rsidP="00286EDB">
      <w:pPr>
        <w:snapToGrid w:val="0"/>
        <w:spacing w:after="120"/>
        <w:rPr>
          <w:rFonts w:asciiTheme="minorHAnsi" w:hAnsiTheme="minorHAnsi"/>
          <w:b/>
          <w:lang w:val="fr-FR"/>
        </w:rPr>
      </w:pPr>
      <w:r w:rsidRPr="004B28AA">
        <w:rPr>
          <w:rFonts w:asciiTheme="minorHAnsi" w:hAnsiTheme="minorHAnsi"/>
          <w:b/>
          <w:lang w:val="fr-FR"/>
        </w:rPr>
        <w:t>Highlights</w:t>
      </w:r>
    </w:p>
    <w:p w:rsidR="00407A5F" w:rsidRDefault="00407A5F" w:rsidP="009E31B4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407A5F">
        <w:rPr>
          <w:rFonts w:asciiTheme="minorHAnsi" w:hAnsiTheme="minorHAnsi"/>
        </w:rPr>
        <w:t xml:space="preserve">CFD investigation of mass transfer in </w:t>
      </w:r>
      <w:r w:rsidR="006956A6">
        <w:rPr>
          <w:rFonts w:asciiTheme="minorHAnsi" w:hAnsiTheme="minorHAnsi"/>
        </w:rPr>
        <w:t>hollow fiber</w:t>
      </w:r>
      <w:r w:rsidRPr="00407A5F">
        <w:rPr>
          <w:rFonts w:asciiTheme="minorHAnsi" w:hAnsiTheme="minorHAnsi"/>
        </w:rPr>
        <w:t xml:space="preserve"> membranes of helical geometry</w:t>
      </w:r>
    </w:p>
    <w:p w:rsidR="00543C0F" w:rsidRPr="00543C0F" w:rsidRDefault="00543C0F" w:rsidP="00543C0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The mass transfer efficiency is positively correlated to the helix curvature</w:t>
      </w:r>
    </w:p>
    <w:p w:rsidR="003634C1" w:rsidRPr="00543C0F" w:rsidRDefault="00543C0F" w:rsidP="00543C0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543C0F">
        <w:rPr>
          <w:rFonts w:asciiTheme="minorHAnsi" w:eastAsia="MS PGothic" w:hAnsiTheme="minorHAnsi"/>
          <w:color w:val="000000"/>
        </w:rPr>
        <w:t xml:space="preserve">Mass transfer </w:t>
      </w:r>
      <w:r>
        <w:rPr>
          <w:rFonts w:asciiTheme="minorHAnsi" w:eastAsia="MS PGothic" w:hAnsiTheme="minorHAnsi"/>
          <w:color w:val="000000"/>
        </w:rPr>
        <w:t xml:space="preserve">in </w:t>
      </w:r>
      <w:r w:rsidRPr="00543C0F">
        <w:rPr>
          <w:rFonts w:asciiTheme="minorHAnsi" w:eastAsia="MS PGothic" w:hAnsiTheme="minorHAnsi"/>
          <w:color w:val="000000"/>
        </w:rPr>
        <w:t>high</w:t>
      </w:r>
      <w:r>
        <w:rPr>
          <w:rFonts w:asciiTheme="minorHAnsi" w:eastAsia="MS PGothic" w:hAnsiTheme="minorHAnsi"/>
          <w:color w:val="000000"/>
        </w:rPr>
        <w:t>ly</w:t>
      </w:r>
      <w:r w:rsidRPr="00543C0F">
        <w:rPr>
          <w:rFonts w:asciiTheme="minorHAnsi" w:eastAsia="MS PGothic" w:hAnsiTheme="minorHAnsi"/>
          <w:color w:val="000000"/>
        </w:rPr>
        <w:t xml:space="preserve"> curved heli</w:t>
      </w:r>
      <w:r>
        <w:rPr>
          <w:rFonts w:asciiTheme="minorHAnsi" w:eastAsia="MS PGothic" w:hAnsiTheme="minorHAnsi"/>
          <w:color w:val="000000"/>
        </w:rPr>
        <w:t>xes is up to</w:t>
      </w:r>
      <w:r w:rsidRPr="00543C0F">
        <w:rPr>
          <w:rFonts w:asciiTheme="minorHAnsi" w:eastAsia="MS PGothic" w:hAnsiTheme="minorHAnsi"/>
          <w:color w:val="000000"/>
        </w:rPr>
        <w:t xml:space="preserve"> </w:t>
      </w:r>
      <w:r>
        <w:rPr>
          <w:rFonts w:asciiTheme="minorHAnsi" w:eastAsia="MS PGothic" w:hAnsiTheme="minorHAnsi"/>
          <w:color w:val="000000"/>
        </w:rPr>
        <w:t>10</w:t>
      </w:r>
      <w:r w:rsidRPr="00543C0F">
        <w:rPr>
          <w:rFonts w:asciiTheme="minorHAnsi" w:eastAsia="MS PGothic" w:hAnsiTheme="minorHAnsi"/>
          <w:color w:val="000000"/>
        </w:rPr>
        <w:t xml:space="preserve"> times higher than </w:t>
      </w:r>
      <w:r>
        <w:rPr>
          <w:rFonts w:asciiTheme="minorHAnsi" w:eastAsia="MS PGothic" w:hAnsiTheme="minorHAnsi"/>
          <w:color w:val="000000"/>
        </w:rPr>
        <w:t xml:space="preserve">in </w:t>
      </w:r>
      <w:r w:rsidRPr="00543C0F">
        <w:rPr>
          <w:rFonts w:asciiTheme="minorHAnsi" w:eastAsia="MS PGothic" w:hAnsiTheme="minorHAnsi"/>
          <w:color w:val="000000"/>
        </w:rPr>
        <w:t>straight tubes</w:t>
      </w:r>
    </w:p>
    <w:p w:rsidR="00543C0F" w:rsidRDefault="00543C0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</w:p>
    <w:p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6300DC" w:rsidRDefault="00442CEF" w:rsidP="00DB0BB3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442CEF">
        <w:rPr>
          <w:rFonts w:asciiTheme="minorHAnsi" w:eastAsia="MS PGothic" w:hAnsiTheme="minorHAnsi"/>
          <w:color w:val="000000"/>
          <w:sz w:val="22"/>
          <w:szCs w:val="22"/>
          <w:lang w:val="en-US"/>
        </w:rPr>
        <w:t>Membrane separation is widely used for the separation of homogene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ous liquid or gaseous mixtures, </w:t>
      </w:r>
      <w:r w:rsidRPr="00442CEF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 is one of the most promising intensification technologies for g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as-liquid absorption processes.</w:t>
      </w:r>
      <w:r w:rsidR="0028035D" w:rsidRPr="0028035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design and operation of membrane modules have been the focus of many scientific researches aiming to improve the separation efficiency</w:t>
      </w:r>
      <w:r w:rsidR="00D60927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Pr="00442CE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</w:p>
    <w:p w:rsidR="006300DC" w:rsidRDefault="006300DC" w:rsidP="00DB0BB3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mass transfer in membrane modules can be intensified by using helical pipe geometries instead of classic straight membranes. </w:t>
      </w:r>
      <w:r w:rsidR="00CC7DF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Indeed, the hydrodynamics in helical geometries is characterized by the occurrence of secondary flows, called Dean vortices, which </w:t>
      </w:r>
      <w:r w:rsidR="001F17E6">
        <w:rPr>
          <w:rFonts w:asciiTheme="minorHAnsi" w:eastAsia="MS PGothic" w:hAnsiTheme="minorHAnsi"/>
          <w:color w:val="000000"/>
          <w:sz w:val="22"/>
          <w:szCs w:val="22"/>
          <w:lang w:val="en-US"/>
        </w:rPr>
        <w:t>considerably</w:t>
      </w:r>
      <w:r w:rsidR="00CC7DF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increase the mass transfer efficiency. </w:t>
      </w:r>
    </w:p>
    <w:p w:rsidR="00DB0BB3" w:rsidRDefault="005005BC" w:rsidP="00DB0BB3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3049270</wp:posOffset>
            </wp:positionH>
            <wp:positionV relativeFrom="paragraph">
              <wp:posOffset>421640</wp:posOffset>
            </wp:positionV>
            <wp:extent cx="2529205" cy="1422400"/>
            <wp:effectExtent l="0" t="0" r="0" b="0"/>
            <wp:wrapThrough wrapText="bothSides">
              <wp:wrapPolygon edited="0">
                <wp:start x="0" y="0"/>
                <wp:lineTo x="0" y="21407"/>
                <wp:lineTo x="21475" y="21407"/>
                <wp:lineTo x="21475" y="0"/>
                <wp:lineTo x="0" y="0"/>
              </wp:wrapPolygon>
            </wp:wrapThrough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gure1.t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9205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1364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3056890</wp:posOffset>
                </wp:positionH>
                <wp:positionV relativeFrom="paragraph">
                  <wp:posOffset>1887855</wp:posOffset>
                </wp:positionV>
                <wp:extent cx="2893060" cy="479425"/>
                <wp:effectExtent l="0" t="0" r="0" b="0"/>
                <wp:wrapSquare wrapText="bothSides"/>
                <wp:docPr id="8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93060" cy="4794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E76C9" w:rsidRPr="00605BD4" w:rsidRDefault="00BE76C9" w:rsidP="00CC7DFE">
                            <w:pPr>
                              <w:ind w:right="538"/>
                              <w:rPr>
                                <w:rFonts w:asciiTheme="minorHAnsi" w:hAnsiTheme="minorHAnsi" w:cstheme="minorHAnsi"/>
                                <w:noProof/>
                                <w:szCs w:val="18"/>
                                <w:lang w:val="en-US"/>
                              </w:rPr>
                            </w:pPr>
                            <w:r w:rsidRPr="00605BD4">
                              <w:rPr>
                                <w:rFonts w:asciiTheme="minorHAnsi" w:hAnsiTheme="minorHAnsi" w:cstheme="minorHAnsi"/>
                                <w:szCs w:val="18"/>
                                <w:lang w:val="en-US"/>
                              </w:rPr>
                              <w:t>Figure 1: Limits of the forbidden region in the (</w:t>
                            </w:r>
                            <m:oMath>
                              <m:sSubSup>
                                <m:sSubSupPr>
                                  <m:ctrlPr>
                                    <w:rPr>
                                      <w:rFonts w:ascii="Cambria Math" w:hAnsi="Cambria Math" w:cstheme="minorHAnsi"/>
                                      <w:szCs w:val="18"/>
                                      <w:lang w:val="en-US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  <w:szCs w:val="18"/>
                                      <w:lang w:val="en-US"/>
                                    </w:rPr>
                                    <m:t>R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HAnsi"/>
                                      <w:szCs w:val="18"/>
                                      <w:lang w:val="en-US"/>
                                    </w:rPr>
                                    <m:t>H</m:t>
                                  </m:r>
                                </m:sub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inorHAnsi"/>
                                      <w:szCs w:val="18"/>
                                      <w:lang w:val="en-US"/>
                                    </w:rPr>
                                    <m:t>*</m:t>
                                  </m:r>
                                </m:sup>
                              </m:sSubSup>
                            </m:oMath>
                            <w:r w:rsidRPr="00605BD4">
                              <w:rPr>
                                <w:rFonts w:asciiTheme="minorHAnsi" w:hAnsiTheme="minorHAnsi" w:cstheme="minorHAnsi"/>
                                <w:szCs w:val="18"/>
                                <w:lang w:val="en-US"/>
                              </w:rPr>
                              <w:t xml:space="preserve"> , p*) space (adapted from Przybył et.al [1]) and some representative helices.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240.7pt;margin-top:148.65pt;width:227.8pt;height:3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" stroked="f">
                <v:textbox inset="0,0,0,0">
                  <w:txbxContent>
                    <w:p w:rsidR="00BE76C9" w:rsidRPr="00605BD4" w:rsidRDefault="00BE76C9" w:rsidP="00CC7DFE">
                      <w:pPr>
                        <w:ind w:right="538"/>
                        <w:rPr>
                          <w:rFonts w:asciiTheme="minorHAnsi" w:hAnsiTheme="minorHAnsi" w:cstheme="minorHAnsi"/>
                          <w:noProof/>
                          <w:szCs w:val="18"/>
                          <w:lang w:val="en-US"/>
                        </w:rPr>
                      </w:pPr>
                      <w:r w:rsidRPr="00605BD4">
                        <w:rPr>
                          <w:rFonts w:asciiTheme="minorHAnsi" w:hAnsiTheme="minorHAnsi" w:cstheme="minorHAnsi"/>
                          <w:szCs w:val="18"/>
                          <w:lang w:val="en-US"/>
                        </w:rPr>
                        <w:t>Figure 1: Limits of the forbidden region in the (</w:t>
                      </w:r>
                      <m:oMath>
                        <m:sSubSup>
                          <m:sSubSupPr>
                            <m:ctrlPr>
                              <w:rPr>
                                <w:rFonts w:ascii="Cambria Math" w:hAnsi="Cambria Math" w:cstheme="minorHAnsi"/>
                                <w:szCs w:val="18"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inorHAnsi"/>
                                <w:szCs w:val="18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szCs w:val="18"/>
                                <w:lang w:val="en-US"/>
                              </w:rPr>
                              <m:t>H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szCs w:val="18"/>
                                <w:lang w:val="en-US"/>
                              </w:rPr>
                              <m:t>*</m:t>
                            </m:r>
                          </m:sup>
                        </m:sSubSup>
                      </m:oMath>
                      <w:r w:rsidRPr="00605BD4">
                        <w:rPr>
                          <w:rFonts w:asciiTheme="minorHAnsi" w:hAnsiTheme="minorHAnsi" w:cstheme="minorHAnsi"/>
                          <w:szCs w:val="18"/>
                          <w:lang w:val="en-US"/>
                        </w:rPr>
                        <w:t xml:space="preserve"> , p*) space (adapted from Przybył et.al [1]) and some representative helices.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D7202" w:rsidRPr="00D9582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present study addresses mass transfer in highly curved helical pipes, i.e. helical geometries with small helical radius and pitch. </w:t>
      </w:r>
      <w:r w:rsidR="00FB5B3F" w:rsidRPr="00FB5B3F">
        <w:rPr>
          <w:rFonts w:asciiTheme="minorHAnsi" w:eastAsia="MS PGothic" w:hAnsiTheme="minorHAnsi"/>
          <w:color w:val="000000"/>
          <w:sz w:val="22"/>
          <w:szCs w:val="22"/>
          <w:lang w:val="en-US"/>
        </w:rPr>
        <w:t>Figure 1 presents the limits of the so-called forbidden region in the (</w:t>
      </w:r>
      <m:oMath>
        <m:sSubSup>
          <m:sSubSupPr>
            <m:ctrlPr>
              <w:rPr>
                <w:rFonts w:ascii="Cambria Math" w:eastAsia="MS PGothic" w:hAnsi="Cambria Math"/>
                <w:color w:val="000000"/>
                <w:sz w:val="22"/>
                <w:szCs w:val="22"/>
                <w:lang w:val="en-US"/>
              </w:rPr>
            </m:ctrlPr>
          </m:sSubSupPr>
          <m:e>
            <m:r>
              <w:rPr>
                <w:rFonts w:ascii="Cambria Math" w:eastAsia="MS PGothic" w:hAnsi="Cambria Math"/>
                <w:color w:val="000000"/>
                <w:sz w:val="22"/>
                <w:szCs w:val="22"/>
                <w:lang w:val="en-US"/>
              </w:rPr>
              <m:t>R</m:t>
            </m:r>
          </m:e>
          <m:sub>
            <m:r>
              <w:rPr>
                <w:rFonts w:ascii="Cambria Math" w:eastAsia="MS PGothic" w:hAnsi="Cambria Math"/>
                <w:color w:val="000000"/>
                <w:sz w:val="22"/>
                <w:szCs w:val="22"/>
                <w:lang w:val="en-US"/>
              </w:rPr>
              <m:t>H</m:t>
            </m:r>
          </m:sub>
          <m:sup>
            <m:r>
              <m:rPr>
                <m:sty m:val="p"/>
              </m:rPr>
              <w:rPr>
                <w:rFonts w:ascii="Cambria Math" w:eastAsia="MS PGothic" w:hAnsi="Cambria Math"/>
                <w:color w:val="000000"/>
                <w:sz w:val="22"/>
                <w:szCs w:val="22"/>
                <w:lang w:val="en-US"/>
              </w:rPr>
              <m:t>*</m:t>
            </m:r>
          </m:sup>
        </m:sSubSup>
      </m:oMath>
      <w:r w:rsidR="00FB5B3F" w:rsidRPr="00FB5B3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, p*) space, where </w:t>
      </w:r>
      <m:oMath>
        <m:sSubSup>
          <m:sSubSupPr>
            <m:ctrlPr>
              <w:rPr>
                <w:rFonts w:ascii="Cambria Math" w:eastAsia="MS PGothic" w:hAnsi="Cambria Math"/>
                <w:color w:val="000000"/>
                <w:sz w:val="22"/>
                <w:szCs w:val="22"/>
                <w:lang w:val="en-US"/>
              </w:rPr>
            </m:ctrlPr>
          </m:sSubSupPr>
          <m:e>
            <m:r>
              <w:rPr>
                <w:rFonts w:ascii="Cambria Math" w:eastAsia="MS PGothic" w:hAnsi="Cambria Math"/>
                <w:color w:val="000000"/>
                <w:sz w:val="22"/>
                <w:szCs w:val="22"/>
                <w:lang w:val="en-US"/>
              </w:rPr>
              <m:t>R</m:t>
            </m:r>
          </m:e>
          <m:sub>
            <m:r>
              <w:rPr>
                <w:rFonts w:ascii="Cambria Math" w:eastAsia="MS PGothic" w:hAnsi="Cambria Math"/>
                <w:color w:val="000000"/>
                <w:sz w:val="22"/>
                <w:szCs w:val="22"/>
                <w:lang w:val="en-US"/>
              </w:rPr>
              <m:t>H</m:t>
            </m:r>
          </m:sub>
          <m:sup>
            <m:r>
              <m:rPr>
                <m:sty m:val="p"/>
              </m:rPr>
              <w:rPr>
                <w:rFonts w:ascii="Cambria Math" w:eastAsia="MS PGothic" w:hAnsi="Cambria Math"/>
                <w:color w:val="000000"/>
                <w:sz w:val="22"/>
                <w:szCs w:val="22"/>
                <w:lang w:val="en-US"/>
              </w:rPr>
              <m:t>*</m:t>
            </m:r>
          </m:sup>
        </m:sSubSup>
      </m:oMath>
      <w:r w:rsidR="00C3449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B5B3F" w:rsidRPr="00FB5B3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</w:t>
      </w:r>
      <m:oMath>
        <m:sSup>
          <m:sSupPr>
            <m:ctrlPr>
              <w:rPr>
                <w:rFonts w:ascii="Cambria Math" w:eastAsia="MS PGothic" w:hAnsi="Cambria Math"/>
                <w:color w:val="000000"/>
                <w:sz w:val="22"/>
                <w:szCs w:val="22"/>
                <w:lang w:val="en-US"/>
              </w:rPr>
            </m:ctrlPr>
          </m:sSupPr>
          <m:e>
            <m:r>
              <w:rPr>
                <w:rFonts w:ascii="Cambria Math" w:eastAsia="MS PGothic" w:hAnsi="Cambria Math"/>
                <w:color w:val="000000"/>
                <w:sz w:val="22"/>
                <w:szCs w:val="22"/>
                <w:lang w:val="en-US"/>
              </w:rPr>
              <m:t>p</m:t>
            </m:r>
          </m:e>
          <m:sup>
            <m:r>
              <m:rPr>
                <m:sty m:val="p"/>
              </m:rPr>
              <w:rPr>
                <w:rFonts w:ascii="Cambria Math" w:eastAsia="MS PGothic" w:hAnsi="Cambria Math"/>
                <w:color w:val="000000"/>
                <w:sz w:val="22"/>
                <w:szCs w:val="22"/>
                <w:lang w:val="en-US"/>
              </w:rPr>
              <m:t>*</m:t>
            </m:r>
          </m:sup>
        </m:sSup>
      </m:oMath>
      <w:r w:rsidR="00FB5B3F" w:rsidRPr="00FB5B3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are the reduced helix radius and pitch respectively, both nondimensionalized by the pipe diameter</w:t>
      </w:r>
      <w:r w:rsidR="0028370B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FB5B3F" w:rsidRPr="00FB5B3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m:oMath>
        <m:r>
          <w:rPr>
            <w:rFonts w:ascii="Cambria Math" w:eastAsia="MS PGothic" w:hAnsi="Cambria Math"/>
            <w:color w:val="000000"/>
            <w:sz w:val="22"/>
            <w:szCs w:val="22"/>
            <w:lang w:val="en-US"/>
          </w:rPr>
          <m:t>d</m:t>
        </m:r>
      </m:oMath>
      <w:r w:rsidR="00FB5B3F" w:rsidRPr="00FB5B3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The forbidden region corresponds to the zone where it is not possible to design helical </w:t>
      </w:r>
      <w:r w:rsidR="00FB5B3F" w:rsidRPr="00C34495">
        <w:rPr>
          <w:rFonts w:asciiTheme="minorHAnsi" w:eastAsia="MS PGothic" w:hAnsiTheme="minorHAnsi"/>
          <w:color w:val="000000"/>
          <w:sz w:val="22"/>
          <w:szCs w:val="22"/>
          <w:lang w:val="en-US"/>
        </w:rPr>
        <w:t>shapes.</w:t>
      </w:r>
      <w:r w:rsidR="00C34495" w:rsidRPr="00C3449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B5B3F" w:rsidRPr="00C34495">
        <w:rPr>
          <w:rFonts w:asciiTheme="minorHAnsi" w:eastAsia="MS PGothic" w:hAnsiTheme="minorHAnsi"/>
          <w:color w:val="000000"/>
          <w:sz w:val="22"/>
          <w:szCs w:val="22"/>
          <w:lang w:val="en-US"/>
        </w:rPr>
        <w:t>Its</w:t>
      </w:r>
      <w:r w:rsidR="00FB5B3F" w:rsidRPr="00FB5B3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frontier, which equation has been determined by </w:t>
      </w:r>
      <w:proofErr w:type="spellStart"/>
      <w:r w:rsidR="00FB5B3F" w:rsidRPr="00FB5B3F">
        <w:rPr>
          <w:rFonts w:asciiTheme="minorHAnsi" w:eastAsia="MS PGothic" w:hAnsiTheme="minorHAnsi"/>
          <w:color w:val="000000"/>
          <w:sz w:val="22"/>
          <w:szCs w:val="22"/>
          <w:lang w:val="en-US"/>
        </w:rPr>
        <w:t>Przybył</w:t>
      </w:r>
      <w:proofErr w:type="spellEnd"/>
      <w:r w:rsidR="00FB5B3F" w:rsidRPr="00FB5B3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et</w:t>
      </w:r>
      <w:r w:rsidR="0028370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B5B3F" w:rsidRPr="00FB5B3F">
        <w:rPr>
          <w:rFonts w:asciiTheme="minorHAnsi" w:eastAsia="MS PGothic" w:hAnsiTheme="minorHAnsi"/>
          <w:color w:val="000000"/>
          <w:sz w:val="22"/>
          <w:szCs w:val="22"/>
          <w:lang w:val="en-US"/>
        </w:rPr>
        <w:t>al</w:t>
      </w:r>
      <w:r w:rsidR="0028370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DB0BB3">
        <w:rPr>
          <w:rFonts w:asciiTheme="minorHAnsi" w:eastAsia="MS PGothic" w:hAnsiTheme="minorHAnsi"/>
          <w:color w:val="000000"/>
          <w:sz w:val="22"/>
          <w:szCs w:val="22"/>
          <w:lang w:val="en-US"/>
        </w:rPr>
        <w:t>[</w:t>
      </w:r>
      <w:r w:rsidR="00C34495">
        <w:rPr>
          <w:rFonts w:asciiTheme="minorHAnsi" w:eastAsia="MS PGothic" w:hAnsiTheme="minorHAnsi"/>
          <w:color w:val="000000"/>
          <w:sz w:val="22"/>
          <w:szCs w:val="22"/>
          <w:lang w:val="en-US"/>
        </w:rPr>
        <w:t>1</w:t>
      </w:r>
      <w:r w:rsidR="00DB0BB3">
        <w:rPr>
          <w:rFonts w:asciiTheme="minorHAnsi" w:eastAsia="MS PGothic" w:hAnsiTheme="minorHAnsi"/>
          <w:color w:val="000000"/>
          <w:sz w:val="22"/>
          <w:szCs w:val="22"/>
          <w:lang w:val="en-US"/>
        </w:rPr>
        <w:t>]</w:t>
      </w:r>
      <w:r w:rsidR="00FB5B3F" w:rsidRPr="00FB5B3F">
        <w:rPr>
          <w:rFonts w:asciiTheme="minorHAnsi" w:eastAsia="MS PGothic" w:hAnsiTheme="minorHAnsi"/>
          <w:color w:val="000000"/>
          <w:sz w:val="22"/>
          <w:szCs w:val="22"/>
          <w:lang w:val="en-US"/>
        </w:rPr>
        <w:t>, corresponds to closely packed helices, i.e. helices which pitch cannot be further decreased</w:t>
      </w:r>
      <w:r w:rsidR="00C3449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34495" w:rsidRPr="00C34495">
        <w:rPr>
          <w:rFonts w:asciiTheme="minorHAnsi" w:eastAsia="MS PGothic" w:hAnsiTheme="minorHAnsi"/>
          <w:color w:val="000000"/>
          <w:sz w:val="22"/>
          <w:szCs w:val="22"/>
          <w:lang w:val="en-US"/>
        </w:rPr>
        <w:t>because the consecutive turns of the helix would intersect/overlap one with/on another</w:t>
      </w:r>
      <w:r w:rsidR="00FB5B3F" w:rsidRPr="00FB5B3F">
        <w:rPr>
          <w:rFonts w:asciiTheme="minorHAnsi" w:eastAsia="MS PGothic" w:hAnsiTheme="minorHAnsi"/>
          <w:color w:val="000000"/>
          <w:sz w:val="22"/>
          <w:szCs w:val="22"/>
          <w:lang w:val="en-US"/>
        </w:rPr>
        <w:t>. Some helix designs are shown in Figure 1. They illustrate the fact that the helical pipe geometry tends toward that of a straight at three asymptotic limits: (</w:t>
      </w:r>
      <w:proofErr w:type="spellStart"/>
      <w:r w:rsidR="00FB5B3F" w:rsidRPr="00FB5B3F">
        <w:rPr>
          <w:rFonts w:asciiTheme="minorHAnsi" w:eastAsia="MS PGothic" w:hAnsiTheme="minorHAnsi"/>
          <w:color w:val="000000"/>
          <w:sz w:val="22"/>
          <w:szCs w:val="22"/>
          <w:lang w:val="en-US"/>
        </w:rPr>
        <w:t>i</w:t>
      </w:r>
      <w:proofErr w:type="spellEnd"/>
      <w:r w:rsidR="00FB5B3F" w:rsidRPr="00FB5B3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 when the dimensionless pitch </w:t>
      </w:r>
      <w:r w:rsidR="00FB5B3F" w:rsidRPr="00C34495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p*</w:t>
      </w:r>
      <w:r w:rsidR="00FB5B3F" w:rsidRPr="00FB5B3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tends to infinity; (ii) when the dimensionless helix radius </w:t>
      </w:r>
      <m:oMath>
        <m:sSubSup>
          <m:sSubSupPr>
            <m:ctrlPr>
              <w:rPr>
                <w:rFonts w:ascii="Cambria Math" w:eastAsia="MS PGothic" w:hAnsi="Cambria Math"/>
                <w:color w:val="000000"/>
                <w:sz w:val="22"/>
                <w:szCs w:val="22"/>
                <w:lang w:val="en-US"/>
              </w:rPr>
            </m:ctrlPr>
          </m:sSubSupPr>
          <m:e>
            <m:r>
              <w:rPr>
                <w:rFonts w:ascii="Cambria Math" w:eastAsia="MS PGothic" w:hAnsi="Cambria Math"/>
                <w:color w:val="000000"/>
                <w:sz w:val="22"/>
                <w:szCs w:val="22"/>
                <w:lang w:val="en-US"/>
              </w:rPr>
              <m:t>R</m:t>
            </m:r>
          </m:e>
          <m:sub>
            <m:r>
              <w:rPr>
                <w:rFonts w:ascii="Cambria Math" w:eastAsia="MS PGothic" w:hAnsi="Cambria Math"/>
                <w:color w:val="000000"/>
                <w:sz w:val="22"/>
                <w:szCs w:val="22"/>
                <w:lang w:val="en-US"/>
              </w:rPr>
              <m:t>H</m:t>
            </m:r>
          </m:sub>
          <m:sup>
            <m:r>
              <m:rPr>
                <m:sty m:val="p"/>
              </m:rPr>
              <w:rPr>
                <w:rFonts w:ascii="Cambria Math" w:eastAsia="MS PGothic" w:hAnsi="Cambria Math"/>
                <w:color w:val="000000"/>
                <w:sz w:val="22"/>
                <w:szCs w:val="22"/>
                <w:lang w:val="en-US"/>
              </w:rPr>
              <m:t>*</m:t>
            </m:r>
          </m:sup>
        </m:sSubSup>
      </m:oMath>
      <w:r w:rsidR="00FB5B3F" w:rsidRPr="00FB5B3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tends to infinity; (iii) when the dimensionless helix radius </w:t>
      </w:r>
      <m:oMath>
        <m:sSubSup>
          <m:sSubSupPr>
            <m:ctrlPr>
              <w:rPr>
                <w:rFonts w:ascii="Cambria Math" w:eastAsia="MS PGothic" w:hAnsi="Cambria Math"/>
                <w:color w:val="000000"/>
                <w:sz w:val="22"/>
                <w:szCs w:val="22"/>
                <w:lang w:val="en-US"/>
              </w:rPr>
            </m:ctrlPr>
          </m:sSubSupPr>
          <m:e>
            <m:r>
              <w:rPr>
                <w:rFonts w:ascii="Cambria Math" w:eastAsia="MS PGothic" w:hAnsi="Cambria Math"/>
                <w:color w:val="000000"/>
                <w:sz w:val="22"/>
                <w:szCs w:val="22"/>
                <w:lang w:val="en-US"/>
              </w:rPr>
              <m:t>R</m:t>
            </m:r>
          </m:e>
          <m:sub>
            <m:r>
              <w:rPr>
                <w:rFonts w:ascii="Cambria Math" w:eastAsia="MS PGothic" w:hAnsi="Cambria Math"/>
                <w:color w:val="000000"/>
                <w:sz w:val="22"/>
                <w:szCs w:val="22"/>
                <w:lang w:val="en-US"/>
              </w:rPr>
              <m:t>H</m:t>
            </m:r>
          </m:sub>
          <m:sup>
            <m:r>
              <m:rPr>
                <m:sty m:val="p"/>
              </m:rPr>
              <w:rPr>
                <w:rFonts w:ascii="Cambria Math" w:eastAsia="MS PGothic" w:hAnsi="Cambria Math"/>
                <w:color w:val="000000"/>
                <w:sz w:val="22"/>
                <w:szCs w:val="22"/>
                <w:lang w:val="en-US"/>
              </w:rPr>
              <m:t>*</m:t>
            </m:r>
          </m:sup>
        </m:sSubSup>
      </m:oMath>
      <w:r w:rsidR="00FB5B3F" w:rsidRPr="00FB5B3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tends to zero.</w:t>
      </w:r>
    </w:p>
    <w:p w:rsidR="005F6987" w:rsidRDefault="005F6987" w:rsidP="00DB0BB3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</w:p>
    <w:p w:rsidR="001A7E46" w:rsidRDefault="00704BDF" w:rsidP="00DB0BB3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lastRenderedPageBreak/>
        <w:t>2. Methods</w:t>
      </w:r>
    </w:p>
    <w:p w:rsidR="00827391" w:rsidRDefault="00FC4DD8" w:rsidP="002A21A0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442CE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this </w:t>
      </w:r>
      <w:r w:rsidR="00C34495">
        <w:rPr>
          <w:rFonts w:asciiTheme="minorHAnsi" w:eastAsia="MS PGothic" w:hAnsiTheme="minorHAnsi"/>
          <w:color w:val="000000"/>
          <w:sz w:val="22"/>
          <w:szCs w:val="22"/>
          <w:lang w:val="en-US"/>
        </w:rPr>
        <w:t>paper</w:t>
      </w:r>
      <w:r w:rsidRPr="00442CE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CFD </w:t>
      </w:r>
      <w:r w:rsidR="007D030B" w:rsidRPr="00442CEF">
        <w:rPr>
          <w:rFonts w:asciiTheme="minorHAnsi" w:eastAsia="MS PGothic" w:hAnsiTheme="minorHAnsi"/>
          <w:color w:val="000000"/>
          <w:sz w:val="22"/>
          <w:szCs w:val="22"/>
          <w:lang w:val="en-US"/>
        </w:rPr>
        <w:t>(Computational F</w:t>
      </w:r>
      <w:r w:rsidR="007D030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luid </w:t>
      </w:r>
      <w:r w:rsidR="007D030B" w:rsidRPr="00442CE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Dynamics) </w:t>
      </w:r>
      <w:r w:rsidR="00C34495">
        <w:rPr>
          <w:rFonts w:asciiTheme="minorHAnsi" w:eastAsia="MS PGothic" w:hAnsiTheme="minorHAnsi"/>
          <w:color w:val="000000"/>
          <w:sz w:val="22"/>
          <w:szCs w:val="22"/>
          <w:lang w:val="en-US"/>
        </w:rPr>
        <w:t>is used to investigate the mass transfer efficiency in helical membranes. S</w:t>
      </w:r>
      <w:r w:rsidR="00165CA5" w:rsidRPr="00165CA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imulations were conducted for various </w:t>
      </w:r>
      <w:r w:rsidR="00C34495">
        <w:rPr>
          <w:rFonts w:asciiTheme="minorHAnsi" w:eastAsia="MS PGothic" w:hAnsiTheme="minorHAnsi"/>
          <w:color w:val="000000"/>
          <w:sz w:val="22"/>
          <w:szCs w:val="22"/>
          <w:lang w:val="en-US"/>
        </w:rPr>
        <w:t>helix</w:t>
      </w:r>
      <w:r w:rsidR="00165CA5" w:rsidRPr="00165CA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designs </w:t>
      </w:r>
      <w:r w:rsidR="00C34495">
        <w:rPr>
          <w:rFonts w:asciiTheme="minorHAnsi" w:eastAsia="MS PGothic" w:hAnsiTheme="minorHAnsi"/>
          <w:color w:val="000000"/>
          <w:sz w:val="22"/>
          <w:szCs w:val="22"/>
          <w:lang w:val="en-US"/>
        </w:rPr>
        <w:t>(</w:t>
      </w:r>
      <m:oMath>
        <m:r>
          <m:rPr>
            <m:sty m:val="p"/>
          </m:rPr>
          <w:rPr>
            <w:rFonts w:ascii="Cambria Math" w:eastAsia="MS PGothic" w:hAnsi="Cambria Math"/>
            <w:color w:val="000000"/>
            <w:sz w:val="22"/>
            <w:szCs w:val="22"/>
            <w:lang w:val="en-US"/>
          </w:rPr>
          <m:t>1.25≤</m:t>
        </m:r>
        <m:sSup>
          <m:sSupPr>
            <m:ctrlPr>
              <w:rPr>
                <w:rFonts w:ascii="Cambria Math" w:eastAsia="MS PGothic" w:hAnsi="Cambria Math"/>
                <w:color w:val="000000"/>
                <w:sz w:val="22"/>
                <w:szCs w:val="22"/>
                <w:lang w:val="en-US"/>
              </w:rPr>
            </m:ctrlPr>
          </m:sSupPr>
          <m:e>
            <m:r>
              <w:rPr>
                <w:rFonts w:ascii="Cambria Math" w:eastAsia="MS PGothic" w:hAnsi="Cambria Math"/>
                <w:color w:val="000000"/>
                <w:sz w:val="22"/>
                <w:szCs w:val="22"/>
                <w:lang w:val="en-US"/>
              </w:rPr>
              <m:t>p</m:t>
            </m:r>
          </m:e>
          <m:sup>
            <m:r>
              <m:rPr>
                <m:sty m:val="p"/>
              </m:rPr>
              <w:rPr>
                <w:rFonts w:ascii="Cambria Math" w:eastAsia="MS PGothic" w:hAnsi="Cambria Math"/>
                <w:color w:val="000000"/>
                <w:sz w:val="22"/>
                <w:szCs w:val="22"/>
                <w:lang w:val="en-US"/>
              </w:rPr>
              <m:t>*</m:t>
            </m:r>
          </m:sup>
        </m:sSup>
        <m:r>
          <m:rPr>
            <m:sty m:val="p"/>
          </m:rPr>
          <w:rPr>
            <w:rFonts w:ascii="Cambria Math" w:eastAsia="MS PGothic" w:hAnsi="Cambria Math"/>
            <w:color w:val="000000"/>
            <w:sz w:val="22"/>
            <w:szCs w:val="22"/>
            <w:lang w:val="en-US"/>
          </w:rPr>
          <m:t>≤15</m:t>
        </m:r>
      </m:oMath>
      <w:r w:rsidR="00165CA5" w:rsidRPr="00165CA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7D030B" w:rsidRPr="00165CA5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</w:t>
      </w:r>
      <w:r w:rsidR="00C3449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m:oMath>
        <m:r>
          <m:rPr>
            <m:sty m:val="p"/>
          </m:rPr>
          <w:rPr>
            <w:rFonts w:ascii="Cambria Math" w:eastAsia="MS PGothic" w:hAnsi="Cambria Math"/>
            <w:color w:val="000000"/>
            <w:sz w:val="22"/>
            <w:szCs w:val="22"/>
            <w:lang w:val="en-US"/>
          </w:rPr>
          <m:t>0.05≤</m:t>
        </m:r>
        <m:sSubSup>
          <m:sSubSupPr>
            <m:ctrlPr>
              <w:rPr>
                <w:rFonts w:ascii="Cambria Math" w:eastAsia="MS PGothic" w:hAnsi="Cambria Math"/>
                <w:color w:val="000000"/>
                <w:sz w:val="22"/>
                <w:szCs w:val="22"/>
                <w:lang w:val="en-US"/>
              </w:rPr>
            </m:ctrlPr>
          </m:sSubSupPr>
          <m:e>
            <m:r>
              <w:rPr>
                <w:rFonts w:ascii="Cambria Math" w:eastAsia="MS PGothic" w:hAnsi="Cambria Math"/>
                <w:color w:val="000000"/>
                <w:sz w:val="22"/>
                <w:szCs w:val="22"/>
                <w:lang w:val="en-US"/>
              </w:rPr>
              <m:t>R</m:t>
            </m:r>
          </m:e>
          <m:sub>
            <m:r>
              <w:rPr>
                <w:rFonts w:ascii="Cambria Math" w:eastAsia="MS PGothic" w:hAnsi="Cambria Math"/>
                <w:color w:val="000000"/>
                <w:sz w:val="22"/>
                <w:szCs w:val="22"/>
                <w:lang w:val="en-US"/>
              </w:rPr>
              <m:t>H</m:t>
            </m:r>
          </m:sub>
          <m:sup>
            <m:r>
              <m:rPr>
                <m:sty m:val="p"/>
              </m:rPr>
              <w:rPr>
                <w:rFonts w:ascii="Cambria Math" w:eastAsia="MS PGothic" w:hAnsi="Cambria Math"/>
                <w:color w:val="000000"/>
                <w:sz w:val="22"/>
                <w:szCs w:val="22"/>
                <w:lang w:val="en-US"/>
              </w:rPr>
              <m:t>*</m:t>
            </m:r>
          </m:sup>
        </m:sSubSup>
        <m:r>
          <m:rPr>
            <m:sty m:val="p"/>
          </m:rPr>
          <w:rPr>
            <w:rFonts w:ascii="Cambria Math" w:eastAsia="MS PGothic" w:hAnsi="Cambria Math"/>
            <w:color w:val="000000"/>
            <w:sz w:val="22"/>
            <w:szCs w:val="22"/>
            <w:lang w:val="en-US"/>
          </w:rPr>
          <m:t>≤10</m:t>
        </m:r>
      </m:oMath>
      <w:r w:rsidR="00C34495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165CA5" w:rsidRPr="00165CA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A47C82" w:rsidRPr="00A47C8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C34495">
        <w:rPr>
          <w:rFonts w:asciiTheme="minorHAnsi" w:eastAsia="MS PGothic" w:hAnsiTheme="minorHAnsi"/>
          <w:color w:val="000000"/>
          <w:sz w:val="22"/>
          <w:szCs w:val="22"/>
          <w:lang w:val="en-US"/>
        </w:rPr>
        <w:t>computational mesh</w:t>
      </w:r>
      <w:r w:rsidR="00A47C82" w:rsidRPr="00A47C8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consisted of hexahedral cells only, with a boundary layer mesh in the near-wall zone for more accurate calculation of the steep gradients in that area</w:t>
      </w:r>
      <w:r w:rsidR="001370E0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1370E0" w:rsidRPr="001370E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commercial CFD </w:t>
      </w:r>
      <w:r w:rsidR="00543C0F">
        <w:rPr>
          <w:rFonts w:asciiTheme="minorHAnsi" w:eastAsia="MS PGothic" w:hAnsiTheme="minorHAnsi"/>
          <w:color w:val="000000"/>
          <w:sz w:val="22"/>
          <w:szCs w:val="22"/>
          <w:lang w:val="en-US"/>
        </w:rPr>
        <w:t>code FLUENT 16.0</w:t>
      </w:r>
      <w:r w:rsidR="001370E0" w:rsidRPr="001370E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was used to simulate the mass transfer within the helical membranes. A Newtonian fluid was considered, and the flow, treated as laminar</w:t>
      </w:r>
      <w:r w:rsidR="001370E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370E0" w:rsidRPr="001370E0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</w:t>
      </w:r>
      <w:r w:rsidR="001370E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incompressible, </w:t>
      </w:r>
      <w:r w:rsidR="001370E0" w:rsidRPr="001370E0">
        <w:rPr>
          <w:rFonts w:asciiTheme="minorHAnsi" w:eastAsia="MS PGothic" w:hAnsiTheme="minorHAnsi"/>
          <w:color w:val="000000"/>
          <w:sz w:val="22"/>
          <w:szCs w:val="22"/>
          <w:lang w:val="en-US"/>
        </w:rPr>
        <w:t>was described using the steady Navier-Stokes and continuity equations.</w:t>
      </w:r>
      <w:r w:rsidR="002F368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mass transfer equation was solved assuming a dilute medium and a uniform concentration at the walls.</w:t>
      </w:r>
    </w:p>
    <w:p w:rsidR="00143553" w:rsidRDefault="00704BDF" w:rsidP="00143553">
      <w:pPr>
        <w:snapToGrid w:val="0"/>
        <w:spacing w:after="120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:rsidR="00861015" w:rsidRDefault="00C34495" w:rsidP="007A37F7">
      <w:pPr>
        <w:spacing w:line="240" w:lineRule="auto"/>
        <w:ind w:firstLine="284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F</w:t>
      </w:r>
      <w:r w:rsidR="00CD666C" w:rsidRPr="00CD666C">
        <w:rPr>
          <w:rFonts w:asciiTheme="minorHAnsi" w:eastAsia="MS PGothic" w:hAnsiTheme="minorHAnsi"/>
          <w:color w:val="000000"/>
          <w:sz w:val="22"/>
          <w:szCs w:val="22"/>
          <w:lang w:val="en-US"/>
        </w:rPr>
        <w:t>or each simulation performed,</w:t>
      </w:r>
      <w:r w:rsidR="001A0FE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m:oMath>
        <m:sSubSup>
          <m:sSubSupPr>
            <m:ctrlPr>
              <w:rPr>
                <w:rFonts w:ascii="Cambria Math" w:eastAsia="MS PGothic" w:hAnsi="Cambria Math"/>
                <w:color w:val="000000"/>
                <w:sz w:val="22"/>
                <w:szCs w:val="22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eastAsia="MS PGothic" w:hAnsi="Cambria Math"/>
                <w:color w:val="000000"/>
                <w:sz w:val="22"/>
                <w:szCs w:val="22"/>
                <w:lang w:val="en-US"/>
              </w:rPr>
              <m:t>Sh</m:t>
            </m:r>
          </m:e>
          <m:sub>
            <m:r>
              <m:rPr>
                <m:sty m:val="p"/>
              </m:rPr>
              <w:rPr>
                <w:rFonts w:ascii="Cambria Math" w:eastAsia="MS PGothic" w:hAnsi="Cambria Math"/>
                <w:color w:val="000000"/>
                <w:sz w:val="22"/>
                <w:szCs w:val="22"/>
                <w:lang w:val="en-US"/>
              </w:rPr>
              <m:t>H</m:t>
            </m:r>
          </m:sub>
          <m:sup>
            <m:r>
              <m:rPr>
                <m:sty m:val="p"/>
              </m:rPr>
              <w:rPr>
                <w:rFonts w:ascii="Cambria Math" w:eastAsia="MS PGothic" w:hAnsi="Cambria Math"/>
                <w:color w:val="000000"/>
                <w:sz w:val="22"/>
                <w:szCs w:val="22"/>
                <w:lang w:val="en-US"/>
              </w:rPr>
              <m:t>∞</m:t>
            </m:r>
          </m:sup>
        </m:sSubSup>
      </m:oMath>
      <w:r w:rsidR="007A37F7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7A37F7" w:rsidRPr="00CD666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D666C" w:rsidRPr="00CD666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2F368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asymptotic </w:t>
      </w:r>
      <w:r w:rsidR="00CD666C" w:rsidRPr="00CD666C">
        <w:rPr>
          <w:rFonts w:asciiTheme="minorHAnsi" w:eastAsia="MS PGothic" w:hAnsiTheme="minorHAnsi"/>
          <w:color w:val="000000"/>
          <w:sz w:val="22"/>
          <w:szCs w:val="22"/>
          <w:lang w:val="en-US"/>
        </w:rPr>
        <w:t>Sherwood number</w:t>
      </w:r>
      <w:r w:rsidR="002F368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(i.e. </w:t>
      </w:r>
      <w:r w:rsidR="00CD666C" w:rsidRPr="00CD666C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the</w:t>
      </w:r>
      <w:r w:rsidR="002F368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region where the</w:t>
      </w:r>
      <w:r w:rsidR="00CD666C" w:rsidRPr="00CD666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A0FE3">
        <w:rPr>
          <w:rFonts w:asciiTheme="minorHAnsi" w:eastAsia="MS PGothic" w:hAnsiTheme="minorHAnsi"/>
          <w:color w:val="000000"/>
          <w:sz w:val="22"/>
          <w:szCs w:val="22"/>
          <w:lang w:val="en-US"/>
        </w:rPr>
        <w:t>concentration</w:t>
      </w:r>
      <w:r w:rsidR="00CD666C" w:rsidRPr="00CD666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F368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profile gets fully </w:t>
      </w:r>
      <w:r w:rsidR="00CD666C" w:rsidRPr="00CD666C">
        <w:rPr>
          <w:rFonts w:asciiTheme="minorHAnsi" w:eastAsia="MS PGothic" w:hAnsiTheme="minorHAnsi"/>
          <w:color w:val="000000"/>
          <w:sz w:val="22"/>
          <w:szCs w:val="22"/>
          <w:lang w:val="en-US"/>
        </w:rPr>
        <w:t>developed</w:t>
      </w:r>
      <w:r w:rsidR="001A0FE3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2F368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was calculated.</w:t>
      </w:r>
      <w:r w:rsidR="00CD666C" w:rsidRPr="00CD666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Figure 2 show</w:t>
      </w:r>
      <w:r w:rsidR="007A37F7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CD666C" w:rsidRPr="00CD666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contour plot of </w:t>
      </w:r>
      <m:oMath>
        <m:sSubSup>
          <m:sSubSupPr>
            <m:ctrlPr>
              <w:rPr>
                <w:rFonts w:ascii="Cambria Math" w:eastAsia="MS PGothic" w:hAnsi="Cambria Math"/>
                <w:color w:val="000000"/>
                <w:sz w:val="22"/>
                <w:szCs w:val="22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eastAsia="MS PGothic" w:hAnsi="Cambria Math"/>
                <w:color w:val="000000"/>
                <w:sz w:val="22"/>
                <w:szCs w:val="22"/>
                <w:lang w:val="en-US"/>
              </w:rPr>
              <m:t>Sh</m:t>
            </m:r>
          </m:e>
          <m:sub>
            <m:r>
              <m:rPr>
                <m:sty m:val="p"/>
              </m:rPr>
              <w:rPr>
                <w:rFonts w:ascii="Cambria Math" w:eastAsia="MS PGothic" w:hAnsi="Cambria Math"/>
                <w:color w:val="000000"/>
                <w:sz w:val="22"/>
                <w:szCs w:val="22"/>
                <w:lang w:val="en-US"/>
              </w:rPr>
              <m:t>H</m:t>
            </m:r>
          </m:sub>
          <m:sup>
            <m:r>
              <m:rPr>
                <m:sty m:val="p"/>
              </m:rPr>
              <w:rPr>
                <w:rFonts w:ascii="Cambria Math" w:eastAsia="MS PGothic" w:hAnsi="Cambria Math"/>
                <w:color w:val="000000"/>
                <w:sz w:val="22"/>
                <w:szCs w:val="22"/>
                <w:lang w:val="en-US"/>
              </w:rPr>
              <m:t>∞</m:t>
            </m:r>
          </m:sup>
        </m:sSubSup>
      </m:oMath>
      <w:r w:rsidR="00CD666C" w:rsidRPr="00CD666C">
        <w:rPr>
          <w:rFonts w:asciiTheme="minorHAnsi" w:eastAsia="MS PGothic" w:hAnsiTheme="minorHAnsi"/>
          <w:color w:val="000000"/>
          <w:sz w:val="22"/>
          <w:szCs w:val="22"/>
          <w:lang w:val="en-US"/>
        </w:rPr>
        <w:t>/</w:t>
      </w:r>
      <m:oMath>
        <m:sSubSup>
          <m:sSubSupPr>
            <m:ctrlPr>
              <w:rPr>
                <w:rFonts w:ascii="Cambria Math" w:eastAsia="MS PGothic" w:hAnsi="Cambria Math"/>
                <w:color w:val="000000"/>
                <w:sz w:val="22"/>
                <w:szCs w:val="22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eastAsia="MS PGothic" w:hAnsi="Cambria Math"/>
                <w:color w:val="000000"/>
                <w:sz w:val="22"/>
                <w:szCs w:val="22"/>
                <w:lang w:val="en-US"/>
              </w:rPr>
              <m:t>Sh</m:t>
            </m:r>
          </m:e>
          <m:sub>
            <m:r>
              <m:rPr>
                <m:sty m:val="p"/>
              </m:rPr>
              <w:rPr>
                <w:rFonts w:ascii="Cambria Math" w:eastAsia="MS PGothic" w:hAnsi="Cambria Math"/>
                <w:color w:val="000000"/>
                <w:sz w:val="22"/>
                <w:szCs w:val="22"/>
                <w:lang w:val="en-US"/>
              </w:rPr>
              <m:t>S</m:t>
            </m:r>
          </m:sub>
          <m:sup>
            <m:r>
              <m:rPr>
                <m:sty m:val="p"/>
              </m:rPr>
              <w:rPr>
                <w:rFonts w:ascii="Cambria Math" w:eastAsia="MS PGothic" w:hAnsi="Cambria Math"/>
                <w:color w:val="000000"/>
                <w:sz w:val="22"/>
                <w:szCs w:val="22"/>
                <w:lang w:val="en-US"/>
              </w:rPr>
              <m:t>∞</m:t>
            </m:r>
          </m:sup>
        </m:sSubSup>
      </m:oMath>
      <w:r w:rsidR="00CD666C" w:rsidRPr="00CD666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</w:t>
      </w:r>
      <w:r w:rsidR="002F368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 Reynolds number of 400 and</w:t>
      </w:r>
      <w:r w:rsidR="00CD666C" w:rsidRPr="00CD666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different Schmidt number values. </w:t>
      </w:r>
      <m:oMath>
        <m:sSubSup>
          <m:sSubSupPr>
            <m:ctrlPr>
              <w:rPr>
                <w:rFonts w:ascii="Cambria Math" w:eastAsia="MS PGothic" w:hAnsi="Cambria Math"/>
                <w:color w:val="000000"/>
                <w:sz w:val="22"/>
                <w:szCs w:val="22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eastAsia="MS PGothic" w:hAnsi="Cambria Math"/>
                <w:color w:val="000000"/>
                <w:sz w:val="22"/>
                <w:szCs w:val="22"/>
                <w:lang w:val="en-US"/>
              </w:rPr>
              <m:t>Sh</m:t>
            </m:r>
          </m:e>
          <m:sub>
            <m:r>
              <m:rPr>
                <m:sty m:val="p"/>
              </m:rPr>
              <w:rPr>
                <w:rFonts w:ascii="Cambria Math" w:eastAsia="MS PGothic" w:hAnsi="Cambria Math"/>
                <w:color w:val="000000"/>
                <w:sz w:val="22"/>
                <w:szCs w:val="22"/>
                <w:lang w:val="en-US"/>
              </w:rPr>
              <m:t>S</m:t>
            </m:r>
          </m:sub>
          <m:sup>
            <m:r>
              <m:rPr>
                <m:sty m:val="p"/>
              </m:rPr>
              <w:rPr>
                <w:rFonts w:ascii="Cambria Math" w:eastAsia="MS PGothic" w:hAnsi="Cambria Math"/>
                <w:color w:val="000000"/>
                <w:sz w:val="22"/>
                <w:szCs w:val="22"/>
                <w:lang w:val="en-US"/>
              </w:rPr>
              <m:t>∞</m:t>
            </m:r>
          </m:sup>
        </m:sSubSup>
      </m:oMath>
      <w:r w:rsidR="0086101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denotes the asymptotic Sherwood number in straight pipes which equals 3.65 under a uniform wall concentration boundary condition.</w:t>
      </w:r>
    </w:p>
    <w:p w:rsidR="00F03F5B" w:rsidRDefault="00CD666C" w:rsidP="00E26D1B">
      <w:pPr>
        <w:spacing w:line="240" w:lineRule="auto"/>
        <w:ind w:firstLine="284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CD666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861015">
        <w:rPr>
          <w:rFonts w:asciiTheme="minorHAnsi" w:eastAsia="MS PGothic" w:hAnsiTheme="minorHAnsi"/>
          <w:color w:val="000000"/>
          <w:sz w:val="22"/>
          <w:szCs w:val="22"/>
          <w:lang w:val="en-US"/>
        </w:rPr>
        <w:t>contour plots in Figure 2</w:t>
      </w:r>
      <w:r w:rsidRPr="00CD666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were obtained using a triangulation-based cubic interpolation of the CFD results. The geometric parameters for which simulations were performed are represented by black dots</w:t>
      </w:r>
      <w:r w:rsidR="00691806">
        <w:rPr>
          <w:rFonts w:asciiTheme="minorHAnsi" w:eastAsia="MS PGothic" w:hAnsiTheme="minorHAnsi"/>
          <w:color w:val="000000"/>
          <w:sz w:val="22"/>
          <w:szCs w:val="22"/>
          <w:lang w:val="en-US"/>
        </w:rPr>
        <w:t>:</w:t>
      </w:r>
      <w:r w:rsidR="00691806" w:rsidRPr="00691806">
        <w:t xml:space="preserve"> </w:t>
      </w:r>
      <w:r w:rsidR="00691806" w:rsidRPr="0069180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at these points, the values of </w:t>
      </w:r>
      <m:oMath>
        <m:sSubSup>
          <m:sSubSupPr>
            <m:ctrlPr>
              <w:rPr>
                <w:rFonts w:ascii="Cambria Math" w:eastAsia="MS PGothic" w:hAnsi="Cambria Math"/>
                <w:color w:val="000000"/>
                <w:sz w:val="22"/>
                <w:szCs w:val="22"/>
                <w:lang w:val="en-US"/>
              </w:rPr>
            </m:ctrlPr>
          </m:sSubSupPr>
          <m:e>
            <m:r>
              <w:rPr>
                <w:rFonts w:ascii="Cambria Math" w:eastAsia="MS PGothic" w:hAnsi="Cambria Math"/>
                <w:color w:val="000000"/>
                <w:sz w:val="22"/>
                <w:szCs w:val="22"/>
                <w:lang w:val="en-US"/>
              </w:rPr>
              <m:t>Sh</m:t>
            </m:r>
          </m:e>
          <m:sub>
            <m:r>
              <w:rPr>
                <w:rFonts w:ascii="Cambria Math" w:eastAsia="MS PGothic" w:hAnsi="Cambria Math"/>
                <w:color w:val="000000"/>
                <w:sz w:val="22"/>
                <w:szCs w:val="22"/>
                <w:lang w:val="en-US"/>
              </w:rPr>
              <m:t>H</m:t>
            </m:r>
          </m:sub>
          <m:sup>
            <m:r>
              <m:rPr>
                <m:sty m:val="p"/>
              </m:rPr>
              <w:rPr>
                <w:rFonts w:ascii="Cambria Math" w:eastAsia="MS PGothic" w:hAnsi="Cambria Math"/>
                <w:color w:val="000000"/>
                <w:sz w:val="22"/>
                <w:szCs w:val="22"/>
                <w:lang w:val="en-US"/>
              </w:rPr>
              <m:t>∞</m:t>
            </m:r>
          </m:sup>
        </m:sSubSup>
      </m:oMath>
      <w:r w:rsidR="00691806" w:rsidRPr="00CD666C">
        <w:rPr>
          <w:rFonts w:asciiTheme="minorHAnsi" w:eastAsia="MS PGothic" w:hAnsiTheme="minorHAnsi"/>
          <w:color w:val="000000"/>
          <w:sz w:val="22"/>
          <w:szCs w:val="22"/>
          <w:lang w:val="en-US"/>
        </w:rPr>
        <w:t>/</w:t>
      </w:r>
      <m:oMath>
        <m:sSubSup>
          <m:sSubSupPr>
            <m:ctrlPr>
              <w:rPr>
                <w:rFonts w:ascii="Cambria Math" w:eastAsia="MS PGothic" w:hAnsi="Cambria Math"/>
                <w:color w:val="000000"/>
                <w:sz w:val="22"/>
                <w:szCs w:val="22"/>
                <w:lang w:val="en-US"/>
              </w:rPr>
            </m:ctrlPr>
          </m:sSubSupPr>
          <m:e>
            <m:r>
              <w:rPr>
                <w:rFonts w:ascii="Cambria Math" w:eastAsia="MS PGothic" w:hAnsi="Cambria Math"/>
                <w:color w:val="000000"/>
                <w:sz w:val="22"/>
                <w:szCs w:val="22"/>
                <w:lang w:val="en-US"/>
              </w:rPr>
              <m:t>Sh</m:t>
            </m:r>
          </m:e>
          <m:sub>
            <m:r>
              <w:rPr>
                <w:rFonts w:ascii="Cambria Math" w:eastAsia="MS PGothic" w:hAnsi="Cambria Math"/>
                <w:color w:val="000000"/>
                <w:sz w:val="22"/>
                <w:szCs w:val="22"/>
                <w:lang w:val="en-US"/>
              </w:rPr>
              <m:t>S</m:t>
            </m:r>
          </m:sub>
          <m:sup>
            <m:r>
              <m:rPr>
                <m:sty m:val="p"/>
              </m:rPr>
              <w:rPr>
                <w:rFonts w:ascii="Cambria Math" w:eastAsia="MS PGothic" w:hAnsi="Cambria Math"/>
                <w:color w:val="000000"/>
                <w:sz w:val="22"/>
                <w:szCs w:val="22"/>
                <w:lang w:val="en-US"/>
              </w:rPr>
              <m:t>∞</m:t>
            </m:r>
          </m:sup>
        </m:sSubSup>
      </m:oMath>
      <w:r w:rsidR="00691806" w:rsidRPr="0069180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that are displayed on the contour plots are exactly the same than those provided by CFD. </w:t>
      </w:r>
      <w:r w:rsidR="0069180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Although </w:t>
      </w:r>
      <w:r w:rsidR="00E26D1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691806">
        <w:rPr>
          <w:rFonts w:asciiTheme="minorHAnsi" w:eastAsia="MS PGothic" w:hAnsiTheme="minorHAnsi"/>
          <w:color w:val="000000"/>
          <w:sz w:val="22"/>
          <w:szCs w:val="22"/>
          <w:lang w:val="en-US"/>
        </w:rPr>
        <w:t>interpolated data</w:t>
      </w:r>
      <w:r w:rsidR="00E26D1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exhibit some irregularities that are inherent to interpolation</w:t>
      </w:r>
      <w:r w:rsidRPr="00CD666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these contour plots </w:t>
      </w:r>
      <w:r w:rsidR="00E26D1B">
        <w:rPr>
          <w:rFonts w:asciiTheme="minorHAnsi" w:eastAsia="MS PGothic" w:hAnsiTheme="minorHAnsi"/>
          <w:color w:val="000000"/>
          <w:sz w:val="22"/>
          <w:szCs w:val="22"/>
          <w:lang w:val="en-US"/>
        </w:rPr>
        <w:t>provide valuable information</w:t>
      </w:r>
      <w:r w:rsidRPr="00CD666C">
        <w:rPr>
          <w:rFonts w:asciiTheme="minorHAnsi" w:eastAsia="MS PGothic" w:hAnsiTheme="minorHAnsi"/>
          <w:color w:val="000000"/>
          <w:sz w:val="22"/>
          <w:szCs w:val="22"/>
          <w:lang w:val="en-US"/>
        </w:rPr>
        <w:t>:</w:t>
      </w:r>
      <w:r w:rsidR="00F03F5B" w:rsidRPr="009A7A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A7A29" w:rsidRPr="009A7A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(1) </w:t>
      </w:r>
      <w:r w:rsidR="00F03F5B" w:rsidRPr="00F03F5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There is a positive correlation between </w:t>
      </w:r>
      <m:oMath>
        <m:sSubSup>
          <m:sSubSupPr>
            <m:ctrlPr>
              <w:rPr>
                <w:rFonts w:ascii="Cambria Math" w:eastAsia="MS PGothic" w:hAnsi="Cambria Math"/>
                <w:color w:val="000000"/>
                <w:sz w:val="22"/>
                <w:szCs w:val="22"/>
                <w:lang w:val="en-US"/>
              </w:rPr>
            </m:ctrlPr>
          </m:sSubSupPr>
          <m:e>
            <m:r>
              <w:rPr>
                <w:rFonts w:ascii="Cambria Math" w:eastAsia="MS PGothic" w:hAnsi="Cambria Math"/>
                <w:color w:val="000000"/>
                <w:sz w:val="22"/>
                <w:szCs w:val="22"/>
                <w:lang w:val="en-US"/>
              </w:rPr>
              <m:t>Sh</m:t>
            </m:r>
          </m:e>
          <m:sub>
            <m:r>
              <w:rPr>
                <w:rFonts w:ascii="Cambria Math" w:eastAsia="MS PGothic" w:hAnsi="Cambria Math"/>
                <w:color w:val="000000"/>
                <w:sz w:val="22"/>
                <w:szCs w:val="22"/>
                <w:lang w:val="en-US"/>
              </w:rPr>
              <m:t>H</m:t>
            </m:r>
          </m:sub>
          <m:sup>
            <m:r>
              <m:rPr>
                <m:sty m:val="p"/>
              </m:rPr>
              <w:rPr>
                <w:rFonts w:ascii="Cambria Math" w:eastAsia="MS PGothic" w:hAnsi="Cambria Math"/>
                <w:color w:val="000000"/>
                <w:sz w:val="22"/>
                <w:szCs w:val="22"/>
                <w:lang w:val="en-US"/>
              </w:rPr>
              <m:t>∞</m:t>
            </m:r>
          </m:sup>
        </m:sSubSup>
      </m:oMath>
      <w:r w:rsidR="00F03F5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the pipe curvature.</w:t>
      </w:r>
      <w:r w:rsidR="00F03F5B" w:rsidRPr="00F03F5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Indeed, highly curved helices involve the highest Sherwood numbers, which is explained by the fact that they engender the most intense Dean-type </w:t>
      </w:r>
      <w:proofErr w:type="spellStart"/>
      <w:r w:rsidR="00F03F5B" w:rsidRPr="00F03F5B">
        <w:rPr>
          <w:rFonts w:asciiTheme="minorHAnsi" w:eastAsia="MS PGothic" w:hAnsiTheme="minorHAnsi"/>
          <w:color w:val="000000"/>
          <w:sz w:val="22"/>
          <w:szCs w:val="22"/>
          <w:lang w:val="en-US"/>
        </w:rPr>
        <w:t>recirculations</w:t>
      </w:r>
      <w:proofErr w:type="spellEnd"/>
      <w:r w:rsidR="00F03F5B" w:rsidRPr="00F03F5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9A7A29" w:rsidRPr="009A7A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(2) </w:t>
      </w:r>
      <w:r w:rsidR="00F03F5B" w:rsidRPr="00F03F5B">
        <w:rPr>
          <w:rFonts w:asciiTheme="minorHAnsi" w:eastAsia="MS PGothic" w:hAnsiTheme="minorHAnsi"/>
          <w:color w:val="000000"/>
          <w:sz w:val="22"/>
          <w:szCs w:val="22"/>
          <w:lang w:val="en-US"/>
        </w:rPr>
        <w:t>For each dimensionless pitch,</w:t>
      </w:r>
      <m:oMath>
        <m:sSup>
          <m:sSupPr>
            <m:ctrlPr>
              <w:rPr>
                <w:rFonts w:ascii="Cambria Math" w:eastAsia="MS PGothic" w:hAnsi="Cambria Math"/>
                <w:color w:val="000000"/>
                <w:sz w:val="22"/>
                <w:szCs w:val="22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="MS PGothic" w:hAnsi="Cambria Math"/>
                <w:color w:val="000000"/>
                <w:sz w:val="22"/>
                <w:szCs w:val="22"/>
                <w:lang w:val="en-US"/>
              </w:rPr>
              <m:t xml:space="preserve"> </m:t>
            </m:r>
            <m:r>
              <w:rPr>
                <w:rFonts w:ascii="Cambria Math" w:eastAsia="MS PGothic" w:hAnsi="Cambria Math"/>
                <w:color w:val="000000"/>
                <w:sz w:val="22"/>
                <w:szCs w:val="22"/>
                <w:lang w:val="en-US"/>
              </w:rPr>
              <m:t>p</m:t>
            </m:r>
          </m:e>
          <m:sup>
            <m:r>
              <m:rPr>
                <m:sty m:val="p"/>
              </m:rPr>
              <w:rPr>
                <w:rFonts w:ascii="Cambria Math" w:eastAsia="MS PGothic" w:hAnsi="Cambria Math"/>
                <w:color w:val="000000"/>
                <w:sz w:val="22"/>
                <w:szCs w:val="22"/>
                <w:lang w:val="en-US"/>
              </w:rPr>
              <m:t>*</m:t>
            </m:r>
          </m:sup>
        </m:sSup>
      </m:oMath>
      <w:r w:rsidR="00F03F5B" w:rsidRPr="00F03F5B">
        <w:rPr>
          <w:rFonts w:asciiTheme="minorHAnsi" w:eastAsia="MS PGothic" w:hAnsiTheme="minorHAnsi"/>
          <w:color w:val="000000"/>
          <w:sz w:val="22"/>
          <w:szCs w:val="22"/>
          <w:lang w:val="en-US"/>
        </w:rPr>
        <w:t>, there exists a dimensionless helical radius,</w:t>
      </w:r>
      <m:oMath>
        <m:r>
          <m:rPr>
            <m:sty m:val="p"/>
          </m:rPr>
          <w:rPr>
            <w:rFonts w:ascii="Cambria Math" w:eastAsia="MS PGothic" w:hAnsi="Cambria Math"/>
            <w:color w:val="000000"/>
            <w:sz w:val="22"/>
            <w:szCs w:val="22"/>
            <w:lang w:val="en-US"/>
          </w:rPr>
          <m:t xml:space="preserve"> </m:t>
        </m:r>
        <m:sSubSup>
          <m:sSubSupPr>
            <m:ctrlPr>
              <w:rPr>
                <w:rFonts w:ascii="Cambria Math" w:eastAsia="MS PGothic" w:hAnsi="Cambria Math"/>
                <w:color w:val="000000"/>
                <w:sz w:val="22"/>
                <w:szCs w:val="22"/>
                <w:lang w:val="en-US"/>
              </w:rPr>
            </m:ctrlPr>
          </m:sSubSupPr>
          <m:e>
            <m:r>
              <w:rPr>
                <w:rFonts w:ascii="Cambria Math" w:eastAsia="MS PGothic" w:hAnsi="Cambria Math"/>
                <w:color w:val="000000"/>
                <w:sz w:val="22"/>
                <w:szCs w:val="22"/>
                <w:lang w:val="en-US"/>
              </w:rPr>
              <m:t>R</m:t>
            </m:r>
          </m:e>
          <m:sub>
            <m:r>
              <w:rPr>
                <w:rFonts w:ascii="Cambria Math" w:eastAsia="MS PGothic" w:hAnsi="Cambria Math"/>
                <w:color w:val="000000"/>
                <w:sz w:val="22"/>
                <w:szCs w:val="22"/>
                <w:lang w:val="en-US"/>
              </w:rPr>
              <m:t>H</m:t>
            </m:r>
          </m:sub>
          <m:sup>
            <m:r>
              <m:rPr>
                <m:sty m:val="p"/>
              </m:rPr>
              <w:rPr>
                <w:rFonts w:ascii="Cambria Math" w:eastAsia="MS PGothic" w:hAnsi="Cambria Math"/>
                <w:color w:val="000000"/>
                <w:sz w:val="22"/>
                <w:szCs w:val="22"/>
                <w:lang w:val="en-US"/>
              </w:rPr>
              <m:t>*</m:t>
            </m:r>
          </m:sup>
        </m:sSubSup>
      </m:oMath>
      <w:r w:rsidR="00F03F5B" w:rsidRPr="00F03F5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at which the Sherwood number is maximal. The ratio </w:t>
      </w:r>
      <w:bookmarkStart w:id="1" w:name="OLE_LINK1"/>
      <m:oMath>
        <m:sSubSup>
          <m:sSubSupPr>
            <m:ctrlPr>
              <w:rPr>
                <w:rFonts w:ascii="Cambria Math" w:eastAsia="MS PGothic" w:hAnsi="Cambria Math"/>
                <w:color w:val="000000"/>
                <w:sz w:val="22"/>
                <w:szCs w:val="22"/>
                <w:lang w:val="en-US"/>
              </w:rPr>
            </m:ctrlPr>
          </m:sSubSupPr>
          <m:e>
            <m:r>
              <w:rPr>
                <w:rFonts w:ascii="Cambria Math" w:eastAsia="MS PGothic" w:hAnsi="Cambria Math"/>
                <w:color w:val="000000"/>
                <w:sz w:val="22"/>
                <w:szCs w:val="22"/>
                <w:lang w:val="en-US"/>
              </w:rPr>
              <m:t>Sh</m:t>
            </m:r>
          </m:e>
          <m:sub>
            <m:r>
              <w:rPr>
                <w:rFonts w:ascii="Cambria Math" w:eastAsia="MS PGothic" w:hAnsi="Cambria Math"/>
                <w:color w:val="000000"/>
                <w:sz w:val="22"/>
                <w:szCs w:val="22"/>
                <w:lang w:val="en-US"/>
              </w:rPr>
              <m:t>H</m:t>
            </m:r>
          </m:sub>
          <m:sup>
            <m:r>
              <m:rPr>
                <m:sty m:val="p"/>
              </m:rPr>
              <w:rPr>
                <w:rFonts w:ascii="Cambria Math" w:eastAsia="MS PGothic" w:hAnsi="Cambria Math"/>
                <w:color w:val="000000"/>
                <w:sz w:val="22"/>
                <w:szCs w:val="22"/>
                <w:lang w:val="en-US"/>
              </w:rPr>
              <m:t>∞</m:t>
            </m:r>
          </m:sup>
        </m:sSubSup>
      </m:oMath>
      <w:bookmarkEnd w:id="1"/>
      <w:r w:rsidR="00F03F5B" w:rsidRPr="00F03F5B">
        <w:rPr>
          <w:rFonts w:asciiTheme="minorHAnsi" w:eastAsia="MS PGothic" w:hAnsiTheme="minorHAnsi"/>
          <w:color w:val="000000"/>
          <w:sz w:val="22"/>
          <w:szCs w:val="22"/>
          <w:lang w:val="en-US"/>
        </w:rPr>
        <w:t>/</w:t>
      </w:r>
      <m:oMath>
        <m:sSubSup>
          <m:sSubSupPr>
            <m:ctrlPr>
              <w:rPr>
                <w:rFonts w:ascii="Cambria Math" w:eastAsia="MS PGothic" w:hAnsi="Cambria Math"/>
                <w:color w:val="000000"/>
                <w:sz w:val="22"/>
                <w:szCs w:val="22"/>
                <w:lang w:val="en-US"/>
              </w:rPr>
            </m:ctrlPr>
          </m:sSubSupPr>
          <m:e>
            <m:r>
              <w:rPr>
                <w:rFonts w:ascii="Cambria Math" w:eastAsia="MS PGothic" w:hAnsi="Cambria Math"/>
                <w:color w:val="000000"/>
                <w:sz w:val="22"/>
                <w:szCs w:val="22"/>
                <w:lang w:val="en-US"/>
              </w:rPr>
              <m:t>Sh</m:t>
            </m:r>
          </m:e>
          <m:sub>
            <m:r>
              <w:rPr>
                <w:rFonts w:ascii="Cambria Math" w:eastAsia="MS PGothic" w:hAnsi="Cambria Math"/>
                <w:color w:val="000000"/>
                <w:sz w:val="22"/>
                <w:szCs w:val="22"/>
                <w:lang w:val="en-US"/>
              </w:rPr>
              <m:t>S</m:t>
            </m:r>
          </m:sub>
          <m:sup>
            <m:r>
              <m:rPr>
                <m:sty m:val="p"/>
              </m:rPr>
              <w:rPr>
                <w:rFonts w:ascii="Cambria Math" w:eastAsia="MS PGothic" w:hAnsi="Cambria Math"/>
                <w:color w:val="000000"/>
                <w:sz w:val="22"/>
                <w:szCs w:val="22"/>
                <w:lang w:val="en-US"/>
              </w:rPr>
              <m:t>∞</m:t>
            </m:r>
          </m:sup>
        </m:sSubSup>
      </m:oMath>
      <w:r w:rsidR="00F03F5B" w:rsidRPr="00F03F5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tends to one when </w:t>
      </w:r>
      <m:oMath>
        <m:sSubSup>
          <m:sSubSupPr>
            <m:ctrlPr>
              <w:rPr>
                <w:rFonts w:ascii="Cambria Math" w:eastAsia="MS PGothic" w:hAnsi="Cambria Math"/>
                <w:color w:val="000000"/>
                <w:sz w:val="22"/>
                <w:szCs w:val="22"/>
                <w:lang w:val="en-US"/>
              </w:rPr>
            </m:ctrlPr>
          </m:sSubSupPr>
          <m:e>
            <m:r>
              <w:rPr>
                <w:rFonts w:ascii="Cambria Math" w:eastAsia="MS PGothic" w:hAnsi="Cambria Math"/>
                <w:color w:val="000000"/>
                <w:sz w:val="22"/>
                <w:szCs w:val="22"/>
                <w:lang w:val="en-US"/>
              </w:rPr>
              <m:t>R</m:t>
            </m:r>
          </m:e>
          <m:sub>
            <m:r>
              <w:rPr>
                <w:rFonts w:ascii="Cambria Math" w:eastAsia="MS PGothic" w:hAnsi="Cambria Math"/>
                <w:color w:val="000000"/>
                <w:sz w:val="22"/>
                <w:szCs w:val="22"/>
                <w:lang w:val="en-US"/>
              </w:rPr>
              <m:t>H</m:t>
            </m:r>
          </m:sub>
          <m:sup>
            <m:r>
              <m:rPr>
                <m:sty m:val="p"/>
              </m:rPr>
              <w:rPr>
                <w:rFonts w:ascii="Cambria Math" w:eastAsia="MS PGothic" w:hAnsi="Cambria Math"/>
                <w:color w:val="000000"/>
                <w:sz w:val="22"/>
                <w:szCs w:val="22"/>
                <w:lang w:val="en-US"/>
              </w:rPr>
              <m:t>*</m:t>
            </m:r>
          </m:sup>
        </m:sSubSup>
      </m:oMath>
      <w:r w:rsidR="00F03F5B" w:rsidRPr="00F03F5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tends to zero or infinity, since the helical geometry appr</w:t>
      </w:r>
      <w:r w:rsidR="009A7A29">
        <w:rPr>
          <w:rFonts w:asciiTheme="minorHAnsi" w:eastAsia="MS PGothic" w:hAnsiTheme="minorHAnsi"/>
          <w:color w:val="000000"/>
          <w:sz w:val="22"/>
          <w:szCs w:val="22"/>
          <w:lang w:val="en-US"/>
        </w:rPr>
        <w:t>oaches that of a straight pipe. (3)</w:t>
      </w:r>
      <w:r w:rsidR="00F03F5B" w:rsidRPr="00F03F5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mass transfer efficiency is extremely sensitive to the pitch value in the case of high curved helixes. For an infinite pitch, </w:t>
      </w:r>
      <m:oMath>
        <m:sSubSup>
          <m:sSubSupPr>
            <m:ctrlPr>
              <w:rPr>
                <w:rFonts w:ascii="Cambria Math" w:eastAsia="MS PGothic" w:hAnsi="Cambria Math"/>
                <w:color w:val="000000"/>
                <w:sz w:val="22"/>
                <w:szCs w:val="22"/>
                <w:lang w:val="en-US"/>
              </w:rPr>
            </m:ctrlPr>
          </m:sSubSupPr>
          <m:e>
            <m:r>
              <w:rPr>
                <w:rFonts w:ascii="Cambria Math" w:eastAsia="MS PGothic" w:hAnsi="Cambria Math"/>
                <w:color w:val="000000"/>
                <w:sz w:val="22"/>
                <w:szCs w:val="22"/>
                <w:lang w:val="en-US"/>
              </w:rPr>
              <m:t>Sh</m:t>
            </m:r>
          </m:e>
          <m:sub>
            <m:r>
              <w:rPr>
                <w:rFonts w:ascii="Cambria Math" w:eastAsia="MS PGothic" w:hAnsi="Cambria Math"/>
                <w:color w:val="000000"/>
                <w:sz w:val="22"/>
                <w:szCs w:val="22"/>
                <w:lang w:val="en-US"/>
              </w:rPr>
              <m:t>H</m:t>
            </m:r>
          </m:sub>
          <m:sup>
            <m:r>
              <m:rPr>
                <m:sty m:val="p"/>
              </m:rPr>
              <w:rPr>
                <w:rFonts w:ascii="Cambria Math" w:eastAsia="MS PGothic" w:hAnsi="Cambria Math"/>
                <w:color w:val="000000"/>
                <w:sz w:val="22"/>
                <w:szCs w:val="22"/>
                <w:lang w:val="en-US"/>
              </w:rPr>
              <m:t>∞</m:t>
            </m:r>
          </m:sup>
        </m:sSubSup>
        <m:r>
          <m:rPr>
            <m:sty m:val="p"/>
          </m:rPr>
          <w:rPr>
            <w:rFonts w:ascii="Cambria Math" w:eastAsia="MS PGothic" w:hAnsi="Cambria Math"/>
            <w:color w:val="000000"/>
            <w:sz w:val="22"/>
            <w:szCs w:val="22"/>
            <w:lang w:val="en-US"/>
          </w:rPr>
          <m:t>/</m:t>
        </m:r>
        <m:sSubSup>
          <m:sSubSupPr>
            <m:ctrlPr>
              <w:rPr>
                <w:rFonts w:ascii="Cambria Math" w:eastAsia="MS PGothic" w:hAnsi="Cambria Math"/>
                <w:color w:val="000000"/>
                <w:sz w:val="22"/>
                <w:szCs w:val="22"/>
                <w:lang w:val="en-US"/>
              </w:rPr>
            </m:ctrlPr>
          </m:sSubSupPr>
          <m:e>
            <m:r>
              <w:rPr>
                <w:rFonts w:ascii="Cambria Math" w:eastAsia="MS PGothic" w:hAnsi="Cambria Math"/>
                <w:color w:val="000000"/>
                <w:sz w:val="22"/>
                <w:szCs w:val="22"/>
                <w:lang w:val="en-US"/>
              </w:rPr>
              <m:t>Sh</m:t>
            </m:r>
          </m:e>
          <m:sub>
            <m:r>
              <w:rPr>
                <w:rFonts w:ascii="Cambria Math" w:eastAsia="MS PGothic" w:hAnsi="Cambria Math"/>
                <w:color w:val="000000"/>
                <w:sz w:val="22"/>
                <w:szCs w:val="22"/>
                <w:lang w:val="en-US"/>
              </w:rPr>
              <m:t>S</m:t>
            </m:r>
          </m:sub>
          <m:sup>
            <m:r>
              <m:rPr>
                <m:sty m:val="p"/>
              </m:rPr>
              <w:rPr>
                <w:rFonts w:ascii="Cambria Math" w:eastAsia="MS PGothic" w:hAnsi="Cambria Math"/>
                <w:color w:val="000000"/>
                <w:sz w:val="22"/>
                <w:szCs w:val="22"/>
                <w:lang w:val="en-US"/>
              </w:rPr>
              <m:t>∞</m:t>
            </m:r>
          </m:sup>
        </m:sSubSup>
      </m:oMath>
      <w:r w:rsidR="00F03F5B" w:rsidRPr="00F03F5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tends to one since the helical geometry tends to a straight pipe. </w:t>
      </w:r>
      <w:r w:rsidR="009A7A29" w:rsidRPr="009A7A29">
        <w:rPr>
          <w:rFonts w:asciiTheme="minorHAnsi" w:eastAsia="MS PGothic" w:hAnsiTheme="minorHAnsi"/>
          <w:color w:val="000000"/>
          <w:sz w:val="22"/>
          <w:szCs w:val="22"/>
          <w:lang w:val="en-US"/>
        </w:rPr>
        <w:t>(4)</w:t>
      </w:r>
      <w:r w:rsidR="00F03F5B" w:rsidRPr="00F03F5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C6B32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mass transfer enhancement</w:t>
      </w:r>
      <w:r w:rsidR="00F03F5B" w:rsidRPr="00F03F5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566E3" w:rsidRPr="00F03F5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is the highest </w:t>
      </w:r>
      <w:r w:rsidR="000566E3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the case of</w:t>
      </w:r>
      <w:r w:rsidR="000566E3" w:rsidRPr="00F03F5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highly curved heli</w:t>
      </w:r>
      <w:r w:rsidR="000566E3">
        <w:rPr>
          <w:rFonts w:asciiTheme="minorHAnsi" w:eastAsia="MS PGothic" w:hAnsiTheme="minorHAnsi"/>
          <w:color w:val="000000"/>
          <w:sz w:val="22"/>
          <w:szCs w:val="22"/>
          <w:lang w:val="en-US"/>
        </w:rPr>
        <w:t>xes</w:t>
      </w:r>
      <w:r w:rsidR="000566E3" w:rsidRPr="00F03F5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566E3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</w:t>
      </w:r>
      <w:r w:rsidR="000566E3" w:rsidRPr="00F03F5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03F5B" w:rsidRPr="00F03F5B">
        <w:rPr>
          <w:rFonts w:asciiTheme="minorHAnsi" w:eastAsia="MS PGothic" w:hAnsiTheme="minorHAnsi"/>
          <w:color w:val="000000"/>
          <w:sz w:val="22"/>
          <w:szCs w:val="22"/>
          <w:lang w:val="en-US"/>
        </w:rPr>
        <w:t>increas</w:t>
      </w:r>
      <w:r w:rsidR="000566E3">
        <w:rPr>
          <w:rFonts w:asciiTheme="minorHAnsi" w:eastAsia="MS PGothic" w:hAnsiTheme="minorHAnsi"/>
          <w:color w:val="000000"/>
          <w:sz w:val="22"/>
          <w:szCs w:val="22"/>
          <w:lang w:val="en-US"/>
        </w:rPr>
        <w:t>es when</w:t>
      </w:r>
      <w:r w:rsidR="00F03F5B" w:rsidRPr="00F03F5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Schmidt number</w:t>
      </w:r>
      <w:r w:rsidR="000566E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 increased</w:t>
      </w:r>
      <w:r w:rsidR="00F03F5B" w:rsidRPr="00F03F5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</w:p>
    <w:p w:rsidR="000566E3" w:rsidRPr="007A37F7" w:rsidRDefault="002B67AF" w:rsidP="00E26D1B">
      <w:pPr>
        <w:spacing w:line="240" w:lineRule="auto"/>
        <w:ind w:firstLine="284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noProof/>
          <w:color w:val="000000"/>
          <w:sz w:val="22"/>
          <w:szCs w:val="22"/>
          <w:lang w:val="it-IT" w:eastAsia="it-IT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138430</wp:posOffset>
            </wp:positionV>
            <wp:extent cx="2623185" cy="1384300"/>
            <wp:effectExtent l="0" t="0" r="0" b="0"/>
            <wp:wrapThrough wrapText="bothSides">
              <wp:wrapPolygon edited="0">
                <wp:start x="0" y="0"/>
                <wp:lineTo x="0" y="21402"/>
                <wp:lineTo x="21490" y="21402"/>
                <wp:lineTo x="21490" y="0"/>
                <wp:lineTo x="0" y="0"/>
              </wp:wrapPolygon>
            </wp:wrapThrough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ure7a.tif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15" r="1845" b="3866"/>
                    <a:stretch/>
                  </pic:blipFill>
                  <pic:spPr bwMode="auto">
                    <a:xfrm>
                      <a:off x="0" y="0"/>
                      <a:ext cx="2623185" cy="1384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666C" w:rsidRPr="00F03F5B" w:rsidRDefault="003F72FB" w:rsidP="00CD666C">
      <w:pPr>
        <w:spacing w:line="240" w:lineRule="auto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748665</wp:posOffset>
                </wp:positionH>
                <wp:positionV relativeFrom="paragraph">
                  <wp:posOffset>1446549</wp:posOffset>
                </wp:positionV>
                <wp:extent cx="4391660" cy="288925"/>
                <wp:effectExtent l="0" t="0" r="0" b="0"/>
                <wp:wrapThrough wrapText="bothSides">
                  <wp:wrapPolygon edited="0">
                    <wp:start x="0" y="0"/>
                    <wp:lineTo x="0" y="19938"/>
                    <wp:lineTo x="21550" y="19938"/>
                    <wp:lineTo x="21550" y="0"/>
                    <wp:lineTo x="0" y="0"/>
                  </wp:wrapPolygon>
                </wp:wrapThrough>
                <wp:docPr id="7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91660" cy="2889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E76C9" w:rsidRPr="00605BD4" w:rsidRDefault="00BE76C9" w:rsidP="00AF587B">
                            <w:pPr>
                              <w:pStyle w:val="Didascalia"/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color w:val="auto"/>
                                <w:lang w:val="en-US"/>
                              </w:rPr>
                            </w:pPr>
                            <w:r w:rsidRPr="00605BD4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color w:val="auto"/>
                                <w:lang w:val="en-US"/>
                              </w:rPr>
                              <w:t xml:space="preserve">Figure 2: Contour plots of </w:t>
                            </w:r>
                            <m:oMath>
                              <m:sSubSup>
                                <m:sSubSupPr>
                                  <m:ctrlPr>
                                    <w:rPr>
                                      <w:rFonts w:ascii="Cambria Math" w:hAnsi="Cambria Math" w:cstheme="minorHAnsi"/>
                                      <w:b w:val="0"/>
                                      <w:bCs w:val="0"/>
                                      <w:color w:val="auto"/>
                                      <w:lang w:val="en-US"/>
                                    </w:rPr>
                                  </m:ctrlPr>
                                </m:sSub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HAnsi"/>
                                      <w:color w:val="auto"/>
                                      <w:lang w:val="en-US"/>
                                    </w:rPr>
                                    <m:t>Sh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HAnsi"/>
                                      <w:color w:val="auto"/>
                                      <w:lang w:val="en-US"/>
                                    </w:rPr>
                                    <m:t>H</m:t>
                                  </m:r>
                                </m:sub>
                                <m:sup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theme="minorHAnsi"/>
                                      <w:color w:val="auto"/>
                                      <w:lang w:val="en-US"/>
                                    </w:rPr>
                                    <m:t>∞</m:t>
                                  </m:r>
                                </m:sup>
                              </m:sSubSup>
                            </m:oMath>
                            <w:r w:rsidRPr="00605BD4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color w:val="auto"/>
                                <w:lang w:val="en-US"/>
                              </w:rPr>
                              <w:t xml:space="preserve"> to </w:t>
                            </w:r>
                            <m:oMath>
                              <m:sSubSup>
                                <m:sSubSupPr>
                                  <m:ctrlPr>
                                    <w:rPr>
                                      <w:rFonts w:ascii="Cambria Math" w:hAnsi="Cambria Math" w:cstheme="minorHAnsi"/>
                                      <w:b w:val="0"/>
                                      <w:bCs w:val="0"/>
                                      <w:color w:val="auto"/>
                                      <w:lang w:val="en-US"/>
                                    </w:rPr>
                                  </m:ctrlPr>
                                </m:sSub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HAnsi"/>
                                      <w:color w:val="auto"/>
                                      <w:lang w:val="en-US"/>
                                    </w:rPr>
                                    <m:t>Sh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HAnsi"/>
                                      <w:color w:val="auto"/>
                                      <w:lang w:val="en-US"/>
                                    </w:rPr>
                                    <m:t>S</m:t>
                                  </m:r>
                                </m:sub>
                                <m:sup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theme="minorHAnsi"/>
                                      <w:color w:val="auto"/>
                                      <w:lang w:val="en-US"/>
                                    </w:rPr>
                                    <m:t>∞</m:t>
                                  </m:r>
                                </m:sup>
                              </m:sSubSup>
                            </m:oMath>
                            <w:r w:rsidRPr="00605BD4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color w:val="auto"/>
                                <w:lang w:val="en-US"/>
                              </w:rPr>
                              <w:t xml:space="preserve"> ratio at different Schmidt numbers and a Reynolds number of 400. The data is interpolated from CFD results marked with black dots. </w:t>
                            </w:r>
                          </w:p>
                          <w:p w:rsidR="00BE76C9" w:rsidRPr="00605BD4" w:rsidRDefault="00BE76C9" w:rsidP="00AF587B">
                            <w:pPr>
                              <w:pStyle w:val="Didascalia"/>
                              <w:rPr>
                                <w:rFonts w:asciiTheme="minorHAnsi" w:hAnsiTheme="minorHAnsi" w:cstheme="minorHAnsi"/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Zone de texte 3" o:spid="_x0000_s1027" type="#_x0000_t202" style="position:absolute;left:0;text-align:left;margin-left:58.95pt;margin-top:113.9pt;width:345.8pt;height:2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" stroked="f">
                <v:textbox inset="0,0,0,0">
                  <w:txbxContent>
                    <w:p w:rsidR="00BE76C9" w:rsidRPr="00605BD4" w:rsidRDefault="00BE76C9" w:rsidP="00AF587B">
                      <w:pPr>
                        <w:pStyle w:val="Lgende"/>
                        <w:rPr>
                          <w:rFonts w:asciiTheme="minorHAnsi" w:hAnsiTheme="minorHAnsi" w:cstheme="minorHAnsi"/>
                          <w:b w:val="0"/>
                          <w:bCs w:val="0"/>
                          <w:color w:val="auto"/>
                          <w:lang w:val="en-US"/>
                        </w:rPr>
                      </w:pPr>
                      <w:r w:rsidRPr="00605BD4">
                        <w:rPr>
                          <w:rFonts w:asciiTheme="minorHAnsi" w:hAnsiTheme="minorHAnsi" w:cstheme="minorHAnsi"/>
                          <w:b w:val="0"/>
                          <w:bCs w:val="0"/>
                          <w:color w:val="auto"/>
                          <w:lang w:val="en-US"/>
                        </w:rPr>
                        <w:t xml:space="preserve">Figure 2: Contour plots of </w:t>
                      </w:r>
                      <m:oMath>
                        <m:sSubSup>
                          <m:sSubSupPr>
                            <m:ctrlPr>
                              <w:rPr>
                                <w:rFonts w:ascii="Cambria Math" w:hAnsi="Cambria Math" w:cstheme="minorHAnsi"/>
                                <w:b w:val="0"/>
                                <w:bCs w:val="0"/>
                                <w:color w:val="auto"/>
                                <w:lang w:val="en-US"/>
                              </w:rPr>
                            </m:ctrlPr>
                          </m:sSub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color w:val="auto"/>
                                <w:lang w:val="en-US"/>
                              </w:rPr>
                              <m:t>Sh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color w:val="auto"/>
                                <w:lang w:val="en-US"/>
                              </w:rPr>
                              <m:t>H</m:t>
                            </m:r>
                          </m:sub>
                          <m:sup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theme="minorHAnsi"/>
                                <w:color w:val="auto"/>
                                <w:lang w:val="en-US"/>
                              </w:rPr>
                              <m:t>∞</m:t>
                            </m:r>
                          </m:sup>
                        </m:sSubSup>
                      </m:oMath>
                      <w:r w:rsidRPr="00605BD4">
                        <w:rPr>
                          <w:rFonts w:asciiTheme="minorHAnsi" w:hAnsiTheme="minorHAnsi" w:cstheme="minorHAnsi"/>
                          <w:b w:val="0"/>
                          <w:bCs w:val="0"/>
                          <w:color w:val="auto"/>
                          <w:lang w:val="en-US"/>
                        </w:rPr>
                        <w:t xml:space="preserve"> to </w:t>
                      </w:r>
                      <m:oMath>
                        <m:sSubSup>
                          <m:sSubSupPr>
                            <m:ctrlPr>
                              <w:rPr>
                                <w:rFonts w:ascii="Cambria Math" w:hAnsi="Cambria Math" w:cstheme="minorHAnsi"/>
                                <w:b w:val="0"/>
                                <w:bCs w:val="0"/>
                                <w:color w:val="auto"/>
                                <w:lang w:val="en-US"/>
                              </w:rPr>
                            </m:ctrlPr>
                          </m:sSub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color w:val="auto"/>
                                <w:lang w:val="en-US"/>
                              </w:rPr>
                              <m:t>Sh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color w:val="auto"/>
                                <w:lang w:val="en-US"/>
                              </w:rPr>
                              <m:t>S</m:t>
                            </m:r>
                          </m:sub>
                          <m:sup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theme="minorHAnsi"/>
                                <w:color w:val="auto"/>
                                <w:lang w:val="en-US"/>
                              </w:rPr>
                              <m:t>∞</m:t>
                            </m:r>
                          </m:sup>
                        </m:sSubSup>
                      </m:oMath>
                      <w:r w:rsidRPr="00605BD4">
                        <w:rPr>
                          <w:rFonts w:asciiTheme="minorHAnsi" w:hAnsiTheme="minorHAnsi" w:cstheme="minorHAnsi"/>
                          <w:b w:val="0"/>
                          <w:bCs w:val="0"/>
                          <w:color w:val="auto"/>
                          <w:lang w:val="en-US"/>
                        </w:rPr>
                        <w:t xml:space="preserve"> ratio at different Schmidt numbers and a Reynolds number of 400. The data is interpolated from CFD results marked with black dots. </w:t>
                      </w:r>
                    </w:p>
                    <w:p w:rsidR="00BE76C9" w:rsidRPr="00605BD4" w:rsidRDefault="00BE76C9" w:rsidP="00AF587B">
                      <w:pPr>
                        <w:pStyle w:val="Lgende"/>
                        <w:rPr>
                          <w:rFonts w:asciiTheme="minorHAnsi" w:hAnsiTheme="minorHAnsi" w:cstheme="minorHAnsi"/>
                          <w:noProof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2B67AF">
        <w:rPr>
          <w:rFonts w:asciiTheme="minorHAnsi" w:eastAsia="MS PGothic" w:hAnsiTheme="minorHAnsi"/>
          <w:noProof/>
          <w:color w:val="000000"/>
          <w:sz w:val="22"/>
          <w:szCs w:val="22"/>
          <w:lang w:val="it-IT" w:eastAsia="it-IT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posOffset>2656840</wp:posOffset>
            </wp:positionH>
            <wp:positionV relativeFrom="paragraph">
              <wp:posOffset>2540</wp:posOffset>
            </wp:positionV>
            <wp:extent cx="2644775" cy="1367790"/>
            <wp:effectExtent l="19050" t="0" r="3175" b="0"/>
            <wp:wrapThrough wrapText="bothSides">
              <wp:wrapPolygon edited="0">
                <wp:start x="-156" y="0"/>
                <wp:lineTo x="-156" y="21359"/>
                <wp:lineTo x="21626" y="21359"/>
                <wp:lineTo x="21626" y="0"/>
                <wp:lineTo x="-156" y="0"/>
              </wp:wrapPolygon>
            </wp:wrapThrough>
            <wp:docPr id="6" name="Image 6" descr="Une image contenant texte, car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igure7b.tif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62" r="2412" b="1717"/>
                    <a:stretch/>
                  </pic:blipFill>
                  <pic:spPr bwMode="auto">
                    <a:xfrm>
                      <a:off x="0" y="0"/>
                      <a:ext cx="2644775" cy="1367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CD666C" w:rsidRDefault="00CD666C" w:rsidP="00DF3273">
      <w:pPr>
        <w:tabs>
          <w:tab w:val="left" w:pos="665"/>
        </w:tabs>
        <w:spacing w:line="240" w:lineRule="auto"/>
        <w:ind w:firstLine="284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</w:p>
    <w:p w:rsidR="00CD666C" w:rsidRDefault="00CD666C" w:rsidP="00DF3273">
      <w:pPr>
        <w:tabs>
          <w:tab w:val="left" w:pos="665"/>
        </w:tabs>
        <w:spacing w:line="240" w:lineRule="auto"/>
        <w:ind w:firstLine="284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</w:p>
    <w:p w:rsidR="002B67AF" w:rsidRDefault="002B67AF" w:rsidP="001A1461">
      <w:pPr>
        <w:snapToGrid w:val="0"/>
        <w:spacing w:after="120"/>
        <w:rPr>
          <w:rFonts w:asciiTheme="minorHAnsi" w:eastAsia="MS PGothic" w:hAnsiTheme="minorHAnsi"/>
          <w:b/>
          <w:bCs/>
          <w:color w:val="000000"/>
          <w:sz w:val="20"/>
          <w:lang w:val="en-US"/>
        </w:rPr>
      </w:pPr>
    </w:p>
    <w:p w:rsidR="002B67AF" w:rsidRDefault="00704BDF" w:rsidP="002B67AF">
      <w:pPr>
        <w:snapToGrid w:val="0"/>
        <w:spacing w:after="120"/>
        <w:rPr>
          <w:rFonts w:asciiTheme="minorHAnsi" w:eastAsia="MS PGothic" w:hAnsiTheme="minorHAnsi"/>
          <w:b/>
          <w:bCs/>
          <w:color w:val="000000"/>
          <w:sz w:val="20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  <w:r w:rsid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 </w:t>
      </w:r>
    </w:p>
    <w:p w:rsidR="00704BDF" w:rsidRPr="00E95569" w:rsidRDefault="002B67AF" w:rsidP="002B67AF">
      <w:pPr>
        <w:snapToGrid w:val="0"/>
        <w:spacing w:after="120"/>
        <w:rPr>
          <w:rFonts w:asciiTheme="minorHAnsi" w:eastAsia="MS PGothic" w:hAnsiTheme="minorHAnsi"/>
          <w:color w:val="000000"/>
          <w:sz w:val="20"/>
          <w:lang w:val="en-US"/>
        </w:rPr>
      </w:pPr>
      <w:r w:rsidRPr="00E95569">
        <w:rPr>
          <w:rFonts w:asciiTheme="minorHAnsi" w:hAnsiTheme="minorHAnsi" w:cstheme="minorHAnsi"/>
          <w:color w:val="222222"/>
          <w:sz w:val="20"/>
          <w:shd w:val="clear" w:color="auto" w:fill="FFFFFF"/>
        </w:rPr>
        <w:t>[</w:t>
      </w:r>
      <w:r w:rsidR="00442D46" w:rsidRPr="00E95569">
        <w:rPr>
          <w:rFonts w:asciiTheme="minorHAnsi" w:hAnsiTheme="minorHAnsi" w:cstheme="minorHAnsi"/>
          <w:color w:val="222222"/>
          <w:sz w:val="20"/>
          <w:shd w:val="clear" w:color="auto" w:fill="FFFFFF"/>
        </w:rPr>
        <w:t>1] Przybył</w:t>
      </w:r>
      <w:r w:rsidR="008D0969" w:rsidRPr="00E95569">
        <w:rPr>
          <w:rFonts w:asciiTheme="minorHAnsi" w:hAnsiTheme="minorHAnsi" w:cstheme="minorHAnsi"/>
          <w:color w:val="222222"/>
          <w:sz w:val="20"/>
          <w:shd w:val="clear" w:color="auto" w:fill="FFFFFF"/>
        </w:rPr>
        <w:t>, S., &amp; Pierański, P. (2001). Helical close packings of ideal ropes. The European Physical Journal E, 4(4), 445-449.</w:t>
      </w:r>
    </w:p>
    <w:sectPr w:rsidR="00704BDF" w:rsidRPr="00E95569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DBE" w:rsidRDefault="00676DBE" w:rsidP="004F5E36">
      <w:r>
        <w:separator/>
      </w:r>
    </w:p>
  </w:endnote>
  <w:endnote w:type="continuationSeparator" w:id="0">
    <w:p w:rsidR="00676DBE" w:rsidRDefault="00676DBE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DBE" w:rsidRDefault="00676DBE" w:rsidP="004F5E36">
      <w:r>
        <w:separator/>
      </w:r>
    </w:p>
  </w:footnote>
  <w:footnote w:type="continuationSeparator" w:id="0">
    <w:p w:rsidR="00676DBE" w:rsidRDefault="00676DBE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6C9" w:rsidRDefault="00931364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>
              <wp:simplePos x="0" y="0"/>
              <wp:positionH relativeFrom="column">
                <wp:posOffset>19050</wp:posOffset>
              </wp:positionH>
              <wp:positionV relativeFrom="paragraph">
                <wp:posOffset>799464</wp:posOffset>
              </wp:positionV>
              <wp:extent cx="5581650" cy="0"/>
              <wp:effectExtent l="38100" t="38100" r="57150" b="76200"/>
              <wp:wrapNone/>
              <wp:docPr id="86" name="Connettore 1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B2EAD0D" id="Connettore 1 86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" strokecolor="#002060" strokeweight="2pt">
              <v:shadow on="t" color="black" opacity="24903f" origin=",.5" offset="0,.55556mm"/>
              <o:lock v:ext="edit" shapetype="f"/>
            </v:line>
          </w:pict>
        </mc:Fallback>
      </mc:AlternateContent>
    </w:r>
    <w:r w:rsidR="00BE76C9">
      <w:rPr>
        <w:noProof/>
        <w:lang w:val="it-IT" w:eastAsia="it-I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6C9" w:rsidRPr="00DE0019" w:rsidRDefault="00BE76C9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th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EUROPEAN CONGRESS OF 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2019</w:t>
    </w:r>
  </w:p>
  <w:p w:rsidR="00BE76C9" w:rsidRDefault="00BE76C9">
    <w:pPr>
      <w:pStyle w:val="Intestazione"/>
    </w:pPr>
  </w:p>
  <w:p w:rsidR="00BE76C9" w:rsidRDefault="00931364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76199</wp:posOffset>
              </wp:positionV>
              <wp:extent cx="5581650" cy="0"/>
              <wp:effectExtent l="38100" t="38100" r="57150" b="76200"/>
              <wp:wrapNone/>
              <wp:docPr id="12" name="Connettore 1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A4D46F0" id="Connettore 1 1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" strokecolor="#002060" strokeweight="2pt">
              <v:shadow on="t" color="black" opacity="24903f" origin=",.5" offset="0,.55556mm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asemplic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1F49D8"/>
    <w:multiLevelType w:val="hybridMultilevel"/>
    <w:tmpl w:val="F67A3FFC"/>
    <w:lvl w:ilvl="0" w:tplc="CF0ED4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7"/>
  </w:num>
  <w:num w:numId="17">
    <w:abstractNumId w:val="1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A"/>
    <w:rsid w:val="000027C0"/>
    <w:rsid w:val="000117CB"/>
    <w:rsid w:val="00016910"/>
    <w:rsid w:val="0003148D"/>
    <w:rsid w:val="00047A4F"/>
    <w:rsid w:val="00051F68"/>
    <w:rsid w:val="00054E97"/>
    <w:rsid w:val="00056278"/>
    <w:rsid w:val="000566E3"/>
    <w:rsid w:val="00062A9A"/>
    <w:rsid w:val="000718E7"/>
    <w:rsid w:val="00076356"/>
    <w:rsid w:val="000811E3"/>
    <w:rsid w:val="000A03B2"/>
    <w:rsid w:val="000B0458"/>
    <w:rsid w:val="000B7AC8"/>
    <w:rsid w:val="000C6B32"/>
    <w:rsid w:val="000C6D42"/>
    <w:rsid w:val="000D34BE"/>
    <w:rsid w:val="000D7202"/>
    <w:rsid w:val="000E36F1"/>
    <w:rsid w:val="000E3A73"/>
    <w:rsid w:val="000E414A"/>
    <w:rsid w:val="0010760B"/>
    <w:rsid w:val="00111B81"/>
    <w:rsid w:val="00117465"/>
    <w:rsid w:val="00123C90"/>
    <w:rsid w:val="001254AD"/>
    <w:rsid w:val="0012554D"/>
    <w:rsid w:val="0013058F"/>
    <w:rsid w:val="0013121F"/>
    <w:rsid w:val="00134DE4"/>
    <w:rsid w:val="00135A25"/>
    <w:rsid w:val="00136555"/>
    <w:rsid w:val="001370E0"/>
    <w:rsid w:val="00143553"/>
    <w:rsid w:val="001475AE"/>
    <w:rsid w:val="00150E59"/>
    <w:rsid w:val="00165CA5"/>
    <w:rsid w:val="001747C5"/>
    <w:rsid w:val="001806A0"/>
    <w:rsid w:val="00184AD6"/>
    <w:rsid w:val="001940E5"/>
    <w:rsid w:val="001A0FE3"/>
    <w:rsid w:val="001A1461"/>
    <w:rsid w:val="001A17FB"/>
    <w:rsid w:val="001A5D30"/>
    <w:rsid w:val="001A7E46"/>
    <w:rsid w:val="001B65C1"/>
    <w:rsid w:val="001C684B"/>
    <w:rsid w:val="001D53FC"/>
    <w:rsid w:val="001E0683"/>
    <w:rsid w:val="001E315B"/>
    <w:rsid w:val="001E7AD3"/>
    <w:rsid w:val="001F17E6"/>
    <w:rsid w:val="001F2EC7"/>
    <w:rsid w:val="001F69A3"/>
    <w:rsid w:val="002065DB"/>
    <w:rsid w:val="00210820"/>
    <w:rsid w:val="0021769A"/>
    <w:rsid w:val="002235D8"/>
    <w:rsid w:val="00230C83"/>
    <w:rsid w:val="002344EE"/>
    <w:rsid w:val="002369B4"/>
    <w:rsid w:val="00236B49"/>
    <w:rsid w:val="00242A67"/>
    <w:rsid w:val="002447EF"/>
    <w:rsid w:val="00246F6D"/>
    <w:rsid w:val="00251550"/>
    <w:rsid w:val="0025302A"/>
    <w:rsid w:val="0026023E"/>
    <w:rsid w:val="00263BC0"/>
    <w:rsid w:val="0027221A"/>
    <w:rsid w:val="00275B61"/>
    <w:rsid w:val="0028035D"/>
    <w:rsid w:val="0028370B"/>
    <w:rsid w:val="00286EDB"/>
    <w:rsid w:val="00294316"/>
    <w:rsid w:val="002A21A0"/>
    <w:rsid w:val="002A7662"/>
    <w:rsid w:val="002B67AF"/>
    <w:rsid w:val="002C696D"/>
    <w:rsid w:val="002D1F12"/>
    <w:rsid w:val="002E2BAF"/>
    <w:rsid w:val="002F3688"/>
    <w:rsid w:val="003009B7"/>
    <w:rsid w:val="0030469C"/>
    <w:rsid w:val="0030472B"/>
    <w:rsid w:val="00304E93"/>
    <w:rsid w:val="003358A4"/>
    <w:rsid w:val="00337338"/>
    <w:rsid w:val="003634C1"/>
    <w:rsid w:val="003723D4"/>
    <w:rsid w:val="00373470"/>
    <w:rsid w:val="00394288"/>
    <w:rsid w:val="00395BEC"/>
    <w:rsid w:val="003A7D1C"/>
    <w:rsid w:val="003C4B8C"/>
    <w:rsid w:val="003C58E5"/>
    <w:rsid w:val="003F0D80"/>
    <w:rsid w:val="003F72FB"/>
    <w:rsid w:val="00402155"/>
    <w:rsid w:val="00407A5F"/>
    <w:rsid w:val="00427F31"/>
    <w:rsid w:val="00431330"/>
    <w:rsid w:val="00442CEF"/>
    <w:rsid w:val="00442D46"/>
    <w:rsid w:val="004437C8"/>
    <w:rsid w:val="004572D0"/>
    <w:rsid w:val="0046164A"/>
    <w:rsid w:val="00462DCD"/>
    <w:rsid w:val="00480828"/>
    <w:rsid w:val="00484735"/>
    <w:rsid w:val="004851F6"/>
    <w:rsid w:val="00487674"/>
    <w:rsid w:val="00490C0C"/>
    <w:rsid w:val="004A78C7"/>
    <w:rsid w:val="004B11F8"/>
    <w:rsid w:val="004B28AA"/>
    <w:rsid w:val="004C50E7"/>
    <w:rsid w:val="004D1162"/>
    <w:rsid w:val="004E47B9"/>
    <w:rsid w:val="004E4DD6"/>
    <w:rsid w:val="004E7377"/>
    <w:rsid w:val="004F5E36"/>
    <w:rsid w:val="005005BC"/>
    <w:rsid w:val="005119A5"/>
    <w:rsid w:val="00511EA1"/>
    <w:rsid w:val="00525154"/>
    <w:rsid w:val="005278B7"/>
    <w:rsid w:val="00530A21"/>
    <w:rsid w:val="00531427"/>
    <w:rsid w:val="005346C8"/>
    <w:rsid w:val="00541391"/>
    <w:rsid w:val="00543C0F"/>
    <w:rsid w:val="0054621B"/>
    <w:rsid w:val="005464AE"/>
    <w:rsid w:val="00551207"/>
    <w:rsid w:val="00553917"/>
    <w:rsid w:val="0055714C"/>
    <w:rsid w:val="00560CC7"/>
    <w:rsid w:val="00563AFD"/>
    <w:rsid w:val="00577911"/>
    <w:rsid w:val="00594E9F"/>
    <w:rsid w:val="005A29C6"/>
    <w:rsid w:val="005A3D20"/>
    <w:rsid w:val="005A4841"/>
    <w:rsid w:val="005B5FC1"/>
    <w:rsid w:val="005B61E6"/>
    <w:rsid w:val="005C5169"/>
    <w:rsid w:val="005C77E1"/>
    <w:rsid w:val="005D6A2F"/>
    <w:rsid w:val="005D6D57"/>
    <w:rsid w:val="005E0D99"/>
    <w:rsid w:val="005E1A82"/>
    <w:rsid w:val="005E2FED"/>
    <w:rsid w:val="005F0A28"/>
    <w:rsid w:val="005F0E5E"/>
    <w:rsid w:val="005F654D"/>
    <w:rsid w:val="005F6780"/>
    <w:rsid w:val="005F6987"/>
    <w:rsid w:val="00601521"/>
    <w:rsid w:val="00605BD4"/>
    <w:rsid w:val="006064B6"/>
    <w:rsid w:val="0061200E"/>
    <w:rsid w:val="00615993"/>
    <w:rsid w:val="00615A99"/>
    <w:rsid w:val="00620DEE"/>
    <w:rsid w:val="00625639"/>
    <w:rsid w:val="006300DC"/>
    <w:rsid w:val="006376BE"/>
    <w:rsid w:val="0064184D"/>
    <w:rsid w:val="006557E6"/>
    <w:rsid w:val="00660E3E"/>
    <w:rsid w:val="00662E74"/>
    <w:rsid w:val="00672051"/>
    <w:rsid w:val="00676DBE"/>
    <w:rsid w:val="00682BD9"/>
    <w:rsid w:val="00691806"/>
    <w:rsid w:val="006956A6"/>
    <w:rsid w:val="006A58D2"/>
    <w:rsid w:val="006C5579"/>
    <w:rsid w:val="006C7121"/>
    <w:rsid w:val="006E1954"/>
    <w:rsid w:val="006E377F"/>
    <w:rsid w:val="006F0B41"/>
    <w:rsid w:val="006F4A61"/>
    <w:rsid w:val="0070167F"/>
    <w:rsid w:val="00704BDF"/>
    <w:rsid w:val="00736B13"/>
    <w:rsid w:val="00737E31"/>
    <w:rsid w:val="007447F3"/>
    <w:rsid w:val="0075585F"/>
    <w:rsid w:val="00763A32"/>
    <w:rsid w:val="007661C8"/>
    <w:rsid w:val="00776306"/>
    <w:rsid w:val="00776C2A"/>
    <w:rsid w:val="007907A8"/>
    <w:rsid w:val="00797480"/>
    <w:rsid w:val="007A37F7"/>
    <w:rsid w:val="007A3E5B"/>
    <w:rsid w:val="007D030B"/>
    <w:rsid w:val="007D52CD"/>
    <w:rsid w:val="007D6474"/>
    <w:rsid w:val="00803D64"/>
    <w:rsid w:val="008126B2"/>
    <w:rsid w:val="00813288"/>
    <w:rsid w:val="008168FC"/>
    <w:rsid w:val="00827391"/>
    <w:rsid w:val="00832B90"/>
    <w:rsid w:val="008400DA"/>
    <w:rsid w:val="008479A2"/>
    <w:rsid w:val="008504A0"/>
    <w:rsid w:val="0085441A"/>
    <w:rsid w:val="00861015"/>
    <w:rsid w:val="0087637F"/>
    <w:rsid w:val="008A1512"/>
    <w:rsid w:val="008D0969"/>
    <w:rsid w:val="008D0BEB"/>
    <w:rsid w:val="008D26A6"/>
    <w:rsid w:val="008D4D52"/>
    <w:rsid w:val="008E566E"/>
    <w:rsid w:val="008E6C0A"/>
    <w:rsid w:val="008F4B31"/>
    <w:rsid w:val="00901EB6"/>
    <w:rsid w:val="00910B9D"/>
    <w:rsid w:val="009214F4"/>
    <w:rsid w:val="00931364"/>
    <w:rsid w:val="00940872"/>
    <w:rsid w:val="009450CE"/>
    <w:rsid w:val="0095164B"/>
    <w:rsid w:val="00972052"/>
    <w:rsid w:val="00981555"/>
    <w:rsid w:val="009914CB"/>
    <w:rsid w:val="009936CB"/>
    <w:rsid w:val="00996483"/>
    <w:rsid w:val="009A4FDB"/>
    <w:rsid w:val="009A67F7"/>
    <w:rsid w:val="009A7A29"/>
    <w:rsid w:val="009B4A62"/>
    <w:rsid w:val="009E0C32"/>
    <w:rsid w:val="009E31B4"/>
    <w:rsid w:val="009E788A"/>
    <w:rsid w:val="009F6DF0"/>
    <w:rsid w:val="00A06EFD"/>
    <w:rsid w:val="00A14AD9"/>
    <w:rsid w:val="00A1763D"/>
    <w:rsid w:val="00A17CEC"/>
    <w:rsid w:val="00A27EF0"/>
    <w:rsid w:val="00A355A4"/>
    <w:rsid w:val="00A36559"/>
    <w:rsid w:val="00A41422"/>
    <w:rsid w:val="00A47C82"/>
    <w:rsid w:val="00A51A87"/>
    <w:rsid w:val="00A51D55"/>
    <w:rsid w:val="00A5449D"/>
    <w:rsid w:val="00A56F6B"/>
    <w:rsid w:val="00A62A9D"/>
    <w:rsid w:val="00A65BA3"/>
    <w:rsid w:val="00A73656"/>
    <w:rsid w:val="00A76EFC"/>
    <w:rsid w:val="00A9626B"/>
    <w:rsid w:val="00A97F29"/>
    <w:rsid w:val="00AA7125"/>
    <w:rsid w:val="00AB04F1"/>
    <w:rsid w:val="00AB0964"/>
    <w:rsid w:val="00AB2EA5"/>
    <w:rsid w:val="00AC0764"/>
    <w:rsid w:val="00AC3B5A"/>
    <w:rsid w:val="00AE377D"/>
    <w:rsid w:val="00AF587B"/>
    <w:rsid w:val="00AF6C60"/>
    <w:rsid w:val="00B240AB"/>
    <w:rsid w:val="00B24A09"/>
    <w:rsid w:val="00B27FC8"/>
    <w:rsid w:val="00B3675B"/>
    <w:rsid w:val="00B61DBF"/>
    <w:rsid w:val="00B9643D"/>
    <w:rsid w:val="00BA4BC2"/>
    <w:rsid w:val="00BC30C9"/>
    <w:rsid w:val="00BD35D9"/>
    <w:rsid w:val="00BE3E58"/>
    <w:rsid w:val="00BE76C9"/>
    <w:rsid w:val="00BF71A0"/>
    <w:rsid w:val="00C01616"/>
    <w:rsid w:val="00C0162B"/>
    <w:rsid w:val="00C034D8"/>
    <w:rsid w:val="00C05B93"/>
    <w:rsid w:val="00C1326F"/>
    <w:rsid w:val="00C159B8"/>
    <w:rsid w:val="00C16C48"/>
    <w:rsid w:val="00C34495"/>
    <w:rsid w:val="00C345B1"/>
    <w:rsid w:val="00C40142"/>
    <w:rsid w:val="00C420B3"/>
    <w:rsid w:val="00C50CDB"/>
    <w:rsid w:val="00C50D9B"/>
    <w:rsid w:val="00C57182"/>
    <w:rsid w:val="00C655FD"/>
    <w:rsid w:val="00C77CEF"/>
    <w:rsid w:val="00C860C6"/>
    <w:rsid w:val="00C867B1"/>
    <w:rsid w:val="00C903D4"/>
    <w:rsid w:val="00C9050C"/>
    <w:rsid w:val="00C94434"/>
    <w:rsid w:val="00CA1C95"/>
    <w:rsid w:val="00CA5A9C"/>
    <w:rsid w:val="00CA7DF2"/>
    <w:rsid w:val="00CC7DFE"/>
    <w:rsid w:val="00CD1315"/>
    <w:rsid w:val="00CD5FE2"/>
    <w:rsid w:val="00CD666C"/>
    <w:rsid w:val="00CD7C04"/>
    <w:rsid w:val="00CE23C0"/>
    <w:rsid w:val="00CF33C8"/>
    <w:rsid w:val="00D02B4C"/>
    <w:rsid w:val="00D100FE"/>
    <w:rsid w:val="00D300F5"/>
    <w:rsid w:val="00D32934"/>
    <w:rsid w:val="00D37CC6"/>
    <w:rsid w:val="00D50100"/>
    <w:rsid w:val="00D60927"/>
    <w:rsid w:val="00D83AFF"/>
    <w:rsid w:val="00D84576"/>
    <w:rsid w:val="00D8605B"/>
    <w:rsid w:val="00D9582A"/>
    <w:rsid w:val="00DB0BB3"/>
    <w:rsid w:val="00DB2957"/>
    <w:rsid w:val="00DC1C66"/>
    <w:rsid w:val="00DC2AFB"/>
    <w:rsid w:val="00DD1DC5"/>
    <w:rsid w:val="00DE0019"/>
    <w:rsid w:val="00DE264A"/>
    <w:rsid w:val="00DE74C6"/>
    <w:rsid w:val="00DF2285"/>
    <w:rsid w:val="00DF3273"/>
    <w:rsid w:val="00E011B4"/>
    <w:rsid w:val="00E041E7"/>
    <w:rsid w:val="00E2060F"/>
    <w:rsid w:val="00E23CA1"/>
    <w:rsid w:val="00E24ABF"/>
    <w:rsid w:val="00E26D1B"/>
    <w:rsid w:val="00E332F2"/>
    <w:rsid w:val="00E409A8"/>
    <w:rsid w:val="00E7209D"/>
    <w:rsid w:val="00E86442"/>
    <w:rsid w:val="00E8708A"/>
    <w:rsid w:val="00E90BBF"/>
    <w:rsid w:val="00E95569"/>
    <w:rsid w:val="00EA50E1"/>
    <w:rsid w:val="00EA510D"/>
    <w:rsid w:val="00EA6126"/>
    <w:rsid w:val="00EC18E9"/>
    <w:rsid w:val="00EC2CED"/>
    <w:rsid w:val="00ED325F"/>
    <w:rsid w:val="00EE0131"/>
    <w:rsid w:val="00EE3090"/>
    <w:rsid w:val="00F001DC"/>
    <w:rsid w:val="00F0101D"/>
    <w:rsid w:val="00F03F5B"/>
    <w:rsid w:val="00F041AE"/>
    <w:rsid w:val="00F15AE8"/>
    <w:rsid w:val="00F218C1"/>
    <w:rsid w:val="00F2395D"/>
    <w:rsid w:val="00F242A8"/>
    <w:rsid w:val="00F30C64"/>
    <w:rsid w:val="00F404CD"/>
    <w:rsid w:val="00F40908"/>
    <w:rsid w:val="00F80B99"/>
    <w:rsid w:val="00FB1580"/>
    <w:rsid w:val="00FB5B3F"/>
    <w:rsid w:val="00FB730C"/>
    <w:rsid w:val="00FB77C3"/>
    <w:rsid w:val="00FC2695"/>
    <w:rsid w:val="00FC3E03"/>
    <w:rsid w:val="00FC4DD8"/>
    <w:rsid w:val="00FD24E1"/>
    <w:rsid w:val="00FE3E2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54F44B89-42CB-42BA-A09D-F5198D8A8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olo1">
    <w:name w:val="heading 1"/>
    <w:basedOn w:val="CETHeading1"/>
    <w:next w:val="Normale"/>
    <w:link w:val="Titolo1Carattere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asemplice1">
    <w:name w:val="Table Simple 1"/>
    <w:basedOn w:val="Tabellanorma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03148D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lock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Elenco">
    <w:name w:val="List"/>
    <w:basedOn w:val="Normale"/>
    <w:uiPriority w:val="99"/>
    <w:semiHidden/>
    <w:unhideWhenUsed/>
    <w:lock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lock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lock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lock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lock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lock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lock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lock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lock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lock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lock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predefinitopara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e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e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e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character" w:styleId="Collegamentoipertestuale">
    <w:name w:val="Hyperlink"/>
    <w:basedOn w:val="Carpredefinitoparagrafo"/>
    <w:uiPriority w:val="99"/>
    <w:unhideWhenUsed/>
    <w:locked/>
    <w:rsid w:val="00C034D8"/>
    <w:rPr>
      <w:color w:val="0000FF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locked/>
    <w:rsid w:val="007A3E5B"/>
    <w:rPr>
      <w:color w:val="808080"/>
    </w:rPr>
  </w:style>
  <w:style w:type="character" w:styleId="Rimandocommento">
    <w:name w:val="annotation reference"/>
    <w:basedOn w:val="Carpredefinitoparagrafo"/>
    <w:uiPriority w:val="99"/>
    <w:semiHidden/>
    <w:unhideWhenUsed/>
    <w:locked/>
    <w:rsid w:val="001254A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tif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mran.abushammala@univ-lorraine.fr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Liu19</b:Tag>
    <b:SourceType>JournalArticle</b:SourceType>
    <b:Guid>{53721060-57B7-43EA-800C-968972A08513}</b:Guid>
    <b:Author>
      <b:Author>
        <b:NameList>
          <b:Person>
            <b:Last>Liu</b:Last>
            <b:First>Y.,</b:First>
            <b:Middle>Chen, Y., Zhou, Y., Wang, D., Wang, Y. and Wang, D</b:Middle>
          </b:Person>
        </b:NameList>
      </b:Author>
    </b:Author>
    <b:Title>Experimental research on the thermal performance of PEX helical coil pipes for heating the biogas digester</b:Title>
    <b:JournalName>Applied Thermal Engineering</b:JournalName>
    <b:Year>2019</b:Year>
    <b:Pages>147</b:Pages>
    <b:Volume>167-176</b:Volume>
    <b:RefOrder>1</b:RefOrder>
  </b:Source>
  <b:Source>
    <b:Tag>Use</b:Tag>
    <b:SourceType>JournalArticle</b:SourceType>
    <b:Guid>{131D2AEF-5AD0-4C4C-8417-5AB60BDB1E32}</b:Guid>
    <b:Title>Use of artificial neural network approach for depicting mass flow rate of R134a/LPG refrigerant through straight and helical coiled adiabatic capillary tubes of vapor compression refrigeration system</b:Title>
    <b:Author>
      <b:Author>
        <b:NameList>
          <b:Person>
            <b:Last>Gill J.</b:Last>
            <b:First>Singh</b:First>
            <b:Middle>J.</b:Middle>
          </b:Person>
        </b:NameList>
      </b:Author>
    </b:Author>
    <b:JournalName>International Journal of Refrigeration</b:JournalName>
    <b:Year>2018</b:Year>
    <b:Pages>228-238</b:Pages>
    <b:Volume>86</b:Volume>
    <b:RefOrder>2</b:RefOrder>
  </b:Source>
  <b:Source>
    <b:Tag>Igo16</b:Tag>
    <b:SourceType>Book</b:SourceType>
    <b:Guid>{1181A9CF-2E30-4A44-B9AF-322F669C63E5}</b:Guid>
    <b:Title>Handbook of Generation IV Nuclear Reactors</b:Title>
    <b:Year>2016</b:Year>
    <b:Author>
      <b:Author>
        <b:NameList>
          <b:Person>
            <b:Last>Pioro</b:Last>
            <b:First>Igor</b:First>
          </b:Person>
        </b:NameList>
      </b:Author>
    </b:Author>
    <b:Publisher>Woodhead Publishing</b:Publisher>
    <b:RefOrder>3</b:RefOrder>
  </b:Source>
  <b:Source>
    <b:Tag>Abd</b:Tag>
    <b:SourceType>JournalArticle</b:SourceType>
    <b:Guid>{78004346-27B3-4E5C-B113-138BC463C81A}</b:Guid>
    <b:Author>
      <b:Author>
        <b:NameList>
          <b:Person>
            <b:Last>Abdel-Aziz M. H.</b:Last>
            <b:First>Mansour</b:First>
            <b:Middle>I. A. S., Sedahmed, G. H</b:Middle>
          </b:Person>
        </b:NameList>
      </b:Author>
    </b:Author>
    <b:Title>Study of the rate of liquid–solid mass transfer controlled processes in helical tubes under turbulent flow conditions</b:Title>
    <b:JournalName>Chemical Engineering and Processing: Process Intensification</b:JournalName>
    <b:Year>2010</b:Year>
    <b:Pages>634-648</b:Pages>
    <b:Volume>49</b:Volume>
    <b:Issue>7</b:Issue>
    <b:RefOrder>4</b:RefOrder>
  </b:Source>
  <b:Source>
    <b:Tag>Men</b:Tag>
    <b:SourceType>JournalArticle</b:SourceType>
    <b:Guid>{EB3B86D7-BD1D-4F26-8DF5-F89C16043B49}</b:Guid>
    <b:Author>
      <b:Author>
        <b:NameList>
          <b:Person>
            <b:Last>Mendez D. L. M.</b:Last>
            <b:First>Lemaitre</b:First>
            <b:Middle>C., Castel C., Ferrari M., Simonaire H., Favre E</b:Middle>
          </b:Person>
        </b:NameList>
      </b:Author>
    </b:Author>
    <b:Title>Membrane contactors for process intensification of gas absorption into physical solvents: Impact of dean vortices</b:Title>
    <b:JournalName>Journal of Membrane Science</b:JournalName>
    <b:Year>2017</b:Year>
    <b:Pages>20-32</b:Pages>
    <b:Volume>530</b:Volume>
    <b:RefOrder>5</b:RefOrder>
  </b:Source>
  <b:Source>
    <b:Tag>Ghi</b:Tag>
    <b:SourceType>JournalArticle</b:SourceType>
    <b:Guid>{838751D7-0593-4A8A-9D46-F87C98DF72A9}</b:Guid>
    <b:Author>
      <b:Author>
        <b:NameList>
          <b:Person>
            <b:Last>Ghidossi R.</b:Last>
            <b:First>Veyret</b:First>
            <b:Middle>D., Moulin, P</b:Middle>
          </b:Person>
        </b:NameList>
      </b:Author>
    </b:Author>
    <b:Title>Computational fluid dynamics applied to membranes: State of the art and opportunities</b:Title>
    <b:JournalName>Chemical Engineering and Processing: Process Intensification</b:JournalName>
    <b:Year>2006</b:Year>
    <b:Pages>437-454</b:Pages>
    <b:Volume>45</b:Volume>
    <b:Issue>6</b:Issue>
    <b:RefOrder>6</b:RefOrder>
  </b:Source>
  <b:Source>
    <b:Tag>Mol</b:Tag>
    <b:SourceType>JournalArticle</b:SourceType>
    <b:Guid>{49E9D1B9-8056-4378-A88B-0270F7830C86}</b:Guid>
    <b:Author>
      <b:Author>
        <b:NameList>
          <b:Person>
            <b:Last>Moll R.</b:Last>
            <b:First>Veyret</b:First>
            <b:Middle>D., Charbit F., Moulin P</b:Middle>
          </b:Person>
        </b:NameList>
      </b:Author>
    </b:Author>
    <b:Title>Dean vortices applied to membrane process: Part I. Experimental approach</b:Title>
    <b:JournalName>Journal of Membrane Science</b:JournalName>
    <b:Year>2007</b:Year>
    <b:Pages>307-320</b:Pages>
    <b:Volume>288</b:Volume>
    <b:Issue>(1-2)</b:Issue>
    <b:RefOrder>7</b:RefOrder>
  </b:Source>
  <b:Source>
    <b:Tag>Man</b:Tag>
    <b:SourceType>JournalArticle</b:SourceType>
    <b:Guid>{C32116B5-69CE-4DB1-AFFA-ADF0880A2C2A}</b:Guid>
    <b:Author>
      <b:Author>
        <b:NameList>
          <b:Person>
            <b:Last>Mansour M.</b:Last>
            <b:First>Liu</b:First>
            <b:Middle>Z., Janiga G., Nigam K. D., Sundmacher K., Thévenin D., Zähringer, K</b:Middle>
          </b:Person>
        </b:NameList>
      </b:Author>
    </b:Author>
    <b:Title>Numerical study of liquid-liquid mixing in helical pipes</b:Title>
    <b:JournalName>Chemical Engineering Science</b:JournalName>
    <b:Year>2017</b:Year>
    <b:Pages>250-261</b:Pages>
    <b:Volume>172</b:Volume>
    <b:RefOrder>8</b:RefOrder>
  </b:Source>
  <b:Source>
    <b:Tag>Prz</b:Tag>
    <b:SourceType>JournalArticle</b:SourceType>
    <b:Guid>{27B1426E-64F3-4DC4-8EBA-353352680E82}</b:Guid>
    <b:Author>
      <b:Author>
        <b:NameList>
          <b:Person>
            <b:Last>Przybył S.</b:Last>
            <b:First>Pierański</b:First>
            <b:Middle>P</b:Middle>
          </b:Person>
        </b:NameList>
      </b:Author>
    </b:Author>
    <b:Title>Helical close packings of ideal ropes</b:Title>
    <b:JournalName>The European Physical Journal E</b:JournalName>
    <b:Year>2001</b:Year>
    <b:Pages>445-449</b:Pages>
    <b:Volume>4</b:Volume>
    <b:Issue>4</b:Issue>
    <b:RefOrder>9</b:RefOrder>
  </b:Source>
</b:Sources>
</file>

<file path=customXml/itemProps1.xml><?xml version="1.0" encoding="utf-8"?>
<ds:datastoreItem xmlns:ds="http://schemas.openxmlformats.org/officeDocument/2006/customXml" ds:itemID="{793AC2CE-F4EE-468B-9D43-4AEF6A55B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760</Words>
  <Characters>4334</Characters>
  <Application>Microsoft Office Word</Application>
  <DocSecurity>0</DocSecurity>
  <Lines>36</Lines>
  <Paragraphs>10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Dipartimento CMIC - Politecnico di Milano</Company>
  <LinksUpToDate>false</LinksUpToDate>
  <CharactersWithSpaces>5084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manuela</cp:lastModifiedBy>
  <cp:revision>2</cp:revision>
  <cp:lastPrinted>2019-03-27T08:44:00Z</cp:lastPrinted>
  <dcterms:created xsi:type="dcterms:W3CDTF">2019-06-18T10:02:00Z</dcterms:created>
  <dcterms:modified xsi:type="dcterms:W3CDTF">2019-06-18T10:02:00Z</dcterms:modified>
</cp:coreProperties>
</file>