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F364B9" w:rsidRPr="006B21B8" w:rsidRDefault="00F364B9" w:rsidP="006B21B8">
      <w:pPr>
        <w:snapToGrid w:val="0"/>
        <w:spacing w:after="120" w:line="240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6B21B8">
        <w:rPr>
          <w:b/>
          <w:bCs/>
          <w:sz w:val="26"/>
          <w:szCs w:val="26"/>
        </w:rPr>
        <w:t xml:space="preserve">Immobilization of </w:t>
      </w:r>
      <w:proofErr w:type="spellStart"/>
      <w:r w:rsidRPr="006B21B8">
        <w:rPr>
          <w:b/>
          <w:bCs/>
          <w:i/>
          <w:iCs/>
          <w:sz w:val="26"/>
          <w:szCs w:val="26"/>
        </w:rPr>
        <w:t>Rhizopus</w:t>
      </w:r>
      <w:proofErr w:type="spellEnd"/>
      <w:r w:rsidRPr="006B21B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6B21B8">
        <w:rPr>
          <w:b/>
          <w:bCs/>
          <w:i/>
          <w:iCs/>
          <w:sz w:val="26"/>
          <w:szCs w:val="26"/>
        </w:rPr>
        <w:t>oryzae</w:t>
      </w:r>
      <w:proofErr w:type="spellEnd"/>
      <w:r w:rsidRPr="006B21B8">
        <w:rPr>
          <w:b/>
          <w:bCs/>
          <w:i/>
          <w:iCs/>
          <w:sz w:val="26"/>
          <w:szCs w:val="26"/>
        </w:rPr>
        <w:t xml:space="preserve"> </w:t>
      </w:r>
      <w:r w:rsidRPr="006B21B8">
        <w:rPr>
          <w:b/>
          <w:bCs/>
          <w:sz w:val="26"/>
          <w:szCs w:val="26"/>
        </w:rPr>
        <w:t xml:space="preserve">lipase in corn cob powder for application in dietetic </w:t>
      </w:r>
      <w:proofErr w:type="spellStart"/>
      <w:r w:rsidRPr="006B21B8">
        <w:rPr>
          <w:b/>
          <w:bCs/>
          <w:sz w:val="26"/>
          <w:szCs w:val="26"/>
        </w:rPr>
        <w:t>triglicerydes</w:t>
      </w:r>
      <w:proofErr w:type="spellEnd"/>
      <w:r w:rsidRPr="006B21B8">
        <w:rPr>
          <w:b/>
          <w:bCs/>
          <w:sz w:val="26"/>
          <w:szCs w:val="26"/>
        </w:rPr>
        <w:t xml:space="preserve"> synthesis</w:t>
      </w:r>
    </w:p>
    <w:p w:rsidR="00F364B9" w:rsidRPr="006868D1" w:rsidRDefault="00F364B9" w:rsidP="00F364B9">
      <w:pPr>
        <w:pStyle w:val="Default"/>
        <w:rPr>
          <w:lang w:val="en-GB"/>
        </w:rPr>
      </w:pPr>
    </w:p>
    <w:p w:rsidR="00F364B9" w:rsidRPr="006B21B8" w:rsidRDefault="00F364B9" w:rsidP="00F364B9">
      <w:pPr>
        <w:pStyle w:val="Default"/>
        <w:jc w:val="center"/>
        <w:rPr>
          <w:sz w:val="22"/>
          <w:szCs w:val="22"/>
        </w:rPr>
      </w:pPr>
      <w:r w:rsidRPr="006B21B8">
        <w:rPr>
          <w:sz w:val="22"/>
          <w:szCs w:val="22"/>
        </w:rPr>
        <w:t>Vinícius Guerso Batista</w:t>
      </w:r>
      <w:r w:rsidRPr="006B21B8">
        <w:rPr>
          <w:sz w:val="22"/>
          <w:szCs w:val="22"/>
          <w:vertAlign w:val="superscript"/>
        </w:rPr>
        <w:t>1</w:t>
      </w:r>
      <w:r w:rsidRPr="006B21B8">
        <w:rPr>
          <w:rFonts w:ascii="Arial" w:hAnsi="Arial" w:cs="Arial"/>
          <w:sz w:val="22"/>
          <w:szCs w:val="22"/>
        </w:rPr>
        <w:t xml:space="preserve">, </w:t>
      </w:r>
      <w:r w:rsidRPr="006B21B8">
        <w:rPr>
          <w:sz w:val="22"/>
          <w:szCs w:val="22"/>
        </w:rPr>
        <w:t>Beatriz Marques da Silva</w:t>
      </w:r>
      <w:r w:rsidRPr="006B21B8">
        <w:rPr>
          <w:sz w:val="22"/>
          <w:szCs w:val="22"/>
          <w:vertAlign w:val="superscript"/>
        </w:rPr>
        <w:t>1</w:t>
      </w:r>
      <w:r w:rsidRPr="006B21B8">
        <w:rPr>
          <w:sz w:val="22"/>
          <w:szCs w:val="22"/>
        </w:rPr>
        <w:t>, Estela Mesquita</w:t>
      </w:r>
      <w:r w:rsidRPr="006B21B8">
        <w:rPr>
          <w:sz w:val="22"/>
          <w:szCs w:val="22"/>
          <w:vertAlign w:val="superscript"/>
        </w:rPr>
        <w:t>2</w:t>
      </w:r>
      <w:r w:rsidRPr="006B21B8">
        <w:rPr>
          <w:sz w:val="22"/>
          <w:szCs w:val="22"/>
        </w:rPr>
        <w:t>, Rubens Monti</w:t>
      </w:r>
      <w:r w:rsidRPr="006B21B8">
        <w:rPr>
          <w:sz w:val="22"/>
          <w:szCs w:val="22"/>
          <w:vertAlign w:val="superscript"/>
        </w:rPr>
        <w:t>3</w:t>
      </w:r>
      <w:r w:rsidRPr="006B21B8">
        <w:rPr>
          <w:sz w:val="22"/>
          <w:szCs w:val="22"/>
        </w:rPr>
        <w:t>, Marcel Otavio Cerri</w:t>
      </w:r>
      <w:r w:rsidRPr="006B21B8">
        <w:rPr>
          <w:sz w:val="22"/>
          <w:szCs w:val="22"/>
          <w:vertAlign w:val="superscript"/>
        </w:rPr>
        <w:t>1</w:t>
      </w:r>
      <w:r w:rsidRPr="006B21B8">
        <w:rPr>
          <w:sz w:val="22"/>
          <w:szCs w:val="22"/>
        </w:rPr>
        <w:t>, Ariela Veloso de Paula</w:t>
      </w:r>
      <w:r w:rsidRPr="006B21B8">
        <w:rPr>
          <w:sz w:val="22"/>
          <w:szCs w:val="22"/>
          <w:vertAlign w:val="superscript"/>
        </w:rPr>
        <w:t>1</w:t>
      </w:r>
    </w:p>
    <w:p w:rsidR="006868D1" w:rsidRPr="006868D1" w:rsidRDefault="006868D1" w:rsidP="00F364B9">
      <w:pPr>
        <w:pStyle w:val="Default"/>
        <w:jc w:val="center"/>
      </w:pPr>
    </w:p>
    <w:p w:rsidR="00F364B9" w:rsidRPr="00F364B9" w:rsidRDefault="00F364B9" w:rsidP="00F364B9">
      <w:pPr>
        <w:pStyle w:val="Default"/>
        <w:jc w:val="center"/>
        <w:rPr>
          <w:sz w:val="20"/>
          <w:szCs w:val="20"/>
          <w:lang w:val="en-GB"/>
        </w:rPr>
      </w:pPr>
      <w:r w:rsidRPr="00F364B9">
        <w:rPr>
          <w:rFonts w:ascii="Arial" w:hAnsi="Arial" w:cs="Arial"/>
          <w:i/>
          <w:iCs/>
          <w:sz w:val="13"/>
          <w:szCs w:val="13"/>
          <w:lang w:val="en-GB"/>
        </w:rPr>
        <w:t xml:space="preserve">1 </w:t>
      </w:r>
      <w:proofErr w:type="spellStart"/>
      <w:r w:rsidRPr="00F364B9">
        <w:rPr>
          <w:i/>
          <w:iCs/>
          <w:sz w:val="20"/>
          <w:szCs w:val="20"/>
          <w:lang w:val="en-GB"/>
        </w:rPr>
        <w:t>Departament</w:t>
      </w:r>
      <w:proofErr w:type="spellEnd"/>
      <w:r w:rsidRPr="00F364B9">
        <w:rPr>
          <w:i/>
          <w:iCs/>
          <w:sz w:val="20"/>
          <w:szCs w:val="20"/>
          <w:lang w:val="en-GB"/>
        </w:rPr>
        <w:t xml:space="preserve"> of Bioprocess and </w:t>
      </w:r>
      <w:proofErr w:type="spellStart"/>
      <w:r w:rsidRPr="00F364B9">
        <w:rPr>
          <w:i/>
          <w:iCs/>
          <w:sz w:val="20"/>
          <w:szCs w:val="20"/>
          <w:lang w:val="en-GB"/>
        </w:rPr>
        <w:t>Biotecnology</w:t>
      </w:r>
      <w:proofErr w:type="spellEnd"/>
      <w:r w:rsidRPr="00F364B9">
        <w:rPr>
          <w:i/>
          <w:iCs/>
          <w:sz w:val="20"/>
          <w:szCs w:val="20"/>
          <w:lang w:val="en-GB"/>
        </w:rPr>
        <w:t xml:space="preserve">, </w:t>
      </w:r>
      <w:proofErr w:type="spellStart"/>
      <w:r w:rsidRPr="00F364B9">
        <w:rPr>
          <w:i/>
          <w:iCs/>
          <w:sz w:val="20"/>
          <w:szCs w:val="20"/>
          <w:lang w:val="en-GB"/>
        </w:rPr>
        <w:t>UNESP</w:t>
      </w:r>
      <w:proofErr w:type="spellEnd"/>
      <w:r w:rsidRPr="00F364B9">
        <w:rPr>
          <w:i/>
          <w:iCs/>
          <w:sz w:val="20"/>
          <w:szCs w:val="20"/>
          <w:lang w:val="en-GB"/>
        </w:rPr>
        <w:t xml:space="preserve"> – </w:t>
      </w:r>
      <w:proofErr w:type="spellStart"/>
      <w:r w:rsidRPr="00F364B9">
        <w:rPr>
          <w:i/>
          <w:iCs/>
          <w:sz w:val="20"/>
          <w:szCs w:val="20"/>
          <w:lang w:val="en-GB"/>
        </w:rPr>
        <w:t>Araraquara</w:t>
      </w:r>
      <w:proofErr w:type="spellEnd"/>
      <w:r w:rsidRPr="00F364B9">
        <w:rPr>
          <w:i/>
          <w:iCs/>
          <w:sz w:val="20"/>
          <w:szCs w:val="20"/>
          <w:lang w:val="en-GB"/>
        </w:rPr>
        <w:t>, Brazil</w:t>
      </w:r>
    </w:p>
    <w:p w:rsidR="00F364B9" w:rsidRPr="00F364B9" w:rsidRDefault="00F364B9" w:rsidP="00F364B9">
      <w:pPr>
        <w:pStyle w:val="Default"/>
        <w:jc w:val="center"/>
        <w:rPr>
          <w:sz w:val="20"/>
          <w:szCs w:val="20"/>
          <w:lang w:val="en-GB"/>
        </w:rPr>
      </w:pPr>
      <w:r w:rsidRPr="00F364B9">
        <w:rPr>
          <w:rFonts w:ascii="Arial" w:hAnsi="Arial" w:cs="Arial"/>
          <w:i/>
          <w:iCs/>
          <w:sz w:val="13"/>
          <w:szCs w:val="13"/>
          <w:lang w:val="en-GB"/>
        </w:rPr>
        <w:t xml:space="preserve">2 </w:t>
      </w:r>
      <w:proofErr w:type="spellStart"/>
      <w:r w:rsidRPr="00F364B9">
        <w:rPr>
          <w:i/>
          <w:iCs/>
          <w:sz w:val="20"/>
          <w:szCs w:val="20"/>
          <w:lang w:val="en-GB"/>
        </w:rPr>
        <w:t>Departament</w:t>
      </w:r>
      <w:proofErr w:type="spellEnd"/>
      <w:r w:rsidRPr="00F364B9">
        <w:rPr>
          <w:i/>
          <w:iCs/>
          <w:sz w:val="20"/>
          <w:szCs w:val="20"/>
          <w:lang w:val="en-GB"/>
        </w:rPr>
        <w:t xml:space="preserve"> of Organic Chemistry, </w:t>
      </w:r>
      <w:proofErr w:type="spellStart"/>
      <w:r w:rsidRPr="00F364B9">
        <w:rPr>
          <w:i/>
          <w:iCs/>
          <w:sz w:val="20"/>
          <w:szCs w:val="20"/>
          <w:lang w:val="en-GB"/>
        </w:rPr>
        <w:t>UNESP</w:t>
      </w:r>
      <w:proofErr w:type="spellEnd"/>
      <w:r w:rsidRPr="00F364B9">
        <w:rPr>
          <w:i/>
          <w:iCs/>
          <w:sz w:val="20"/>
          <w:szCs w:val="20"/>
          <w:lang w:val="en-GB"/>
        </w:rPr>
        <w:t xml:space="preserve"> – </w:t>
      </w:r>
      <w:proofErr w:type="spellStart"/>
      <w:r w:rsidRPr="00F364B9">
        <w:rPr>
          <w:i/>
          <w:iCs/>
          <w:sz w:val="20"/>
          <w:szCs w:val="20"/>
          <w:lang w:val="en-GB"/>
        </w:rPr>
        <w:t>Araraquara</w:t>
      </w:r>
      <w:proofErr w:type="spellEnd"/>
      <w:r w:rsidRPr="00F364B9">
        <w:rPr>
          <w:i/>
          <w:iCs/>
          <w:sz w:val="20"/>
          <w:szCs w:val="20"/>
          <w:lang w:val="en-GB"/>
        </w:rPr>
        <w:t>, Brazil</w:t>
      </w:r>
    </w:p>
    <w:p w:rsidR="00F364B9" w:rsidRPr="00F364B9" w:rsidRDefault="00F364B9" w:rsidP="00F364B9">
      <w:pPr>
        <w:pStyle w:val="Default"/>
        <w:jc w:val="center"/>
        <w:rPr>
          <w:sz w:val="20"/>
          <w:szCs w:val="20"/>
          <w:lang w:val="en-GB"/>
        </w:rPr>
      </w:pPr>
      <w:r w:rsidRPr="00F364B9">
        <w:rPr>
          <w:rFonts w:ascii="Arial" w:hAnsi="Arial" w:cs="Arial"/>
          <w:i/>
          <w:iCs/>
          <w:sz w:val="13"/>
          <w:szCs w:val="13"/>
          <w:lang w:val="en-GB"/>
        </w:rPr>
        <w:t xml:space="preserve">3 </w:t>
      </w:r>
      <w:proofErr w:type="spellStart"/>
      <w:r w:rsidRPr="00F364B9">
        <w:rPr>
          <w:i/>
          <w:iCs/>
          <w:sz w:val="20"/>
          <w:szCs w:val="20"/>
          <w:lang w:val="en-GB"/>
        </w:rPr>
        <w:t>Departament</w:t>
      </w:r>
      <w:proofErr w:type="spellEnd"/>
      <w:r w:rsidRPr="00F364B9">
        <w:rPr>
          <w:i/>
          <w:iCs/>
          <w:sz w:val="20"/>
          <w:szCs w:val="20"/>
          <w:lang w:val="en-GB"/>
        </w:rPr>
        <w:t xml:space="preserve"> of Food and Nutrition, </w:t>
      </w:r>
      <w:proofErr w:type="spellStart"/>
      <w:r w:rsidRPr="00F364B9">
        <w:rPr>
          <w:i/>
          <w:iCs/>
          <w:sz w:val="20"/>
          <w:szCs w:val="20"/>
          <w:lang w:val="en-GB"/>
        </w:rPr>
        <w:t>UNESP</w:t>
      </w:r>
      <w:proofErr w:type="spellEnd"/>
      <w:r w:rsidRPr="00F364B9">
        <w:rPr>
          <w:i/>
          <w:iCs/>
          <w:sz w:val="20"/>
          <w:szCs w:val="20"/>
          <w:lang w:val="en-GB"/>
        </w:rPr>
        <w:t xml:space="preserve"> – </w:t>
      </w:r>
      <w:proofErr w:type="spellStart"/>
      <w:r w:rsidRPr="00F364B9">
        <w:rPr>
          <w:i/>
          <w:iCs/>
          <w:sz w:val="20"/>
          <w:szCs w:val="20"/>
          <w:lang w:val="en-GB"/>
        </w:rPr>
        <w:t>Araraquara</w:t>
      </w:r>
      <w:proofErr w:type="spellEnd"/>
      <w:r w:rsidRPr="00F364B9">
        <w:rPr>
          <w:i/>
          <w:iCs/>
          <w:sz w:val="20"/>
          <w:szCs w:val="20"/>
          <w:lang w:val="en-GB"/>
        </w:rPr>
        <w:t>, Brazil</w:t>
      </w:r>
    </w:p>
    <w:p w:rsidR="00F364B9" w:rsidRDefault="00F364B9" w:rsidP="006868D1">
      <w:pPr>
        <w:pStyle w:val="AbstractHeading"/>
        <w:tabs>
          <w:tab w:val="left" w:pos="3547"/>
          <w:tab w:val="center" w:pos="4694"/>
        </w:tabs>
        <w:spacing w:before="240" w:after="0" w:line="240" w:lineRule="auto"/>
        <w:ind w:firstLine="357"/>
        <w:jc w:val="center"/>
        <w:rPr>
          <w:i w:val="0"/>
          <w:iCs/>
        </w:rPr>
      </w:pPr>
      <w:r>
        <w:rPr>
          <w:i w:val="0"/>
          <w:iCs/>
        </w:rPr>
        <w:t>*Corresponding author: ariela.veloso@unesp.br</w:t>
      </w:r>
    </w:p>
    <w:p w:rsidR="00704BDF" w:rsidRPr="00EC66CC" w:rsidRDefault="00704BDF" w:rsidP="006B21B8">
      <w:pPr>
        <w:pStyle w:val="AbstractHeading"/>
        <w:tabs>
          <w:tab w:val="left" w:pos="3547"/>
          <w:tab w:val="center" w:pos="4694"/>
        </w:tabs>
        <w:spacing w:before="240" w:after="0" w:line="240" w:lineRule="auto"/>
        <w:ind w:firstLine="0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6868D1" w:rsidRPr="006868D1" w:rsidRDefault="006868D1" w:rsidP="006868D1">
      <w:pPr>
        <w:pStyle w:val="AbstractBody"/>
        <w:rPr>
          <w:rFonts w:asciiTheme="minorHAnsi" w:hAnsiTheme="minorHAnsi"/>
          <w:lang w:val="en-GB"/>
        </w:rPr>
      </w:pPr>
    </w:p>
    <w:p w:rsidR="006868D1" w:rsidRPr="006868D1" w:rsidRDefault="006868D1" w:rsidP="006868D1">
      <w:pPr>
        <w:pStyle w:val="AbstractBody"/>
        <w:numPr>
          <w:ilvl w:val="0"/>
          <w:numId w:val="18"/>
        </w:numPr>
        <w:rPr>
          <w:rFonts w:asciiTheme="minorHAnsi" w:hAnsiTheme="minorHAnsi"/>
          <w:lang w:val="en-GB"/>
        </w:rPr>
      </w:pPr>
      <w:r w:rsidRPr="006868D1">
        <w:rPr>
          <w:rFonts w:asciiTheme="minorHAnsi" w:hAnsiTheme="minorHAnsi"/>
          <w:lang w:val="en-GB"/>
        </w:rPr>
        <w:t xml:space="preserve">ID of physical adsorption immobilized derivative was 28.55%. </w:t>
      </w:r>
    </w:p>
    <w:p w:rsidR="006868D1" w:rsidRPr="006868D1" w:rsidRDefault="006868D1" w:rsidP="006868D1">
      <w:pPr>
        <w:pStyle w:val="AbstractBody"/>
        <w:numPr>
          <w:ilvl w:val="0"/>
          <w:numId w:val="18"/>
        </w:numPr>
        <w:rPr>
          <w:rFonts w:asciiTheme="minorHAnsi" w:hAnsiTheme="minorHAnsi"/>
          <w:lang w:val="en-GB"/>
        </w:rPr>
      </w:pPr>
      <w:r w:rsidRPr="006868D1">
        <w:rPr>
          <w:rFonts w:asciiTheme="minorHAnsi" w:hAnsiTheme="minorHAnsi"/>
          <w:lang w:val="en-GB"/>
        </w:rPr>
        <w:t xml:space="preserve">ID of covalent binding immobilized derivative was 34.47%. </w:t>
      </w:r>
    </w:p>
    <w:p w:rsidR="006868D1" w:rsidRPr="006868D1" w:rsidRDefault="006868D1" w:rsidP="006868D1">
      <w:pPr>
        <w:pStyle w:val="AbstractBody"/>
        <w:numPr>
          <w:ilvl w:val="0"/>
          <w:numId w:val="18"/>
        </w:numPr>
        <w:rPr>
          <w:rFonts w:asciiTheme="minorHAnsi" w:hAnsiTheme="minorHAnsi"/>
          <w:lang w:val="en-GB"/>
        </w:rPr>
      </w:pPr>
      <w:r w:rsidRPr="006868D1">
        <w:rPr>
          <w:rFonts w:asciiTheme="minorHAnsi" w:hAnsiTheme="minorHAnsi"/>
          <w:lang w:val="en-GB"/>
        </w:rPr>
        <w:t xml:space="preserve">Corn cob powder is a successful immobilization carrier for lipase. </w:t>
      </w:r>
    </w:p>
    <w:p w:rsidR="002321BE" w:rsidRPr="006868D1" w:rsidRDefault="002321BE" w:rsidP="002321BE">
      <w:pPr>
        <w:pStyle w:val="AbstractBody"/>
        <w:spacing w:line="240" w:lineRule="auto"/>
        <w:ind w:left="0"/>
        <w:rPr>
          <w:rFonts w:asciiTheme="minorHAnsi" w:hAnsiTheme="minorHAnsi"/>
          <w:lang w:val="en-GB"/>
        </w:rPr>
      </w:pPr>
    </w:p>
    <w:p w:rsidR="00704BDF" w:rsidRPr="006B21B8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</w:pPr>
      <w:r w:rsidRPr="006B21B8">
        <w:rPr>
          <w:rFonts w:asciiTheme="minorHAnsi" w:eastAsia="MS PGothic" w:hAnsiTheme="minorHAnsi"/>
          <w:b/>
          <w:bCs/>
          <w:color w:val="000000"/>
          <w:sz w:val="22"/>
          <w:szCs w:val="22"/>
        </w:rPr>
        <w:t>1. Introduction</w:t>
      </w:r>
    </w:p>
    <w:p w:rsidR="006868D1" w:rsidRDefault="006868D1" w:rsidP="006B21B8">
      <w:pPr>
        <w:pStyle w:val="CorpodeTextoQualificao"/>
        <w:spacing w:line="240" w:lineRule="auto"/>
        <w:ind w:firstLine="0"/>
        <w:rPr>
          <w:rFonts w:ascii="Calibri" w:eastAsiaTheme="minorHAnsi" w:hAnsi="Calibri" w:cs="Calibri"/>
          <w:color w:val="000000"/>
          <w:sz w:val="22"/>
          <w:szCs w:val="22"/>
        </w:rPr>
      </w:pPr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 xml:space="preserve">Lipases are glycerol ester hydrolases (EC 3.1.1.3) and are widely employed as biocatalysts in Enzymatic Biotechnology. </w:t>
      </w:r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eastAsia="en-US"/>
        </w:rPr>
        <w:t xml:space="preserve">These enzymes are commonly used for oils and fats modification in the immobilized form. When immobilized, they are easily recovered from the reaction medium. A great variety of methods are used to immobilize enzymes, of which physical adsorption and covalent binding are the most important [1]. Therefore, the objective of this work was to immobilize </w:t>
      </w:r>
      <w:r w:rsidRPr="006868D1">
        <w:rPr>
          <w:rFonts w:asciiTheme="minorHAnsi" w:eastAsia="MS PGothic" w:hAnsiTheme="minorHAnsi" w:cs="Times New Roman"/>
          <w:i/>
          <w:color w:val="000000"/>
          <w:sz w:val="22"/>
          <w:szCs w:val="22"/>
          <w:lang w:eastAsia="en-US"/>
        </w:rPr>
        <w:t>Rhizopus oryzae</w:t>
      </w:r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eastAsia="en-US"/>
        </w:rPr>
        <w:t xml:space="preserve"> lipase in corn cob powder in order to apply the immobilized derivative to the synthesis of dietary triglycerides by enzymatic acidolysis of grape seed oil. </w:t>
      </w:r>
    </w:p>
    <w:p w:rsidR="00704BDF" w:rsidRPr="008D0BEB" w:rsidRDefault="00704BDF" w:rsidP="006868D1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6868D1" w:rsidRPr="006868D1" w:rsidRDefault="006868D1" w:rsidP="006868D1">
      <w:pPr>
        <w:snapToGrid w:val="0"/>
        <w:spacing w:after="120" w:line="240" w:lineRule="auto"/>
        <w:rPr>
          <w:rFonts w:asciiTheme="minorHAnsi" w:eastAsia="MS PGothic" w:hAnsiTheme="minorHAnsi"/>
          <w:i/>
          <w:color w:val="000000"/>
          <w:sz w:val="22"/>
          <w:szCs w:val="22"/>
          <w:u w:val="single"/>
        </w:rPr>
      </w:pPr>
      <w:r w:rsidRPr="006868D1">
        <w:rPr>
          <w:rFonts w:asciiTheme="minorHAnsi" w:eastAsia="MS PGothic" w:hAnsiTheme="minorHAnsi"/>
          <w:i/>
          <w:color w:val="000000"/>
          <w:sz w:val="22"/>
          <w:szCs w:val="22"/>
          <w:u w:val="single"/>
        </w:rPr>
        <w:t xml:space="preserve">2.1 Immobilization of </w:t>
      </w:r>
      <w:proofErr w:type="spellStart"/>
      <w:r w:rsidRPr="006868D1">
        <w:rPr>
          <w:rFonts w:asciiTheme="minorHAnsi" w:eastAsia="MS PGothic" w:hAnsiTheme="minorHAnsi"/>
          <w:color w:val="000000"/>
          <w:sz w:val="22"/>
          <w:szCs w:val="22"/>
          <w:u w:val="single"/>
        </w:rPr>
        <w:t>Rhizopus</w:t>
      </w:r>
      <w:proofErr w:type="spellEnd"/>
      <w:r w:rsidRPr="006868D1">
        <w:rPr>
          <w:rFonts w:asciiTheme="minorHAnsi" w:eastAsia="MS PGothic" w:hAnsi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6868D1">
        <w:rPr>
          <w:rFonts w:asciiTheme="minorHAnsi" w:eastAsia="MS PGothic" w:hAnsiTheme="minorHAnsi"/>
          <w:color w:val="000000"/>
          <w:sz w:val="22"/>
          <w:szCs w:val="22"/>
          <w:u w:val="single"/>
        </w:rPr>
        <w:t>oryzae</w:t>
      </w:r>
      <w:proofErr w:type="spellEnd"/>
      <w:r w:rsidRPr="006868D1">
        <w:rPr>
          <w:rFonts w:asciiTheme="minorHAnsi" w:eastAsia="MS PGothic" w:hAnsiTheme="minorHAnsi"/>
          <w:i/>
          <w:color w:val="000000"/>
          <w:sz w:val="22"/>
          <w:szCs w:val="22"/>
          <w:u w:val="single"/>
        </w:rPr>
        <w:t xml:space="preserve"> lipase </w:t>
      </w:r>
    </w:p>
    <w:p w:rsidR="006868D1" w:rsidRPr="006868D1" w:rsidRDefault="006868D1" w:rsidP="006868D1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</w:pPr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 xml:space="preserve">Immobilization by physical adsorption (PA) was carried out according to Costa (2015) [2].  Immobilization by covalent binding (CB) was carried out according to </w:t>
      </w:r>
      <w:proofErr w:type="spellStart"/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>Bassan</w:t>
      </w:r>
      <w:proofErr w:type="spellEnd"/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 xml:space="preserve"> et al. (2016) [3]. </w:t>
      </w:r>
    </w:p>
    <w:p w:rsidR="006868D1" w:rsidRPr="006868D1" w:rsidRDefault="006868D1" w:rsidP="006868D1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</w:p>
    <w:p w:rsidR="006868D1" w:rsidRPr="006868D1" w:rsidRDefault="006868D1" w:rsidP="006868D1">
      <w:pPr>
        <w:snapToGrid w:val="0"/>
        <w:spacing w:after="120" w:line="240" w:lineRule="auto"/>
        <w:rPr>
          <w:rFonts w:asciiTheme="minorHAnsi" w:eastAsia="MS PGothic" w:hAnsiTheme="minorHAnsi"/>
          <w:i/>
          <w:color w:val="000000"/>
          <w:sz w:val="22"/>
          <w:szCs w:val="22"/>
          <w:u w:val="single"/>
        </w:rPr>
      </w:pPr>
      <w:r w:rsidRPr="006868D1">
        <w:rPr>
          <w:rFonts w:asciiTheme="minorHAnsi" w:eastAsia="MS PGothic" w:hAnsiTheme="minorHAnsi"/>
          <w:i/>
          <w:color w:val="000000"/>
          <w:sz w:val="22"/>
          <w:szCs w:val="22"/>
          <w:u w:val="single"/>
        </w:rPr>
        <w:t xml:space="preserve">2.2 Enzymatic </w:t>
      </w:r>
      <w:proofErr w:type="spellStart"/>
      <w:r w:rsidRPr="006868D1">
        <w:rPr>
          <w:rFonts w:asciiTheme="minorHAnsi" w:eastAsia="MS PGothic" w:hAnsiTheme="minorHAnsi"/>
          <w:i/>
          <w:color w:val="000000"/>
          <w:sz w:val="22"/>
          <w:szCs w:val="22"/>
          <w:u w:val="single"/>
        </w:rPr>
        <w:t>acidolysis</w:t>
      </w:r>
      <w:proofErr w:type="spellEnd"/>
      <w:r w:rsidRPr="006868D1">
        <w:rPr>
          <w:rFonts w:asciiTheme="minorHAnsi" w:eastAsia="MS PGothic" w:hAnsiTheme="minorHAnsi"/>
          <w:i/>
          <w:color w:val="000000"/>
          <w:sz w:val="22"/>
          <w:szCs w:val="22"/>
          <w:u w:val="single"/>
        </w:rPr>
        <w:t xml:space="preserve"> of grape seed oil </w:t>
      </w:r>
    </w:p>
    <w:p w:rsidR="006868D1" w:rsidRPr="006868D1" w:rsidRDefault="006868D1" w:rsidP="006868D1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</w:pPr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 xml:space="preserve">The immobilized derivatives (10% w/w) were used in </w:t>
      </w:r>
      <w:proofErr w:type="spellStart"/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>acidolysis</w:t>
      </w:r>
      <w:proofErr w:type="spellEnd"/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 xml:space="preserve"> of grape seed oil with </w:t>
      </w:r>
      <w:proofErr w:type="spellStart"/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>capric</w:t>
      </w:r>
      <w:proofErr w:type="spellEnd"/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 xml:space="preserve"> acid (</w:t>
      </w:r>
      <w:proofErr w:type="spellStart"/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>C10:0</w:t>
      </w:r>
      <w:proofErr w:type="spellEnd"/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 xml:space="preserve">) at molar ratio 1:3 in batch reactor (6 x 3 cm) for 24 h (45 °C, 800 rpm). The product was analysed by CG – FID. The incorporation degree (ID, %) was calculated according to equation 1: </w:t>
      </w:r>
    </w:p>
    <w:p w:rsidR="006868D1" w:rsidRPr="006868D1" w:rsidRDefault="006868D1" w:rsidP="006868D1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</w:p>
    <w:p w:rsidR="006868D1" w:rsidRPr="006868D1" w:rsidRDefault="006868D1" w:rsidP="006868D1">
      <w:pPr>
        <w:snapToGrid w:val="0"/>
        <w:spacing w:after="120" w:line="240" w:lineRule="auto"/>
        <w:jc w:val="center"/>
        <w:rPr>
          <w:rFonts w:ascii="Calibri" w:eastAsiaTheme="minorHAnsi" w:hAnsi="Calibri" w:cs="Calibri"/>
          <w:color w:val="000000"/>
          <w:sz w:val="23"/>
          <w:szCs w:val="23"/>
        </w:rPr>
      </w:pPr>
      <m:oMath>
        <m:r>
          <w:rPr>
            <w:rFonts w:ascii="Cambria Math" w:hAnsi="Cambria Math"/>
            <w:color w:val="000000"/>
            <w:sz w:val="22"/>
            <w:szCs w:val="22"/>
            <w:lang w:eastAsia="pt-BR"/>
          </w:rPr>
          <m:t>ID(%)=(</m:t>
        </m:r>
        <m:f>
          <m:fPr>
            <m:ctrlPr>
              <w:rPr>
                <w:rFonts w:ascii="Cambria Math" w:hAnsi="Cambria Math"/>
                <w:color w:val="000000"/>
                <w:sz w:val="22"/>
                <w:szCs w:val="22"/>
                <w:lang w:eastAsia="pt-BR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  <w:lang w:eastAsia="pt-BR"/>
              </w:rPr>
              <m:t>MFA</m:t>
            </m:r>
          </m:num>
          <m:den>
            <m:r>
              <w:rPr>
                <w:rFonts w:ascii="Cambria Math" w:hAnsi="Cambria Math"/>
                <w:color w:val="000000"/>
                <w:sz w:val="22"/>
                <w:szCs w:val="22"/>
                <w:lang w:eastAsia="pt-BR"/>
              </w:rPr>
              <m:t>TFA</m:t>
            </m:r>
          </m:den>
        </m:f>
        <m:r>
          <w:rPr>
            <w:rFonts w:ascii="Cambria Math" w:hAnsi="Cambria Math"/>
            <w:color w:val="000000"/>
            <w:sz w:val="22"/>
            <w:szCs w:val="22"/>
            <w:lang w:eastAsia="pt-BR"/>
          </w:rPr>
          <m:t>)*100</m:t>
        </m:r>
      </m:oMath>
      <w:r w:rsidRPr="006868D1">
        <w:rPr>
          <w:rFonts w:asciiTheme="minorHAnsi" w:eastAsia="MS PGothic" w:hAnsiTheme="minorHAnsi"/>
          <w:color w:val="000000"/>
          <w:sz w:val="24"/>
          <w:szCs w:val="24"/>
          <w:lang w:eastAsia="pt-BR"/>
        </w:rPr>
        <w:t xml:space="preserve">   </w:t>
      </w:r>
      <w:r w:rsidRPr="006868D1">
        <w:rPr>
          <w:rFonts w:ascii="Calibri" w:eastAsiaTheme="minorHAnsi" w:hAnsi="Calibri" w:cs="Calibri"/>
          <w:color w:val="000000"/>
          <w:sz w:val="23"/>
          <w:szCs w:val="23"/>
        </w:rPr>
        <w:t xml:space="preserve">(Equation 1) </w:t>
      </w:r>
    </w:p>
    <w:p w:rsidR="006868D1" w:rsidRPr="006B21B8" w:rsidRDefault="006868D1" w:rsidP="006B21B8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</w:pPr>
      <w:r w:rsidRPr="006B21B8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 xml:space="preserve">MFA: moles of medium fatty acids (C10:0); TFA: moles of total fatty acids. </w:t>
      </w:r>
    </w:p>
    <w:p w:rsidR="00704BDF" w:rsidRDefault="00704BDF" w:rsidP="006868D1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pt-BR"/>
        </w:rPr>
      </w:pPr>
      <w:r w:rsidRPr="006868D1">
        <w:rPr>
          <w:rFonts w:asciiTheme="minorHAnsi" w:eastAsia="MS PGothic" w:hAnsiTheme="minorHAnsi"/>
          <w:b/>
          <w:bCs/>
          <w:color w:val="000000"/>
          <w:sz w:val="22"/>
          <w:szCs w:val="22"/>
          <w:lang w:val="pt-BR"/>
        </w:rPr>
        <w:t>3. Results and discussion</w:t>
      </w:r>
      <w:r w:rsidR="0015771F" w:rsidRPr="006868D1">
        <w:rPr>
          <w:rFonts w:asciiTheme="minorHAnsi" w:eastAsia="MS PGothic" w:hAnsiTheme="minorHAnsi"/>
          <w:b/>
          <w:bCs/>
          <w:color w:val="000000"/>
          <w:sz w:val="22"/>
          <w:szCs w:val="22"/>
          <w:lang w:val="pt-BR"/>
        </w:rPr>
        <w:t xml:space="preserve"> </w:t>
      </w:r>
    </w:p>
    <w:p w:rsidR="006868D1" w:rsidRPr="006868D1" w:rsidRDefault="006868D1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</w:pPr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 xml:space="preserve">The results of ID (%) are presented in Table 1. The ID obtained for the immobilized derivative by PA was 28.55%. Costa et al. (2018) [4] obtained an ID of 34.8%, using a different immobilization </w:t>
      </w:r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lastRenderedPageBreak/>
        <w:t>carrier (</w:t>
      </w:r>
      <w:proofErr w:type="spellStart"/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>Eupergit</w:t>
      </w:r>
      <w:proofErr w:type="spellEnd"/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 xml:space="preserve">) for olive oil and </w:t>
      </w:r>
      <w:proofErr w:type="spellStart"/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>capric</w:t>
      </w:r>
      <w:proofErr w:type="spellEnd"/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 xml:space="preserve"> acid </w:t>
      </w:r>
      <w:proofErr w:type="spellStart"/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>acidolysis</w:t>
      </w:r>
      <w:proofErr w:type="spellEnd"/>
      <w:r w:rsidRPr="006868D1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>. The lower ID obtained in this work can be justified by the difference in the carrier material and the substrate used.</w:t>
      </w:r>
    </w:p>
    <w:p w:rsidR="006868D1" w:rsidRPr="006868D1" w:rsidRDefault="006868D1" w:rsidP="006868D1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 w:rsidRPr="006868D1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 xml:space="preserve">Table 1. </w:t>
      </w:r>
      <w:r w:rsidRPr="006868D1">
        <w:rPr>
          <w:rFonts w:ascii="Calibri" w:eastAsiaTheme="minorHAnsi" w:hAnsi="Calibri" w:cs="Calibri"/>
          <w:color w:val="000000"/>
          <w:sz w:val="22"/>
          <w:szCs w:val="22"/>
        </w:rPr>
        <w:t>ID (%) of the fatty acid (</w:t>
      </w:r>
      <w:proofErr w:type="spellStart"/>
      <w:r w:rsidRPr="006868D1">
        <w:rPr>
          <w:rFonts w:ascii="Calibri" w:eastAsiaTheme="minorHAnsi" w:hAnsi="Calibri" w:cs="Calibri"/>
          <w:color w:val="000000"/>
          <w:sz w:val="22"/>
          <w:szCs w:val="22"/>
        </w:rPr>
        <w:t>C10:0</w:t>
      </w:r>
      <w:proofErr w:type="spellEnd"/>
      <w:r w:rsidRPr="006868D1">
        <w:rPr>
          <w:rFonts w:ascii="Calibri" w:eastAsiaTheme="minorHAnsi" w:hAnsi="Calibri" w:cs="Calibri"/>
          <w:color w:val="000000"/>
          <w:sz w:val="22"/>
          <w:szCs w:val="22"/>
        </w:rPr>
        <w:t xml:space="preserve">) from </w:t>
      </w:r>
      <w:proofErr w:type="spellStart"/>
      <w:r w:rsidRPr="006868D1">
        <w:rPr>
          <w:rFonts w:ascii="Calibri" w:eastAsiaTheme="minorHAnsi" w:hAnsi="Calibri" w:cs="Calibri"/>
          <w:i/>
          <w:iCs/>
          <w:color w:val="000000"/>
          <w:sz w:val="22"/>
          <w:szCs w:val="22"/>
        </w:rPr>
        <w:t>Rhizopus</w:t>
      </w:r>
      <w:proofErr w:type="spellEnd"/>
      <w:r w:rsidRPr="006868D1">
        <w:rPr>
          <w:rFonts w:ascii="Calibri" w:eastAsiaTheme="minorHAns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868D1">
        <w:rPr>
          <w:rFonts w:ascii="Calibri" w:eastAsiaTheme="minorHAnsi" w:hAnsi="Calibri" w:cs="Calibri"/>
          <w:i/>
          <w:iCs/>
          <w:color w:val="000000"/>
          <w:sz w:val="22"/>
          <w:szCs w:val="22"/>
        </w:rPr>
        <w:t>oryzae</w:t>
      </w:r>
      <w:proofErr w:type="spellEnd"/>
      <w:r w:rsidRPr="006868D1">
        <w:rPr>
          <w:rFonts w:ascii="Calibri" w:eastAsiaTheme="minorHAnsi" w:hAnsi="Calibri" w:cs="Calibri"/>
          <w:i/>
          <w:iCs/>
          <w:color w:val="000000"/>
          <w:sz w:val="22"/>
          <w:szCs w:val="22"/>
        </w:rPr>
        <w:t xml:space="preserve"> </w:t>
      </w:r>
      <w:r w:rsidRPr="006868D1">
        <w:rPr>
          <w:rFonts w:ascii="Calibri" w:eastAsiaTheme="minorHAnsi" w:hAnsi="Calibri" w:cs="Calibri"/>
          <w:color w:val="000000"/>
          <w:sz w:val="22"/>
          <w:szCs w:val="22"/>
        </w:rPr>
        <w:t>lipase immobilized derivative</w:t>
      </w:r>
    </w:p>
    <w:p w:rsidR="006F0DE7" w:rsidRDefault="006F0DE7" w:rsidP="006F0DE7">
      <w:pPr>
        <w:spacing w:line="240" w:lineRule="auto"/>
        <w:ind w:firstLine="420"/>
        <w:rPr>
          <w:rFonts w:asciiTheme="minorHAnsi" w:eastAsia="MS PGothic" w:hAnsi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29"/>
        <w:tblW w:w="3447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171"/>
        <w:gridCol w:w="1120"/>
        <w:gridCol w:w="99"/>
        <w:gridCol w:w="608"/>
        <w:gridCol w:w="403"/>
        <w:gridCol w:w="860"/>
        <w:gridCol w:w="137"/>
      </w:tblGrid>
      <w:tr w:rsidR="006B21B8" w:rsidRPr="000D35FF" w:rsidTr="006B21B8">
        <w:trPr>
          <w:trHeight w:val="110"/>
        </w:trPr>
        <w:tc>
          <w:tcPr>
            <w:tcW w:w="1457" w:type="pct"/>
            <w:vMerge w:val="restart"/>
            <w:tcBorders>
              <w:top w:val="single" w:sz="12" w:space="0" w:color="auto"/>
            </w:tcBorders>
          </w:tcPr>
          <w:p w:rsidR="000D35FF" w:rsidRPr="006B21B8" w:rsidRDefault="000D35FF" w:rsidP="000D35FF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</w:pPr>
            <w:r w:rsidRPr="006B21B8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  <w:t>Fatty acid</w:t>
            </w:r>
          </w:p>
        </w:tc>
        <w:tc>
          <w:tcPr>
            <w:tcW w:w="1925" w:type="pct"/>
            <w:gridSpan w:val="3"/>
            <w:tcBorders>
              <w:top w:val="single" w:sz="12" w:space="0" w:color="auto"/>
            </w:tcBorders>
          </w:tcPr>
          <w:p w:rsidR="000D35FF" w:rsidRPr="006B21B8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</w:pPr>
            <w:r w:rsidRPr="006B21B8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  <w:t>Fatty ac</w:t>
            </w:r>
            <w:r w:rsidR="006B21B8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  <w:t>ids</w:t>
            </w:r>
            <w:r w:rsidRPr="006B21B8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  <w:t xml:space="preserve"> (%)</w:t>
            </w:r>
          </w:p>
        </w:tc>
        <w:tc>
          <w:tcPr>
            <w:tcW w:w="1618" w:type="pct"/>
            <w:gridSpan w:val="4"/>
            <w:tcBorders>
              <w:top w:val="single" w:sz="12" w:space="0" w:color="auto"/>
            </w:tcBorders>
          </w:tcPr>
          <w:p w:rsidR="000D35FF" w:rsidRPr="006B21B8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</w:pPr>
            <w:r w:rsidRPr="006B21B8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  <w:t>Moles</w:t>
            </w:r>
          </w:p>
        </w:tc>
      </w:tr>
      <w:tr w:rsidR="006B21B8" w:rsidRPr="000D35FF" w:rsidTr="006B21B8">
        <w:trPr>
          <w:trHeight w:val="110"/>
        </w:trPr>
        <w:tc>
          <w:tcPr>
            <w:tcW w:w="1457" w:type="pct"/>
            <w:vMerge/>
            <w:tcBorders>
              <w:bottom w:val="single" w:sz="12" w:space="0" w:color="auto"/>
            </w:tcBorders>
          </w:tcPr>
          <w:p w:rsidR="000D35FF" w:rsidRPr="006B21B8" w:rsidRDefault="000D35FF" w:rsidP="000D35FF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43" w:type="pct"/>
            <w:tcBorders>
              <w:bottom w:val="single" w:sz="12" w:space="0" w:color="auto"/>
            </w:tcBorders>
          </w:tcPr>
          <w:p w:rsidR="000D35FF" w:rsidRPr="006B21B8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</w:pPr>
            <w:r w:rsidRPr="006B21B8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982" w:type="pct"/>
            <w:gridSpan w:val="2"/>
            <w:tcBorders>
              <w:bottom w:val="single" w:sz="12" w:space="0" w:color="auto"/>
            </w:tcBorders>
          </w:tcPr>
          <w:p w:rsidR="000D35FF" w:rsidRPr="006B21B8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</w:pPr>
            <w:r w:rsidRPr="006B21B8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  <w:t>CB</w:t>
            </w:r>
          </w:p>
        </w:tc>
        <w:tc>
          <w:tcPr>
            <w:tcW w:w="490" w:type="pct"/>
            <w:tcBorders>
              <w:bottom w:val="single" w:sz="12" w:space="0" w:color="auto"/>
            </w:tcBorders>
          </w:tcPr>
          <w:p w:rsidR="000D35FF" w:rsidRPr="006B21B8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</w:pPr>
            <w:r w:rsidRPr="006B21B8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1128" w:type="pct"/>
            <w:gridSpan w:val="3"/>
            <w:tcBorders>
              <w:bottom w:val="single" w:sz="12" w:space="0" w:color="auto"/>
            </w:tcBorders>
          </w:tcPr>
          <w:p w:rsidR="000D35FF" w:rsidRPr="006B21B8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</w:pPr>
            <w:r w:rsidRPr="006B21B8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  <w:t>CB</w:t>
            </w:r>
          </w:p>
        </w:tc>
      </w:tr>
      <w:tr w:rsidR="006B21B8" w:rsidRPr="000D35FF" w:rsidTr="006B21B8">
        <w:trPr>
          <w:trHeight w:val="110"/>
        </w:trPr>
        <w:tc>
          <w:tcPr>
            <w:tcW w:w="1457" w:type="pct"/>
            <w:tcBorders>
              <w:top w:val="single" w:sz="12" w:space="0" w:color="auto"/>
            </w:tcBorders>
          </w:tcPr>
          <w:p w:rsidR="000D35FF" w:rsidRPr="000D35FF" w:rsidRDefault="000D35FF" w:rsidP="000D35FF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 xml:space="preserve">C10:0 </w:t>
            </w:r>
          </w:p>
        </w:tc>
        <w:tc>
          <w:tcPr>
            <w:tcW w:w="943" w:type="pct"/>
            <w:tcBorders>
              <w:top w:val="single" w:sz="12" w:space="0" w:color="auto"/>
            </w:tcBorders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19.83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</w:tcBorders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24.52</w:t>
            </w:r>
          </w:p>
        </w:tc>
        <w:tc>
          <w:tcPr>
            <w:tcW w:w="490" w:type="pct"/>
            <w:tcBorders>
              <w:top w:val="single" w:sz="12" w:space="0" w:color="auto"/>
            </w:tcBorders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0.12</w:t>
            </w:r>
          </w:p>
        </w:tc>
        <w:tc>
          <w:tcPr>
            <w:tcW w:w="1128" w:type="pct"/>
            <w:gridSpan w:val="3"/>
            <w:tcBorders>
              <w:top w:val="single" w:sz="12" w:space="0" w:color="auto"/>
            </w:tcBorders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0.14</w:t>
            </w:r>
          </w:p>
        </w:tc>
      </w:tr>
      <w:tr w:rsidR="006B21B8" w:rsidRPr="000D35FF" w:rsidTr="006B21B8">
        <w:trPr>
          <w:trHeight w:val="110"/>
        </w:trPr>
        <w:tc>
          <w:tcPr>
            <w:tcW w:w="1457" w:type="pct"/>
          </w:tcPr>
          <w:p w:rsidR="000D35FF" w:rsidRPr="000D35FF" w:rsidRDefault="000D35FF" w:rsidP="000D35FF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 xml:space="preserve">C16:0 </w:t>
            </w:r>
          </w:p>
        </w:tc>
        <w:tc>
          <w:tcPr>
            <w:tcW w:w="943" w:type="pct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8.03</w:t>
            </w:r>
          </w:p>
        </w:tc>
        <w:tc>
          <w:tcPr>
            <w:tcW w:w="982" w:type="pct"/>
            <w:gridSpan w:val="2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5.68</w:t>
            </w:r>
          </w:p>
        </w:tc>
        <w:tc>
          <w:tcPr>
            <w:tcW w:w="490" w:type="pct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0.03</w:t>
            </w:r>
          </w:p>
        </w:tc>
        <w:tc>
          <w:tcPr>
            <w:tcW w:w="1128" w:type="pct"/>
            <w:gridSpan w:val="3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0.02</w:t>
            </w:r>
          </w:p>
        </w:tc>
      </w:tr>
      <w:tr w:rsidR="006B21B8" w:rsidRPr="000D35FF" w:rsidTr="006B21B8">
        <w:trPr>
          <w:trHeight w:val="110"/>
        </w:trPr>
        <w:tc>
          <w:tcPr>
            <w:tcW w:w="1457" w:type="pct"/>
          </w:tcPr>
          <w:p w:rsidR="000D35FF" w:rsidRPr="000D35FF" w:rsidRDefault="000D35FF" w:rsidP="000D35FF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 xml:space="preserve">C18:0 </w:t>
            </w:r>
          </w:p>
        </w:tc>
        <w:tc>
          <w:tcPr>
            <w:tcW w:w="943" w:type="pct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2.75</w:t>
            </w:r>
          </w:p>
        </w:tc>
        <w:tc>
          <w:tcPr>
            <w:tcW w:w="982" w:type="pct"/>
            <w:gridSpan w:val="2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1.95</w:t>
            </w:r>
          </w:p>
        </w:tc>
        <w:tc>
          <w:tcPr>
            <w:tcW w:w="490" w:type="pct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0.01</w:t>
            </w:r>
          </w:p>
        </w:tc>
        <w:tc>
          <w:tcPr>
            <w:tcW w:w="1128" w:type="pct"/>
            <w:gridSpan w:val="3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0.01</w:t>
            </w:r>
          </w:p>
        </w:tc>
      </w:tr>
      <w:tr w:rsidR="006B21B8" w:rsidRPr="000D35FF" w:rsidTr="006B21B8">
        <w:trPr>
          <w:trHeight w:val="110"/>
        </w:trPr>
        <w:tc>
          <w:tcPr>
            <w:tcW w:w="1457" w:type="pct"/>
          </w:tcPr>
          <w:p w:rsidR="000D35FF" w:rsidRPr="000D35FF" w:rsidRDefault="000D35FF" w:rsidP="000D35FF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 xml:space="preserve">C18:1n9C </w:t>
            </w:r>
          </w:p>
        </w:tc>
        <w:tc>
          <w:tcPr>
            <w:tcW w:w="943" w:type="pct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20.45</w:t>
            </w:r>
          </w:p>
        </w:tc>
        <w:tc>
          <w:tcPr>
            <w:tcW w:w="982" w:type="pct"/>
            <w:gridSpan w:val="2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19.95</w:t>
            </w:r>
          </w:p>
        </w:tc>
        <w:tc>
          <w:tcPr>
            <w:tcW w:w="490" w:type="pct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0.07</w:t>
            </w:r>
          </w:p>
        </w:tc>
        <w:tc>
          <w:tcPr>
            <w:tcW w:w="1128" w:type="pct"/>
            <w:gridSpan w:val="3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0.07</w:t>
            </w:r>
          </w:p>
        </w:tc>
      </w:tr>
      <w:tr w:rsidR="006B21B8" w:rsidRPr="000D35FF" w:rsidTr="006B21B8">
        <w:trPr>
          <w:trHeight w:val="110"/>
        </w:trPr>
        <w:tc>
          <w:tcPr>
            <w:tcW w:w="1457" w:type="pct"/>
          </w:tcPr>
          <w:p w:rsidR="000D35FF" w:rsidRPr="000D35FF" w:rsidRDefault="000D35FF" w:rsidP="000D35FF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 xml:space="preserve">C18:2n6C </w:t>
            </w:r>
          </w:p>
        </w:tc>
        <w:tc>
          <w:tcPr>
            <w:tcW w:w="943" w:type="pct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45.64</w:t>
            </w:r>
          </w:p>
        </w:tc>
        <w:tc>
          <w:tcPr>
            <w:tcW w:w="982" w:type="pct"/>
            <w:gridSpan w:val="2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44.63</w:t>
            </w:r>
          </w:p>
        </w:tc>
        <w:tc>
          <w:tcPr>
            <w:tcW w:w="490" w:type="pct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0.16</w:t>
            </w:r>
          </w:p>
        </w:tc>
        <w:tc>
          <w:tcPr>
            <w:tcW w:w="1128" w:type="pct"/>
            <w:gridSpan w:val="3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0.16</w:t>
            </w:r>
          </w:p>
        </w:tc>
      </w:tr>
      <w:tr w:rsidR="006B21B8" w:rsidRPr="000D35FF" w:rsidTr="006B21B8">
        <w:trPr>
          <w:trHeight w:val="110"/>
        </w:trPr>
        <w:tc>
          <w:tcPr>
            <w:tcW w:w="1457" w:type="pct"/>
          </w:tcPr>
          <w:p w:rsidR="000D35FF" w:rsidRPr="000D35FF" w:rsidRDefault="000D35FF" w:rsidP="000D35FF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 xml:space="preserve">C18:3n3 </w:t>
            </w:r>
          </w:p>
        </w:tc>
        <w:tc>
          <w:tcPr>
            <w:tcW w:w="943" w:type="pct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3.31</w:t>
            </w:r>
          </w:p>
        </w:tc>
        <w:tc>
          <w:tcPr>
            <w:tcW w:w="982" w:type="pct"/>
            <w:gridSpan w:val="2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3.28</w:t>
            </w:r>
          </w:p>
        </w:tc>
        <w:tc>
          <w:tcPr>
            <w:tcW w:w="490" w:type="pct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0.01</w:t>
            </w:r>
          </w:p>
        </w:tc>
        <w:tc>
          <w:tcPr>
            <w:tcW w:w="1128" w:type="pct"/>
            <w:gridSpan w:val="3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0.01</w:t>
            </w:r>
          </w:p>
        </w:tc>
      </w:tr>
      <w:tr w:rsidR="006B21B8" w:rsidRPr="000D35FF" w:rsidTr="006B21B8">
        <w:trPr>
          <w:trHeight w:val="110"/>
        </w:trPr>
        <w:tc>
          <w:tcPr>
            <w:tcW w:w="1457" w:type="pct"/>
          </w:tcPr>
          <w:p w:rsidR="000D35FF" w:rsidRPr="000D35FF" w:rsidRDefault="000D35FF" w:rsidP="000D35FF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 xml:space="preserve">Sum </w:t>
            </w:r>
          </w:p>
        </w:tc>
        <w:tc>
          <w:tcPr>
            <w:tcW w:w="943" w:type="pct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100.00</w:t>
            </w:r>
          </w:p>
        </w:tc>
        <w:tc>
          <w:tcPr>
            <w:tcW w:w="982" w:type="pct"/>
            <w:gridSpan w:val="2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100.00</w:t>
            </w:r>
          </w:p>
        </w:tc>
        <w:tc>
          <w:tcPr>
            <w:tcW w:w="490" w:type="pct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0.40</w:t>
            </w:r>
          </w:p>
        </w:tc>
        <w:tc>
          <w:tcPr>
            <w:tcW w:w="1128" w:type="pct"/>
            <w:gridSpan w:val="3"/>
          </w:tcPr>
          <w:p w:rsidR="000D35FF" w:rsidRPr="000D35FF" w:rsidRDefault="000D35FF" w:rsidP="006B21B8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</w:pPr>
            <w:r w:rsidRPr="000D35FF">
              <w:rPr>
                <w:rFonts w:ascii="Calibri" w:eastAsiaTheme="minorHAnsi" w:hAnsi="Calibri" w:cs="Calibri"/>
                <w:color w:val="000000"/>
                <w:sz w:val="22"/>
                <w:szCs w:val="22"/>
                <w:lang w:val="pt-BR"/>
              </w:rPr>
              <w:t>0.41</w:t>
            </w:r>
          </w:p>
        </w:tc>
      </w:tr>
      <w:tr w:rsidR="006B21B8" w:rsidRPr="006B21B8" w:rsidTr="006B21B8">
        <w:trPr>
          <w:gridAfter w:val="1"/>
          <w:wAfter w:w="110" w:type="pct"/>
          <w:trHeight w:val="110"/>
        </w:trPr>
        <w:tc>
          <w:tcPr>
            <w:tcW w:w="1457" w:type="pct"/>
            <w:tcBorders>
              <w:bottom w:val="single" w:sz="12" w:space="0" w:color="auto"/>
            </w:tcBorders>
          </w:tcPr>
          <w:p w:rsidR="000D35FF" w:rsidRPr="006B21B8" w:rsidRDefault="006B21B8" w:rsidP="000D35FF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6B21B8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>ID (%)</w:t>
            </w:r>
          </w:p>
        </w:tc>
        <w:tc>
          <w:tcPr>
            <w:tcW w:w="943" w:type="pct"/>
            <w:tcBorders>
              <w:bottom w:val="single" w:sz="12" w:space="0" w:color="auto"/>
            </w:tcBorders>
          </w:tcPr>
          <w:p w:rsidR="000D35FF" w:rsidRPr="006B21B8" w:rsidRDefault="000D35FF" w:rsidP="000D35FF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02" w:type="pct"/>
            <w:tcBorders>
              <w:bottom w:val="single" w:sz="12" w:space="0" w:color="auto"/>
            </w:tcBorders>
          </w:tcPr>
          <w:p w:rsidR="000D35FF" w:rsidRPr="006B21B8" w:rsidRDefault="000D35FF" w:rsidP="000D35FF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895" w:type="pct"/>
            <w:gridSpan w:val="3"/>
            <w:tcBorders>
              <w:bottom w:val="single" w:sz="12" w:space="0" w:color="auto"/>
            </w:tcBorders>
          </w:tcPr>
          <w:p w:rsidR="000D35FF" w:rsidRPr="006B21B8" w:rsidRDefault="006B21B8" w:rsidP="000D35FF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</w:pPr>
            <w:r w:rsidRPr="006B21B8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  <w:t>28.55</w:t>
            </w:r>
          </w:p>
        </w:tc>
        <w:tc>
          <w:tcPr>
            <w:tcW w:w="693" w:type="pct"/>
            <w:tcBorders>
              <w:bottom w:val="single" w:sz="12" w:space="0" w:color="auto"/>
            </w:tcBorders>
          </w:tcPr>
          <w:p w:rsidR="000D35FF" w:rsidRPr="006B21B8" w:rsidRDefault="006B21B8" w:rsidP="000D35FF">
            <w:pPr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</w:pPr>
            <w:r w:rsidRPr="006B21B8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pt-BR"/>
              </w:rPr>
              <w:t>34.47</w:t>
            </w:r>
          </w:p>
        </w:tc>
      </w:tr>
    </w:tbl>
    <w:p w:rsidR="000D35FF" w:rsidRPr="006B21B8" w:rsidRDefault="000D35FF" w:rsidP="006F0DE7">
      <w:pPr>
        <w:spacing w:line="240" w:lineRule="auto"/>
        <w:ind w:firstLine="420"/>
        <w:rPr>
          <w:rFonts w:asciiTheme="minorHAnsi" w:eastAsia="MS PGothic" w:hAnsiTheme="minorHAnsi"/>
          <w:color w:val="000000"/>
          <w:sz w:val="22"/>
          <w:szCs w:val="22"/>
        </w:rPr>
      </w:pPr>
    </w:p>
    <w:p w:rsidR="000D35FF" w:rsidRPr="006B21B8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</w:pPr>
    </w:p>
    <w:p w:rsidR="000D35FF" w:rsidRPr="006B21B8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</w:pPr>
    </w:p>
    <w:p w:rsidR="000D35FF" w:rsidRPr="006B21B8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</w:pPr>
    </w:p>
    <w:p w:rsidR="000D35FF" w:rsidRPr="006B21B8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</w:pPr>
    </w:p>
    <w:p w:rsidR="000D35FF" w:rsidRPr="006B21B8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</w:pPr>
    </w:p>
    <w:p w:rsidR="000D35FF" w:rsidRPr="006B21B8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</w:pPr>
    </w:p>
    <w:p w:rsidR="000D35FF" w:rsidRPr="006B21B8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</w:pPr>
    </w:p>
    <w:p w:rsidR="000D35FF" w:rsidRPr="006B21B8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</w:pPr>
    </w:p>
    <w:p w:rsidR="000D35FF" w:rsidRPr="006B21B8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</w:pPr>
    </w:p>
    <w:p w:rsidR="000D35FF" w:rsidRPr="006B21B8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</w:pPr>
    </w:p>
    <w:p w:rsidR="000D35FF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</w:pPr>
    </w:p>
    <w:p w:rsidR="000D35FF" w:rsidRPr="000D35FF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</w:pPr>
      <w:r w:rsidRPr="000D35FF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>For the CB immobilized biocatalyst, the ID was 34.47%. Considering that the maximum ID for 1</w:t>
      </w:r>
      <w:proofErr w:type="gramStart"/>
      <w:r w:rsidRPr="000D35FF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>,3</w:t>
      </w:r>
      <w:proofErr w:type="gramEnd"/>
      <w:r w:rsidRPr="000D35FF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 xml:space="preserve"> specific lipase dietary triglyceride synthesis is 66.66%, the obtained ID was satisfactory. According to </w:t>
      </w:r>
      <w:proofErr w:type="spellStart"/>
      <w:r w:rsidRPr="000D35FF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>Bassan</w:t>
      </w:r>
      <w:proofErr w:type="spellEnd"/>
      <w:r w:rsidRPr="000D35FF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 xml:space="preserve"> et al. (2018) [5], who performed the enzymatic </w:t>
      </w:r>
      <w:proofErr w:type="spellStart"/>
      <w:r w:rsidRPr="000D35FF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>acidolysis</w:t>
      </w:r>
      <w:proofErr w:type="spellEnd"/>
      <w:r w:rsidRPr="000D35FF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 xml:space="preserve"> of grape seed oil using a commercially immobilized lipase (</w:t>
      </w:r>
      <w:proofErr w:type="spellStart"/>
      <w:r w:rsidRPr="000D35FF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>Lipozyme</w:t>
      </w:r>
      <w:proofErr w:type="spellEnd"/>
      <w:r w:rsidRPr="000D35FF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 xml:space="preserve"> RM IM), the ID was of 34.53%. Our results are similar to that obtained by </w:t>
      </w:r>
      <w:proofErr w:type="spellStart"/>
      <w:r w:rsidRPr="000D35FF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>Bassan</w:t>
      </w:r>
      <w:proofErr w:type="spellEnd"/>
      <w:r w:rsidRPr="000D35FF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 xml:space="preserve"> et al., which shows the potential of the corn cob powder as a carrier for lipase immobilization. </w:t>
      </w:r>
    </w:p>
    <w:p w:rsidR="000D35FF" w:rsidRPr="000D35FF" w:rsidRDefault="000D35FF" w:rsidP="000D35F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pt-BR"/>
        </w:rPr>
      </w:pPr>
      <w:r w:rsidRPr="000D35FF">
        <w:rPr>
          <w:rFonts w:asciiTheme="minorHAnsi" w:eastAsia="MS PGothic" w:hAnsiTheme="minorHAnsi"/>
          <w:b/>
          <w:bCs/>
          <w:color w:val="000000"/>
          <w:sz w:val="22"/>
          <w:szCs w:val="22"/>
          <w:lang w:val="pt-BR"/>
        </w:rPr>
        <w:t xml:space="preserve">4. Conclusions </w:t>
      </w:r>
    </w:p>
    <w:p w:rsidR="000D35FF" w:rsidRPr="000D35FF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</w:pPr>
      <w:r w:rsidRPr="000D35FF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 xml:space="preserve">The use of corn cob powder as a carrier for immobilization of lipases presents great potential for the application in dietary triglycerides synthesis. </w:t>
      </w:r>
    </w:p>
    <w:p w:rsidR="000D35FF" w:rsidRPr="000D35FF" w:rsidRDefault="000D35FF" w:rsidP="000D35F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pt-BR"/>
        </w:rPr>
      </w:pPr>
      <w:r w:rsidRPr="000D35FF">
        <w:rPr>
          <w:rFonts w:asciiTheme="minorHAnsi" w:eastAsia="MS PGothic" w:hAnsiTheme="minorHAnsi"/>
          <w:b/>
          <w:bCs/>
          <w:color w:val="000000"/>
          <w:sz w:val="22"/>
          <w:szCs w:val="22"/>
          <w:lang w:val="pt-BR"/>
        </w:rPr>
        <w:t xml:space="preserve">5. Acknowledgements </w:t>
      </w:r>
    </w:p>
    <w:p w:rsidR="000D35FF" w:rsidRPr="000D35FF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</w:pPr>
      <w:r w:rsidRPr="000D35FF">
        <w:rPr>
          <w:rFonts w:asciiTheme="minorHAnsi" w:eastAsia="MS PGothic" w:hAnsiTheme="minorHAnsi" w:cs="Times New Roman"/>
          <w:color w:val="000000"/>
          <w:sz w:val="22"/>
          <w:szCs w:val="22"/>
          <w:lang w:val="en-GB" w:eastAsia="en-US"/>
        </w:rPr>
        <w:t xml:space="preserve">The authors gratefully acknowledge the financial support of São Paulo Research Foundation - FAPESP (2017/11482-7; 2018/03932-5; 2018/10194-0). </w:t>
      </w:r>
    </w:p>
    <w:p w:rsidR="000D35FF" w:rsidRPr="000D35FF" w:rsidRDefault="000D35FF" w:rsidP="000D35F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pt-BR"/>
        </w:rPr>
      </w:pPr>
      <w:r w:rsidRPr="000D35FF">
        <w:rPr>
          <w:rFonts w:asciiTheme="minorHAnsi" w:eastAsia="MS PGothic" w:hAnsiTheme="minorHAnsi"/>
          <w:b/>
          <w:bCs/>
          <w:color w:val="000000"/>
          <w:sz w:val="22"/>
          <w:szCs w:val="22"/>
          <w:lang w:val="pt-BR"/>
        </w:rPr>
        <w:t xml:space="preserve">References </w:t>
      </w:r>
    </w:p>
    <w:p w:rsidR="000D35FF" w:rsidRPr="006B21B8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</w:pPr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 xml:space="preserve">[1] SHELDON, R. A.; PELT, S. Enzyme immobilization in </w:t>
      </w:r>
      <w:proofErr w:type="spellStart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>biocatalysis</w:t>
      </w:r>
      <w:proofErr w:type="spellEnd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 xml:space="preserve">: why, what and how. Chemical Society Reviews, v. 42, n. 15, Mar. 2013. </w:t>
      </w:r>
    </w:p>
    <w:p w:rsidR="000D35FF" w:rsidRPr="00585EBB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0"/>
          <w:szCs w:val="20"/>
          <w:lang w:val="it-IT" w:eastAsia="en-US"/>
        </w:rPr>
      </w:pPr>
      <w:r w:rsidRPr="00585EBB">
        <w:rPr>
          <w:rFonts w:asciiTheme="minorHAnsi" w:eastAsia="MS PGothic" w:hAnsiTheme="minorHAnsi" w:cs="Times New Roman"/>
          <w:color w:val="000000"/>
          <w:sz w:val="20"/>
          <w:szCs w:val="20"/>
          <w:lang w:val="it-IT" w:eastAsia="en-US"/>
        </w:rPr>
        <w:t xml:space="preserve">[2] COSTA, D. M. Sabugo de milho como suporte para imobilização de lipase. 2015.157 f. Tese (Doutorado em Engenharia de Processos) – Universidade Tiradentes, Aracajú/SE, 2015. </w:t>
      </w:r>
    </w:p>
    <w:p w:rsidR="000D35FF" w:rsidRPr="006B21B8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</w:pPr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 xml:space="preserve">[3] BASSAN, C. J.; SOUZA, B. M. T.; PEIXOTO, G.; CRUZ, P. Z. C.; GALÁN, M. P, J.; VAZ, S. B .A.; GARRIDO, S.S.; FILICE, M.; MONTI, R. Immobilization of trypsin in lignocellulosic waste material to produce peptides with bioactive </w:t>
      </w:r>
      <w:proofErr w:type="spellStart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>potencial</w:t>
      </w:r>
      <w:proofErr w:type="spellEnd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 xml:space="preserve"> from whey protein. Materials, v. </w:t>
      </w:r>
      <w:proofErr w:type="gramStart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>9</w:t>
      </w:r>
      <w:proofErr w:type="gramEnd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 xml:space="preserve">, n. 5, 2016. </w:t>
      </w:r>
    </w:p>
    <w:p w:rsidR="000D35FF" w:rsidRPr="006B21B8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</w:pPr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 xml:space="preserve">[4] COSTA, C. M.; OSÓRIO, N. M.; CANET, A.; RIVERA,I.; SANDOVAL, G.; VALERO,F.; FERREIRA-DIAS, S. </w:t>
      </w:r>
      <w:proofErr w:type="spellStart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>Prodution</w:t>
      </w:r>
      <w:proofErr w:type="spellEnd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 xml:space="preserve"> of </w:t>
      </w:r>
      <w:proofErr w:type="spellStart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>MLM</w:t>
      </w:r>
      <w:proofErr w:type="spellEnd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 xml:space="preserve"> Type Structured Lipids From Grapeseed Oil </w:t>
      </w:r>
      <w:proofErr w:type="spellStart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>Catalyzed</w:t>
      </w:r>
      <w:proofErr w:type="spellEnd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 xml:space="preserve"> by Non-Commercial Lipases. European Journal of </w:t>
      </w:r>
      <w:proofErr w:type="spellStart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>Lipd</w:t>
      </w:r>
      <w:proofErr w:type="spellEnd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 xml:space="preserve"> Science and Technology, v. 120, 2018. </w:t>
      </w:r>
    </w:p>
    <w:p w:rsidR="000D35FF" w:rsidRPr="006B21B8" w:rsidRDefault="000D35FF" w:rsidP="000D35FF">
      <w:pPr>
        <w:pStyle w:val="CorpodeTextoQualificao"/>
        <w:spacing w:line="240" w:lineRule="auto"/>
        <w:ind w:firstLine="0"/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</w:pPr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>[5] BASSAN, N. RODRIGUES, R. H.; TECELÃO, C.; MONTI,R.; FERREIRA-DIAS, S.; PAULA, A. V. Enzymatic modification of grape (</w:t>
      </w:r>
      <w:proofErr w:type="spellStart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>Vitis</w:t>
      </w:r>
      <w:proofErr w:type="spellEnd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 xml:space="preserve"> </w:t>
      </w:r>
      <w:proofErr w:type="spellStart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>vinifera</w:t>
      </w:r>
      <w:proofErr w:type="spellEnd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 xml:space="preserve"> L.) seed oil </w:t>
      </w:r>
      <w:proofErr w:type="spellStart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>aimig</w:t>
      </w:r>
      <w:proofErr w:type="spellEnd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 xml:space="preserve"> to obtain dietary </w:t>
      </w:r>
      <w:proofErr w:type="spellStart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>triacylglycerols</w:t>
      </w:r>
      <w:proofErr w:type="spellEnd"/>
      <w:r w:rsidRPr="006B21B8">
        <w:rPr>
          <w:rFonts w:asciiTheme="minorHAnsi" w:eastAsia="MS PGothic" w:hAnsiTheme="minorHAnsi" w:cs="Times New Roman"/>
          <w:color w:val="000000"/>
          <w:sz w:val="20"/>
          <w:szCs w:val="20"/>
          <w:lang w:val="en-GB" w:eastAsia="en-US"/>
        </w:rPr>
        <w:t xml:space="preserve"> in a batch reactor. LWT - Food Science and Technology, 2018.</w:t>
      </w:r>
    </w:p>
    <w:sectPr w:rsidR="000D35FF" w:rsidRPr="006B21B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51" w:rsidRDefault="00444A51" w:rsidP="004F5E36">
      <w:r>
        <w:separator/>
      </w:r>
    </w:p>
  </w:endnote>
  <w:endnote w:type="continuationSeparator" w:id="0">
    <w:p w:rsidR="00444A51" w:rsidRDefault="00444A5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51" w:rsidRDefault="00444A51" w:rsidP="004F5E36">
      <w:r>
        <w:separator/>
      </w:r>
    </w:p>
  </w:footnote>
  <w:footnote w:type="continuationSeparator" w:id="0">
    <w:p w:rsidR="00444A51" w:rsidRDefault="00444A5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6E3B4E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E8736F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0213D7A"/>
    <w:multiLevelType w:val="hybridMultilevel"/>
    <w:tmpl w:val="7030838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D35FF"/>
    <w:rsid w:val="000E36F1"/>
    <w:rsid w:val="000E3A73"/>
    <w:rsid w:val="000E414A"/>
    <w:rsid w:val="0013121F"/>
    <w:rsid w:val="00134DE4"/>
    <w:rsid w:val="00150E59"/>
    <w:rsid w:val="0015771F"/>
    <w:rsid w:val="001622FF"/>
    <w:rsid w:val="00170E23"/>
    <w:rsid w:val="001825CE"/>
    <w:rsid w:val="00184AD6"/>
    <w:rsid w:val="001B65C1"/>
    <w:rsid w:val="001C684B"/>
    <w:rsid w:val="001D53FC"/>
    <w:rsid w:val="001F2EC7"/>
    <w:rsid w:val="002065DB"/>
    <w:rsid w:val="002321BE"/>
    <w:rsid w:val="002447EF"/>
    <w:rsid w:val="00251550"/>
    <w:rsid w:val="00261651"/>
    <w:rsid w:val="00261F4F"/>
    <w:rsid w:val="0027221A"/>
    <w:rsid w:val="00275B61"/>
    <w:rsid w:val="002D1F12"/>
    <w:rsid w:val="002D455C"/>
    <w:rsid w:val="003009B7"/>
    <w:rsid w:val="0030469C"/>
    <w:rsid w:val="003723D4"/>
    <w:rsid w:val="0038205F"/>
    <w:rsid w:val="003A7D1C"/>
    <w:rsid w:val="003E3335"/>
    <w:rsid w:val="003E78CF"/>
    <w:rsid w:val="00444A51"/>
    <w:rsid w:val="004454F3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833FA"/>
    <w:rsid w:val="00585EBB"/>
    <w:rsid w:val="00594E9F"/>
    <w:rsid w:val="005B61E6"/>
    <w:rsid w:val="005C77E1"/>
    <w:rsid w:val="005D6A2F"/>
    <w:rsid w:val="005E1A82"/>
    <w:rsid w:val="005F0A28"/>
    <w:rsid w:val="005F0E5E"/>
    <w:rsid w:val="00620DEE"/>
    <w:rsid w:val="00623017"/>
    <w:rsid w:val="00625639"/>
    <w:rsid w:val="006366F8"/>
    <w:rsid w:val="0064184D"/>
    <w:rsid w:val="00660E3E"/>
    <w:rsid w:val="00662E74"/>
    <w:rsid w:val="006868D1"/>
    <w:rsid w:val="006B01AC"/>
    <w:rsid w:val="006B21B8"/>
    <w:rsid w:val="006C5579"/>
    <w:rsid w:val="006E5ECC"/>
    <w:rsid w:val="006F0DE7"/>
    <w:rsid w:val="006F1748"/>
    <w:rsid w:val="00704BDF"/>
    <w:rsid w:val="00736B13"/>
    <w:rsid w:val="007447F3"/>
    <w:rsid w:val="007661C8"/>
    <w:rsid w:val="007704E9"/>
    <w:rsid w:val="00774DF4"/>
    <w:rsid w:val="00796E9E"/>
    <w:rsid w:val="007D52CD"/>
    <w:rsid w:val="00803700"/>
    <w:rsid w:val="00813288"/>
    <w:rsid w:val="008168FC"/>
    <w:rsid w:val="008479A2"/>
    <w:rsid w:val="00853F08"/>
    <w:rsid w:val="0087637F"/>
    <w:rsid w:val="00886437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52BE8"/>
    <w:rsid w:val="00A76EFC"/>
    <w:rsid w:val="00A97F29"/>
    <w:rsid w:val="00AB0964"/>
    <w:rsid w:val="00AE377D"/>
    <w:rsid w:val="00B61DBF"/>
    <w:rsid w:val="00B900C4"/>
    <w:rsid w:val="00BA21B8"/>
    <w:rsid w:val="00BA6F6A"/>
    <w:rsid w:val="00BC30C9"/>
    <w:rsid w:val="00BE3E58"/>
    <w:rsid w:val="00C01616"/>
    <w:rsid w:val="00C0162B"/>
    <w:rsid w:val="00C22052"/>
    <w:rsid w:val="00C242CD"/>
    <w:rsid w:val="00C345B1"/>
    <w:rsid w:val="00C40142"/>
    <w:rsid w:val="00C427C1"/>
    <w:rsid w:val="00C57182"/>
    <w:rsid w:val="00C655FD"/>
    <w:rsid w:val="00C94434"/>
    <w:rsid w:val="00CA1C95"/>
    <w:rsid w:val="00CA5A9C"/>
    <w:rsid w:val="00CC3F4B"/>
    <w:rsid w:val="00CD5FE2"/>
    <w:rsid w:val="00CD618F"/>
    <w:rsid w:val="00D02B4C"/>
    <w:rsid w:val="00D60FCE"/>
    <w:rsid w:val="00D7234D"/>
    <w:rsid w:val="00D82F73"/>
    <w:rsid w:val="00D84576"/>
    <w:rsid w:val="00DE0019"/>
    <w:rsid w:val="00DE264A"/>
    <w:rsid w:val="00E041E7"/>
    <w:rsid w:val="00E23CA1"/>
    <w:rsid w:val="00E409A8"/>
    <w:rsid w:val="00E47211"/>
    <w:rsid w:val="00E7209D"/>
    <w:rsid w:val="00E75FA0"/>
    <w:rsid w:val="00EA50E1"/>
    <w:rsid w:val="00EE0131"/>
    <w:rsid w:val="00F16B8E"/>
    <w:rsid w:val="00F30C64"/>
    <w:rsid w:val="00F364B9"/>
    <w:rsid w:val="00FA6A21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D4990B1-C54E-43DD-B931-D0556571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CorpodeTextoQualificao">
    <w:name w:val="Corpo de Texto Qualificação"/>
    <w:basedOn w:val="Normale"/>
    <w:qFormat/>
    <w:rsid w:val="001825CE"/>
    <w:pPr>
      <w:tabs>
        <w:tab w:val="clear" w:pos="7100"/>
      </w:tabs>
      <w:suppressAutoHyphens/>
      <w:autoSpaceDE w:val="0"/>
      <w:spacing w:line="360" w:lineRule="auto"/>
      <w:ind w:firstLine="709"/>
    </w:pPr>
    <w:rPr>
      <w:rFonts w:cs="Arial"/>
      <w:sz w:val="24"/>
      <w:szCs w:val="24"/>
      <w:lang w:val="pt-BR" w:eastAsia="ar-SA"/>
    </w:rPr>
  </w:style>
  <w:style w:type="paragraph" w:customStyle="1" w:styleId="ABNT1-Texto">
    <w:name w:val="ABNT1 - Texto"/>
    <w:basedOn w:val="Normale"/>
    <w:qFormat/>
    <w:rsid w:val="00F16B8E"/>
    <w:pPr>
      <w:tabs>
        <w:tab w:val="clear" w:pos="7100"/>
      </w:tabs>
      <w:spacing w:line="360" w:lineRule="auto"/>
      <w:ind w:firstLine="709"/>
      <w:contextualSpacing/>
    </w:pPr>
    <w:rPr>
      <w:rFonts w:eastAsia="Calibri"/>
      <w:sz w:val="24"/>
      <w:szCs w:val="22"/>
      <w:lang w:val="pt-BR"/>
    </w:rPr>
  </w:style>
  <w:style w:type="paragraph" w:styleId="Paragrafoelenco">
    <w:name w:val="List Paragraph"/>
    <w:basedOn w:val="Normale"/>
    <w:uiPriority w:val="34"/>
    <w:qFormat/>
    <w:locked/>
    <w:rsid w:val="002321BE"/>
    <w:pPr>
      <w:tabs>
        <w:tab w:val="clear" w:pos="7100"/>
      </w:tabs>
      <w:suppressAutoHyphens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val="pt-BR" w:eastAsia="ar-SA"/>
    </w:rPr>
  </w:style>
  <w:style w:type="paragraph" w:customStyle="1" w:styleId="Default">
    <w:name w:val="Default"/>
    <w:rsid w:val="00F364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56873-51C1-40D8-9388-F349751F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2019-06-18T09:08:00Z</dcterms:created>
  <dcterms:modified xsi:type="dcterms:W3CDTF">2019-06-18T09:08:00Z</dcterms:modified>
</cp:coreProperties>
</file>