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6E27" w14:textId="77777777" w:rsidR="000A03B2" w:rsidRPr="00881547" w:rsidRDefault="00881547" w:rsidP="00881547">
      <w:pPr>
        <w:pStyle w:val="CETAuthors"/>
        <w:tabs>
          <w:tab w:val="clear" w:pos="7100"/>
          <w:tab w:val="left" w:pos="1140"/>
        </w:tabs>
        <w:rPr>
          <w:lang w:val="en-US"/>
        </w:rPr>
        <w:sectPr w:rsidR="000A03B2" w:rsidRPr="00881547" w:rsidSect="006009B0">
          <w:headerReference w:type="default" r:id="rId8"/>
          <w:headerReference w:type="first" r:id="rId9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  <w:r>
        <w:rPr>
          <w:lang w:val="en-US"/>
        </w:rPr>
        <w:tab/>
      </w:r>
    </w:p>
    <w:p w14:paraId="6CDD980B" w14:textId="77777777" w:rsidR="00704BDF" w:rsidRPr="00DE0019" w:rsidRDefault="00525A3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Ternary solvent system for crystallizing the desired solid form of indomethacin with increased productivity </w:t>
      </w:r>
    </w:p>
    <w:p w14:paraId="0C1EE1F3" w14:textId="4B131783" w:rsidR="00DE0019" w:rsidRPr="002C2B88" w:rsidRDefault="00D72C6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Iben O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stergaard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5F4841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 w:rsidR="00F32836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Chandrakant Malwade</w:t>
      </w:r>
      <w:r w:rsidR="00F32836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F32836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Heidi Lopez de Diego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 xml:space="preserve"> 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Haiyan Qu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0075CD" w:rsidRPr="002C2B8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</w:p>
    <w:p w14:paraId="17CED5D0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F48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5F4841" w:rsidRPr="005F4841">
        <w:rPr>
          <w:rFonts w:asciiTheme="minorHAnsi" w:hAnsiTheme="minorHAnsi" w:cstheme="minorHAnsi"/>
          <w:i/>
          <w:sz w:val="20"/>
        </w:rPr>
        <w:t xml:space="preserve">Department of Chemical Engineering, Biotechnology, and Environmental Technology, University of Southern Denmark, </w:t>
      </w:r>
      <w:proofErr w:type="spellStart"/>
      <w:r w:rsidR="005F4841" w:rsidRPr="005F4841">
        <w:rPr>
          <w:rFonts w:asciiTheme="minorHAnsi" w:hAnsiTheme="minorHAnsi" w:cstheme="minorHAnsi"/>
          <w:i/>
          <w:sz w:val="20"/>
        </w:rPr>
        <w:t>Campusvej</w:t>
      </w:r>
      <w:proofErr w:type="spellEnd"/>
      <w:r w:rsidR="005F4841" w:rsidRPr="005F4841">
        <w:rPr>
          <w:rFonts w:asciiTheme="minorHAnsi" w:hAnsiTheme="minorHAnsi" w:cstheme="minorHAnsi"/>
          <w:i/>
          <w:sz w:val="20"/>
        </w:rPr>
        <w:t xml:space="preserve"> 55, 5230 Odense, Denmark</w:t>
      </w:r>
      <w:r w:rsidR="005F4841" w:rsidRPr="005F48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;</w:t>
      </w:r>
      <w:r w:rsidRPr="005F48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2</w:t>
      </w:r>
      <w:r w:rsidR="005F4841" w:rsidRPr="005F48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r w:rsidR="004D0EF5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Process Chemistry, </w:t>
      </w:r>
      <w:r w:rsidR="005F4841" w:rsidRPr="005F4841">
        <w:rPr>
          <w:rFonts w:asciiTheme="minorHAnsi" w:hAnsiTheme="minorHAnsi" w:cstheme="minorHAnsi"/>
          <w:i/>
          <w:sz w:val="20"/>
        </w:rPr>
        <w:t xml:space="preserve">H. Lundbeck A/S, </w:t>
      </w:r>
      <w:proofErr w:type="spellStart"/>
      <w:r w:rsidR="005F4841" w:rsidRPr="005F4841">
        <w:rPr>
          <w:rFonts w:asciiTheme="minorHAnsi" w:hAnsiTheme="minorHAnsi" w:cstheme="minorHAnsi"/>
          <w:i/>
          <w:sz w:val="20"/>
        </w:rPr>
        <w:t>Ottiliavej</w:t>
      </w:r>
      <w:proofErr w:type="spellEnd"/>
      <w:r w:rsidR="005F4841" w:rsidRPr="005F4841">
        <w:rPr>
          <w:rFonts w:asciiTheme="minorHAnsi" w:hAnsiTheme="minorHAnsi" w:cstheme="minorHAnsi"/>
          <w:i/>
          <w:sz w:val="20"/>
        </w:rPr>
        <w:t xml:space="preserve"> 9, 2500 Copenhagen, Denmark</w:t>
      </w:r>
      <w:r w:rsidR="005F484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14:paraId="74ED3851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5F4841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ibo@kbm.sdu.dk</w:t>
      </w:r>
    </w:p>
    <w:p w14:paraId="4B967EA0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7849C0F" w14:textId="77777777" w:rsidR="00704BDF" w:rsidRPr="00EC66CC" w:rsidRDefault="00B9181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Novel </w:t>
      </w:r>
      <w:r w:rsidR="00436375">
        <w:rPr>
          <w:rFonts w:asciiTheme="minorHAnsi" w:hAnsiTheme="minorHAnsi"/>
        </w:rPr>
        <w:t>antisolvent</w:t>
      </w:r>
      <w:r>
        <w:rPr>
          <w:rFonts w:asciiTheme="minorHAnsi" w:hAnsiTheme="minorHAnsi"/>
        </w:rPr>
        <w:t xml:space="preserve"> </w:t>
      </w:r>
      <w:r w:rsidR="00436375">
        <w:rPr>
          <w:rFonts w:asciiTheme="minorHAnsi" w:hAnsiTheme="minorHAnsi"/>
        </w:rPr>
        <w:t>crystallization process for Indomethacin</w:t>
      </w:r>
    </w:p>
    <w:p w14:paraId="6563E6C7" w14:textId="77777777" w:rsidR="00704BDF" w:rsidRPr="00EC66CC" w:rsidRDefault="005156B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Increased </w:t>
      </w:r>
      <w:r w:rsidR="00436375">
        <w:rPr>
          <w:rFonts w:asciiTheme="minorHAnsi" w:hAnsiTheme="minorHAnsi"/>
        </w:rPr>
        <w:t>productivity</w:t>
      </w:r>
      <w:r>
        <w:rPr>
          <w:rFonts w:asciiTheme="minorHAnsi" w:hAnsiTheme="minorHAnsi"/>
        </w:rPr>
        <w:t xml:space="preserve"> </w:t>
      </w:r>
      <w:r w:rsidR="00BD4B1A">
        <w:rPr>
          <w:rFonts w:asciiTheme="minorHAnsi" w:hAnsiTheme="minorHAnsi"/>
        </w:rPr>
        <w:t>obtained from ternary solvent system</w:t>
      </w:r>
      <w:r w:rsidR="00B9181B">
        <w:rPr>
          <w:rFonts w:asciiTheme="minorHAnsi" w:hAnsiTheme="minorHAnsi"/>
        </w:rPr>
        <w:t xml:space="preserve"> </w:t>
      </w:r>
    </w:p>
    <w:p w14:paraId="44995FBF" w14:textId="77777777" w:rsidR="00704BDF" w:rsidRPr="00B9181B" w:rsidRDefault="00BD4B1A" w:rsidP="00B918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Desired polymorph</w:t>
      </w:r>
      <w:r w:rsidR="00595322">
        <w:rPr>
          <w:rFonts w:asciiTheme="minorHAnsi" w:hAnsiTheme="minorHAnsi"/>
        </w:rPr>
        <w:t xml:space="preserve"> o</w:t>
      </w:r>
      <w:r w:rsidR="00B9181B">
        <w:rPr>
          <w:rFonts w:asciiTheme="minorHAnsi" w:hAnsiTheme="minorHAnsi"/>
        </w:rPr>
        <w:t>btained</w:t>
      </w:r>
      <w:r>
        <w:rPr>
          <w:rFonts w:asciiTheme="minorHAnsi" w:hAnsiTheme="minorHAnsi"/>
        </w:rPr>
        <w:t xml:space="preserve"> via seeding</w:t>
      </w:r>
    </w:p>
    <w:p w14:paraId="4AFAFB1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97FF0A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C41340D" w14:textId="15717B79" w:rsidR="004A5F4E" w:rsidRDefault="004F485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of crystallization processes for manufacturing of active pharmaceutical ingredients (APIs) with </w:t>
      </w:r>
      <w:r w:rsidR="00525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desired </w:t>
      </w:r>
      <w:r w:rsidR="00525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purity, solid form, particulate properties, as well as sufficiently high process yield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very crucial for pharmaceutical industry. </w:t>
      </w:r>
      <w:r w:rsidR="00A56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Polymorphism, particle size distribution and crystal shape of APIs </w:t>
      </w:r>
      <w:r w:rsidR="00281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A56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complex function of crystallization process parameters, whereas the productivity of </w:t>
      </w:r>
      <w:r w:rsidR="00525A3D">
        <w:rPr>
          <w:rFonts w:asciiTheme="minorHAnsi" w:eastAsia="MS PGothic" w:hAnsiTheme="minorHAnsi"/>
          <w:color w:val="000000"/>
          <w:sz w:val="22"/>
          <w:szCs w:val="22"/>
          <w:lang w:val="en-US"/>
        </w:rPr>
        <w:t>a batch crystallization</w:t>
      </w:r>
      <w:r w:rsidR="00A56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strongly depends on the </w:t>
      </w:r>
      <w:r w:rsidR="00525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difference between the API concentration at the initial operating conditions and the final </w:t>
      </w:r>
      <w:r w:rsidR="00301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 of the batch. A high process yield requires a solvent system that provides high API sol</w:t>
      </w:r>
      <w:r w:rsidR="004733A4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301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bility at the initial batch conditions </w:t>
      </w:r>
      <w:r w:rsidR="00184C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01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remarkable change of the API solubility with the changing operation parameter, i.e., decreasing of temperature and/or addition of anti</w:t>
      </w:r>
      <w:r w:rsidR="00A56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</w:t>
      </w:r>
      <w:r w:rsidR="004733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7F9D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[1].</w:t>
      </w:r>
      <w:r w:rsidR="00965667" w:rsidRPr="009656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3D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33D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2B2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show that</w:t>
      </w:r>
      <w:r w:rsidR="000F5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</w:t>
      </w:r>
      <w:r w:rsidR="00272B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binary solvent mixture </w:t>
      </w:r>
      <w:r w:rsidR="002B2F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</w:t>
      </w:r>
      <w:r w:rsidR="003D21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pure solvent </w:t>
      </w:r>
      <w:r w:rsidR="00272B2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provide increased</w:t>
      </w:r>
      <w:r w:rsidR="002C2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solubility</w:t>
      </w:r>
      <w:r w:rsidR="00272B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leading to the increased productivity </w:t>
      </w:r>
      <w:r w:rsidR="000F5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APIs</w:t>
      </w:r>
      <w:r w:rsidR="00A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crystallization.</w:t>
      </w:r>
      <w:r w:rsidR="000F5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21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also show that </w:t>
      </w:r>
      <w:r w:rsidR="009C535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altered solute-solvent interactions favoring the formation of desired polymorph can be obtained by using solvent mixtures instead of pure solvents.</w:t>
      </w:r>
      <w:r w:rsidR="000F5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B5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Indometh</w:t>
      </w:r>
      <w:r w:rsidR="0072077B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acin (IMC), a nonsteroidal anti-</w:t>
      </w:r>
      <w:r w:rsidR="00DB5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inflammatory drug</w:t>
      </w:r>
      <w:r w:rsidR="00A56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B5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 as the model compound. It has been reported that IMC can form five </w:t>
      </w:r>
      <w:proofErr w:type="gramStart"/>
      <w:r w:rsidR="00DB5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polymorphs</w:t>
      </w:r>
      <w:proofErr w:type="gramEnd"/>
      <w:r w:rsidR="00DB5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several solvates </w:t>
      </w:r>
      <w:r w:rsidR="00EF1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0F5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</w:t>
      </w:r>
      <w:r w:rsidR="007607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metastable </w:t>
      </w:r>
      <w:r w:rsidR="007607A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α-IMC having needle like crystal shape </w:t>
      </w:r>
      <w:r w:rsidR="0062058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6205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thermodynamically most stable </w:t>
      </w:r>
      <w:r w:rsidR="0062058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γ-IMC</w:t>
      </w:r>
      <w:r w:rsidR="006205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having plate like crystal shape </w:t>
      </w:r>
      <w:r w:rsidR="00B9181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are most commonly observed. </w:t>
      </w:r>
      <w:r w:rsidR="004145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this work, antisolvent crystallization of IMC from acetone-methanol-water system has been carried out wi</w:t>
      </w:r>
      <w:r w:rsidR="00CF0FA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 acetone-methanol (66.5-33.5 </w:t>
      </w:r>
      <w:proofErr w:type="spellStart"/>
      <w:r w:rsidR="00CF0FA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</w:t>
      </w:r>
      <w:r w:rsidR="004145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proofErr w:type="spellEnd"/>
      <w:r w:rsidR="004145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%) as solvent and water as an antisolvent. </w:t>
      </w:r>
    </w:p>
    <w:p w14:paraId="4C76C5B1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38AF185" w14:textId="77777777" w:rsidR="004D2345" w:rsidRDefault="00141252" w:rsidP="00FD11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Binary solvent mixture acetone-methanol was selected based on the solubility of </w:t>
      </w:r>
      <w:r w:rsidR="00F51C2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γ-IMC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F078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single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binary solvent mixtures (Fig. 1) reported earlier</w:t>
      </w:r>
      <w:r w:rsidR="00E57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</w:t>
      </w:r>
      <w:r w:rsidR="00F07868">
        <w:rPr>
          <w:rFonts w:asciiTheme="minorHAnsi" w:eastAsia="MS PGothic" w:hAnsiTheme="minorHAnsi"/>
          <w:color w:val="000000"/>
          <w:sz w:val="22"/>
          <w:szCs w:val="22"/>
          <w:lang w:val="en-US"/>
        </w:rPr>
        <w:t>,4</w:t>
      </w:r>
      <w:r w:rsidR="00E572F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Firstly, the solubility of </w:t>
      </w:r>
      <w:r w:rsidR="00F51C2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γ-IMC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acetone-methanol-water with varying composition of water was measured at 25 </w:t>
      </w:r>
      <w:r w:rsidRPr="001412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C. </w:t>
      </w:r>
      <w:r w:rsidR="00C308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determined solubility data, seeded and unseeded antisolvent crystallization experiments of IMC from acetone-methanol-water were performed at 25 </w:t>
      </w:r>
      <w:r w:rsidR="00C3087C" w:rsidRPr="001412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 w:rsidR="00C308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C. </w:t>
      </w:r>
      <w:r w:rsidR="004A51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procedure included dissolution of IMC in 30</w:t>
      </w:r>
      <w:r w:rsidR="002D5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51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 of acetone-methanol solvent contained in a 100 ml reactor followed by stepwise addition of </w:t>
      </w:r>
      <w:r w:rsid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water as an antisolvent</w:t>
      </w:r>
      <w:r w:rsidR="004A51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8714D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 experiment was performed at two different initial concentrations of IMC</w:t>
      </w:r>
      <w:r w:rsidR="007A2A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shown in Fig. 2</w:t>
      </w:r>
      <w:r w:rsidR="004871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experiments with high (</w:t>
      </w:r>
      <w:r w:rsidR="007C7DDE" w:rsidRPr="007C7DD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</w:t>
      </w:r>
      <w:r w:rsidR="007C7DDE" w:rsidRPr="007C7D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="007C7DDE" w:rsidRPr="007C7DD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7C7DDE" w:rsidRP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low (</w:t>
      </w:r>
      <w:r w:rsidR="007C7DDE" w:rsidRPr="007C7DD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</w:t>
      </w:r>
      <w:r w:rsidR="007C7DDE" w:rsidRPr="007C7D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="007C7DD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7C7DDE" w:rsidRP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concentrations, 9 and 12 g water was added, respectively to obtain the respective solvent composition</w:t>
      </w:r>
      <w:r w:rsidR="008953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23 and 28.5 </w:t>
      </w:r>
      <w:proofErr w:type="spellStart"/>
      <w:r w:rsidR="008953E6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8953E6">
        <w:rPr>
          <w:rFonts w:asciiTheme="minorHAnsi" w:eastAsia="MS PGothic" w:hAnsiTheme="minorHAnsi"/>
          <w:color w:val="000000"/>
          <w:sz w:val="22"/>
          <w:szCs w:val="22"/>
          <w:lang w:val="en-US"/>
        </w:rPr>
        <w:t>% water as shown in Fig. 2.</w:t>
      </w:r>
      <w:r w:rsidR="007C7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48714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case of seeded experiments, seed load (</w:t>
      </w:r>
      <w:r w:rsidR="004871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γ-IMC</w:t>
      </w:r>
      <w:r w:rsidR="004871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71-125 </w:t>
      </w:r>
      <w:r w:rsidR="0048714D" w:rsidRPr="004871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µm</w:t>
      </w:r>
      <w:r w:rsidR="004871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of 0.75, 1.5, 3, and 4% of </w:t>
      </w:r>
      <w:r w:rsidR="00AA7709" w:rsidRPr="004733A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Δ</w:t>
      </w:r>
      <w:r w:rsidR="00AA7709" w:rsidRPr="00AA7709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C</w:t>
      </w:r>
      <w:r w:rsidR="00AA7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used. </w:t>
      </w:r>
      <w:r w:rsidR="004944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experiments were monitored with ATR-FTIR probe and characterization of </w:t>
      </w:r>
      <w:r w:rsidR="004F2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IMC crystals</w:t>
      </w:r>
      <w:r w:rsidR="004944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carried out with XRPD</w:t>
      </w:r>
      <w:r w:rsidR="004F2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SEM</w:t>
      </w:r>
      <w:r w:rsidR="004944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particle size analyzer.</w:t>
      </w:r>
    </w:p>
    <w:p w14:paraId="0460231B" w14:textId="77777777" w:rsidR="005562B3" w:rsidRDefault="00184C29" w:rsidP="00595322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noProof/>
          <w:color w:val="000000"/>
          <w:szCs w:val="18"/>
          <w:lang w:val="da-DK" w:eastAsia="da-DK"/>
        </w:rPr>
        <w:drawing>
          <wp:inline distT="0" distB="0" distL="0" distR="0" wp14:anchorId="2A7D1852" wp14:editId="1C1AC633">
            <wp:extent cx="2118499" cy="16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ubility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49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3B6">
        <w:rPr>
          <w:rFonts w:asciiTheme="minorHAnsi" w:eastAsia="MS PGothic" w:hAnsiTheme="minorHAnsi"/>
          <w:b/>
          <w:noProof/>
          <w:color w:val="000000"/>
          <w:szCs w:val="18"/>
          <w:lang w:val="da-DK" w:eastAsia="da-DK"/>
        </w:rPr>
        <w:drawing>
          <wp:inline distT="0" distB="0" distL="0" distR="0" wp14:anchorId="4A326626" wp14:editId="0A858E8F">
            <wp:extent cx="2430205" cy="1620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20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8797" w14:textId="77777777" w:rsidR="005562B3" w:rsidRDefault="005562B3" w:rsidP="00FD11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 xml:space="preserve">Solubility of </w:t>
      </w:r>
      <w:r w:rsidR="00F51C27" w:rsidRPr="00F51C27">
        <w:rPr>
          <w:rFonts w:asciiTheme="minorHAnsi" w:eastAsia="MS PGothic" w:hAnsiTheme="minorHAnsi" w:cstheme="minorHAnsi"/>
          <w:color w:val="000000"/>
          <w:szCs w:val="18"/>
          <w:lang w:val="en-US"/>
        </w:rPr>
        <w:t>γ-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 xml:space="preserve">IMC 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 xml:space="preserve">in 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 xml:space="preserve">pure organic solvents 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>(left)</w:t>
      </w:r>
      <w:r w:rsidR="00EF1AC7">
        <w:rPr>
          <w:rFonts w:asciiTheme="minorHAnsi" w:eastAsia="MS PGothic" w:hAnsiTheme="minorHAnsi"/>
          <w:color w:val="000000"/>
          <w:szCs w:val="18"/>
          <w:lang w:val="en-US"/>
        </w:rPr>
        <w:t xml:space="preserve"> [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>4</w:t>
      </w:r>
      <w:r w:rsidR="00EF1AC7">
        <w:rPr>
          <w:rFonts w:asciiTheme="minorHAnsi" w:eastAsia="MS PGothic" w:hAnsiTheme="minorHAnsi"/>
          <w:color w:val="000000"/>
          <w:szCs w:val="18"/>
          <w:lang w:val="en-US"/>
        </w:rPr>
        <w:t>]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 xml:space="preserve"> and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 xml:space="preserve"> in 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 xml:space="preserve">binary solvent mixtures at 25 </w:t>
      </w:r>
      <w:r w:rsidR="008C44AA" w:rsidRPr="005A5006">
        <w:rPr>
          <w:rFonts w:asciiTheme="minorHAnsi" w:eastAsia="MS PGothic" w:hAnsiTheme="minorHAnsi" w:cstheme="minorHAnsi"/>
          <w:color w:val="000000"/>
          <w:szCs w:val="18"/>
          <w:lang w:val="en-US"/>
        </w:rPr>
        <w:t>°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 xml:space="preserve"> (right)</w:t>
      </w:r>
      <w:r w:rsidR="008C44AA">
        <w:rPr>
          <w:rFonts w:asciiTheme="minorHAnsi" w:eastAsia="MS PGothic" w:hAnsiTheme="minorHAnsi"/>
          <w:color w:val="000000"/>
          <w:szCs w:val="18"/>
          <w:lang w:val="en-US"/>
        </w:rPr>
        <w:t xml:space="preserve"> [3]</w:t>
      </w:r>
      <w:r w:rsidR="005A5006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7571A250" w14:textId="77777777" w:rsidR="005534D7" w:rsidRDefault="00704BDF" w:rsidP="005534D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36CDE03" w14:textId="698AF7B5" w:rsidR="00E572FB" w:rsidRDefault="002D580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comparison to the seeded cooling crystallization of IMC from ethanol reported earlier [4], significantly high productivity was obtained during antisolvent crystallization of IMC from acetone-methanol-water (Table 1). Increased crystal yield was obtained mainly due to the extended thermodynamic boundaries allowing much higher initial concentration of IMC in acetone-methanol binary mixture</w:t>
      </w:r>
      <w:r w:rsidR="00B054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[5]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7"/>
        <w:gridCol w:w="1300"/>
        <w:gridCol w:w="992"/>
        <w:gridCol w:w="992"/>
        <w:gridCol w:w="709"/>
        <w:gridCol w:w="702"/>
      </w:tblGrid>
      <w:tr w:rsidR="009364DC" w14:paraId="192470A1" w14:textId="77777777" w:rsidTr="009364DC">
        <w:trPr>
          <w:trHeight w:val="241"/>
          <w:jc w:val="center"/>
        </w:trPr>
        <w:tc>
          <w:tcPr>
            <w:tcW w:w="4087" w:type="dxa"/>
            <w:vMerge w:val="restart"/>
            <w:tcBorders>
              <w:top w:val="nil"/>
              <w:left w:val="nil"/>
              <w:right w:val="nil"/>
            </w:tcBorders>
          </w:tcPr>
          <w:p w14:paraId="228DD1D0" w14:textId="77777777" w:rsidR="009364DC" w:rsidRDefault="009364DC" w:rsidP="00FA7A71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  <w:drawing>
                <wp:inline distT="0" distB="0" distL="0" distR="0" wp14:anchorId="1F0DBF66" wp14:editId="6D746692">
                  <wp:extent cx="2430205" cy="162000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e 1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205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6DF4C" w14:textId="77777777" w:rsidR="009364DC" w:rsidRPr="009364DC" w:rsidRDefault="009364DC" w:rsidP="00CF547F">
            <w:pPr>
              <w:snapToGrid w:val="0"/>
              <w:spacing w:after="12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 w:eastAsia="da-DK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Measured s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olubility of </w:t>
            </w:r>
            <w:r w:rsidRPr="00F51C27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γ-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IMC in acetone-methanol-water at 25 </w:t>
            </w:r>
            <w:r w:rsidRPr="005A5006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°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C.</w:t>
            </w: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12C11" w14:textId="77777777" w:rsidR="009364DC" w:rsidRPr="009364DC" w:rsidRDefault="009364DC" w:rsidP="009364DC">
            <w:pPr>
              <w:snapToGrid w:val="0"/>
              <w:jc w:val="left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9364DC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Table 1.</w:t>
            </w:r>
            <w:r w:rsidRPr="009364D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Results from antisolvent crystallization of IMC from acetone-methanol-water at 25 </w:t>
            </w:r>
            <w:r w:rsidRPr="009364DC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°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C.</w:t>
            </w:r>
          </w:p>
        </w:tc>
      </w:tr>
      <w:tr w:rsidR="009364DC" w14:paraId="24A29977" w14:textId="77777777" w:rsidTr="009364DC">
        <w:trPr>
          <w:trHeight w:val="241"/>
          <w:jc w:val="center"/>
        </w:trPr>
        <w:tc>
          <w:tcPr>
            <w:tcW w:w="4087" w:type="dxa"/>
            <w:vMerge/>
            <w:tcBorders>
              <w:left w:val="nil"/>
              <w:right w:val="single" w:sz="4" w:space="0" w:color="auto"/>
            </w:tcBorders>
          </w:tcPr>
          <w:p w14:paraId="26018BE9" w14:textId="77777777" w:rsidR="009364DC" w:rsidRDefault="009364DC" w:rsidP="00CF547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611EB2" w14:textId="77777777" w:rsidR="009364DC" w:rsidRDefault="009364DC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Properties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CE35D38" w14:textId="77777777" w:rsidR="009364DC" w:rsidRDefault="009364DC" w:rsidP="000C656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Unseeded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14:paraId="797BFCEA" w14:textId="77777777" w:rsidR="009364DC" w:rsidRDefault="009364DC" w:rsidP="000C656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Seeded</w:t>
            </w:r>
          </w:p>
        </w:tc>
      </w:tr>
      <w:tr w:rsidR="009364DC" w14:paraId="0E6550CD" w14:textId="77777777" w:rsidTr="008953E6">
        <w:trPr>
          <w:trHeight w:val="247"/>
          <w:jc w:val="center"/>
        </w:trPr>
        <w:tc>
          <w:tcPr>
            <w:tcW w:w="40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E638D5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14:paraId="771F0B9B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D0D3D67" w14:textId="77777777" w:rsidR="009364DC" w:rsidRDefault="009364DC" w:rsidP="00F0786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CF547F">
              <w:rPr>
                <w:rFonts w:asciiTheme="minorHAnsi" w:eastAsia="MS PGothic" w:hAnsiTheme="minorHAnsi"/>
                <w:i/>
                <w:color w:val="000000"/>
                <w:sz w:val="22"/>
                <w:szCs w:val="22"/>
                <w:lang w:val="en-US"/>
              </w:rPr>
              <w:t>C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FF9A19C" w14:textId="77777777" w:rsidR="009364DC" w:rsidRDefault="009364DC" w:rsidP="00F0786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CF547F">
              <w:rPr>
                <w:rFonts w:asciiTheme="minorHAnsi" w:eastAsia="MS PGothic" w:hAnsiTheme="minorHAnsi"/>
                <w:i/>
                <w:color w:val="000000"/>
                <w:sz w:val="22"/>
                <w:szCs w:val="22"/>
                <w:lang w:val="en-US"/>
              </w:rPr>
              <w:t>C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26B9CDFE" w14:textId="77777777" w:rsidR="009364DC" w:rsidRDefault="009364DC" w:rsidP="00F0786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CF547F">
              <w:rPr>
                <w:rFonts w:asciiTheme="minorHAnsi" w:eastAsia="MS PGothic" w:hAnsiTheme="minorHAnsi"/>
                <w:i/>
                <w:color w:val="000000"/>
                <w:sz w:val="22"/>
                <w:szCs w:val="22"/>
                <w:lang w:val="en-US"/>
              </w:rPr>
              <w:t>C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702" w:type="dxa"/>
            <w:vAlign w:val="center"/>
          </w:tcPr>
          <w:p w14:paraId="4120478A" w14:textId="77777777" w:rsidR="009364DC" w:rsidRDefault="009364DC" w:rsidP="00F0786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CF547F">
              <w:rPr>
                <w:rFonts w:asciiTheme="minorHAnsi" w:eastAsia="MS PGothic" w:hAnsiTheme="minorHAnsi"/>
                <w:i/>
                <w:color w:val="000000"/>
                <w:sz w:val="22"/>
                <w:szCs w:val="22"/>
                <w:lang w:val="en-US"/>
              </w:rPr>
              <w:t>C</w:t>
            </w:r>
            <w:r w:rsidRPr="00CF547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9364DC" w14:paraId="06210FD9" w14:textId="77777777" w:rsidTr="00F07868">
        <w:trPr>
          <w:trHeight w:val="405"/>
          <w:jc w:val="center"/>
        </w:trPr>
        <w:tc>
          <w:tcPr>
            <w:tcW w:w="4087" w:type="dxa"/>
            <w:vMerge/>
            <w:tcBorders>
              <w:left w:val="nil"/>
              <w:right w:val="single" w:sz="4" w:space="0" w:color="auto"/>
            </w:tcBorders>
          </w:tcPr>
          <w:p w14:paraId="5FD98FE1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14:paraId="3871888D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Solid form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904C95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Solvate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D6D549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Solvate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C10D64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F51C27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γ-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IMC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D2B6DD2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F51C27">
              <w:rPr>
                <w:rFonts w:asciiTheme="minorHAnsi" w:eastAsia="MS PGothic" w:hAnsiTheme="minorHAnsi" w:cstheme="minorHAnsi"/>
                <w:color w:val="000000"/>
                <w:szCs w:val="18"/>
                <w:lang w:val="en-US"/>
              </w:rPr>
              <w:t>γ-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IMC</w:t>
            </w:r>
          </w:p>
        </w:tc>
      </w:tr>
      <w:tr w:rsidR="009364DC" w14:paraId="397B190B" w14:textId="77777777" w:rsidTr="005C138D">
        <w:trPr>
          <w:trHeight w:val="293"/>
          <w:jc w:val="center"/>
        </w:trPr>
        <w:tc>
          <w:tcPr>
            <w:tcW w:w="4087" w:type="dxa"/>
            <w:vMerge/>
            <w:tcBorders>
              <w:left w:val="nil"/>
              <w:right w:val="single" w:sz="4" w:space="0" w:color="auto"/>
            </w:tcBorders>
          </w:tcPr>
          <w:p w14:paraId="3D69A35E" w14:textId="77777777" w:rsidR="009364DC" w:rsidRDefault="009364DC" w:rsidP="00F07868">
            <w:pPr>
              <w:snapToGrid w:val="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</w:tcBorders>
          </w:tcPr>
          <w:p w14:paraId="18AD1515" w14:textId="77777777" w:rsidR="009364DC" w:rsidRDefault="009364DC" w:rsidP="009364DC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Productivity</w:t>
            </w:r>
          </w:p>
          <w:p w14:paraId="430E887E" w14:textId="77777777" w:rsidR="009364DC" w:rsidRDefault="009364DC" w:rsidP="009364DC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(mg/g/min)</w:t>
            </w:r>
          </w:p>
        </w:tc>
        <w:tc>
          <w:tcPr>
            <w:tcW w:w="992" w:type="dxa"/>
            <w:vMerge w:val="restart"/>
          </w:tcPr>
          <w:p w14:paraId="1F9716A7" w14:textId="77777777" w:rsidR="009364DC" w:rsidRDefault="009364DC" w:rsidP="002D580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14:paraId="024CC616" w14:textId="77777777" w:rsidR="009364DC" w:rsidRDefault="009364DC" w:rsidP="002D580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14:paraId="5657DD0F" w14:textId="77777777" w:rsidR="009364DC" w:rsidRDefault="009364DC" w:rsidP="009364DC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0.75</w:t>
            </w:r>
          </w:p>
        </w:tc>
        <w:tc>
          <w:tcPr>
            <w:tcW w:w="702" w:type="dxa"/>
          </w:tcPr>
          <w:p w14:paraId="03C86298" w14:textId="77777777" w:rsidR="009364DC" w:rsidRDefault="009364DC" w:rsidP="009364DC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0.38</w:t>
            </w:r>
          </w:p>
        </w:tc>
      </w:tr>
      <w:tr w:rsidR="009364DC" w14:paraId="44D63696" w14:textId="77777777" w:rsidTr="00F07868">
        <w:trPr>
          <w:trHeight w:val="292"/>
          <w:jc w:val="center"/>
        </w:trPr>
        <w:tc>
          <w:tcPr>
            <w:tcW w:w="4087" w:type="dxa"/>
            <w:vMerge/>
            <w:tcBorders>
              <w:left w:val="nil"/>
              <w:right w:val="single" w:sz="4" w:space="0" w:color="auto"/>
            </w:tcBorders>
          </w:tcPr>
          <w:p w14:paraId="427C7AD6" w14:textId="77777777" w:rsidR="009364DC" w:rsidRDefault="009364DC" w:rsidP="00704BDF">
            <w:pPr>
              <w:snapToGrid w:val="0"/>
              <w:spacing w:after="12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81344A" w14:textId="77777777" w:rsidR="009364DC" w:rsidRDefault="009364DC" w:rsidP="005C138D">
            <w:pPr>
              <w:snapToGrid w:val="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3BFDED6" w14:textId="77777777" w:rsidR="009364DC" w:rsidRDefault="009364DC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2D49D6C" w14:textId="77777777" w:rsidR="009364DC" w:rsidRDefault="009364DC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21A7FE5F" w14:textId="77777777" w:rsidR="009364DC" w:rsidRDefault="009364DC" w:rsidP="005C138D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0.015*</w:t>
            </w:r>
          </w:p>
        </w:tc>
      </w:tr>
      <w:tr w:rsidR="009364DC" w14:paraId="7E737329" w14:textId="77777777" w:rsidTr="00F07868">
        <w:trPr>
          <w:trHeight w:val="975"/>
          <w:jc w:val="center"/>
        </w:trPr>
        <w:tc>
          <w:tcPr>
            <w:tcW w:w="4087" w:type="dxa"/>
            <w:vMerge/>
            <w:tcBorders>
              <w:left w:val="nil"/>
              <w:bottom w:val="nil"/>
              <w:right w:val="nil"/>
            </w:tcBorders>
          </w:tcPr>
          <w:p w14:paraId="68F8FB8C" w14:textId="77777777" w:rsidR="009364DC" w:rsidRDefault="009364DC" w:rsidP="00704BDF">
            <w:pPr>
              <w:snapToGrid w:val="0"/>
              <w:spacing w:after="120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da-DK" w:eastAsia="da-DK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708A5" w14:textId="77777777" w:rsidR="009364DC" w:rsidRPr="009364DC" w:rsidRDefault="009364DC" w:rsidP="009364DC">
            <w:pPr>
              <w:snapToGrid w:val="0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9364D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*Maximum productivity of IMC obtained during cooling crystallization from ethanol [4].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Productivity values for current work are for highest seed load.</w:t>
            </w:r>
          </w:p>
        </w:tc>
      </w:tr>
    </w:tbl>
    <w:p w14:paraId="2E15E83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979D38E" w14:textId="77777777" w:rsidR="00704BDF" w:rsidRDefault="00F4540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we have shown that the </w:t>
      </w:r>
      <w:r w:rsidR="00A469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desired </w:t>
      </w:r>
      <w:r w:rsidR="00A469D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γ-IMC can be produced consistently</w:t>
      </w:r>
      <w:r w:rsidR="005E0F4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through seeded antisolvent crystallization from acetone-methanol-water with improved productivity. </w:t>
      </w:r>
    </w:p>
    <w:p w14:paraId="71B5BF0E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46F7F6F" w14:textId="77777777" w:rsidR="001325B2" w:rsidRPr="00501785" w:rsidRDefault="000434D7" w:rsidP="0050178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b/>
          <w:bCs/>
          <w:color w:val="000000"/>
          <w:lang w:eastAsia="zh-CN"/>
        </w:rPr>
        <w:fldChar w:fldCharType="begin" w:fldLock="1"/>
      </w:r>
      <w:r>
        <w:rPr>
          <w:rFonts w:asciiTheme="minorHAnsi" w:eastAsia="SimSun" w:hAnsiTheme="minorHAnsi"/>
          <w:b/>
          <w:bCs/>
          <w:color w:val="000000"/>
          <w:lang w:eastAsia="zh-CN"/>
        </w:rPr>
        <w:instrText xml:space="preserve">ADDIN Mendeley Bibliography CSL_BIBLIOGRAPHY </w:instrText>
      </w:r>
      <w:r>
        <w:rPr>
          <w:rFonts w:asciiTheme="minorHAnsi" w:eastAsia="SimSun" w:hAnsiTheme="minorHAnsi"/>
          <w:b/>
          <w:bCs/>
          <w:color w:val="000000"/>
          <w:lang w:eastAsia="zh-CN"/>
        </w:rPr>
        <w:fldChar w:fldCharType="separate"/>
      </w:r>
      <w:r w:rsidR="001325B2" w:rsidRPr="001325B2">
        <w:rPr>
          <w:rFonts w:ascii="Calibri" w:hAnsi="Calibri" w:cs="Calibri"/>
          <w:noProof/>
          <w:szCs w:val="24"/>
        </w:rPr>
        <w:t>[1]</w:t>
      </w:r>
      <w:r w:rsidR="001325B2" w:rsidRPr="001325B2">
        <w:rPr>
          <w:rFonts w:ascii="Calibri" w:hAnsi="Calibri" w:cs="Calibri"/>
          <w:noProof/>
          <w:szCs w:val="24"/>
        </w:rPr>
        <w:tab/>
      </w:r>
      <w:r w:rsidR="00501785">
        <w:rPr>
          <w:rFonts w:ascii="Calibri" w:hAnsi="Calibri" w:cs="Calibri"/>
          <w:noProof/>
          <w:szCs w:val="24"/>
        </w:rPr>
        <w:t>J</w:t>
      </w:r>
      <w:r w:rsidR="00501785" w:rsidRPr="006009B0">
        <w:rPr>
          <w:rFonts w:asciiTheme="minorHAnsi" w:hAnsiTheme="minorHAnsi"/>
          <w:color w:val="000000"/>
        </w:rPr>
        <w:t>.</w:t>
      </w:r>
      <w:r w:rsidR="00501785">
        <w:rPr>
          <w:rFonts w:asciiTheme="minorHAnsi" w:hAnsiTheme="minorHAnsi"/>
          <w:color w:val="000000"/>
        </w:rPr>
        <w:t>W</w:t>
      </w:r>
      <w:r w:rsidR="00501785" w:rsidRPr="006009B0">
        <w:rPr>
          <w:rFonts w:asciiTheme="minorHAnsi" w:hAnsiTheme="minorHAnsi"/>
          <w:color w:val="000000"/>
        </w:rPr>
        <w:t xml:space="preserve">. </w:t>
      </w:r>
      <w:r w:rsidR="00501785">
        <w:rPr>
          <w:rFonts w:asciiTheme="minorHAnsi" w:hAnsiTheme="minorHAnsi"/>
          <w:color w:val="000000"/>
        </w:rPr>
        <w:t>Mullin</w:t>
      </w:r>
      <w:r w:rsidR="00501785" w:rsidRPr="006009B0">
        <w:rPr>
          <w:rFonts w:asciiTheme="minorHAnsi" w:hAnsiTheme="minorHAnsi"/>
          <w:color w:val="000000"/>
        </w:rPr>
        <w:t xml:space="preserve">, </w:t>
      </w:r>
      <w:r w:rsidR="00501785">
        <w:rPr>
          <w:rFonts w:asciiTheme="minorHAnsi" w:hAnsiTheme="minorHAnsi"/>
          <w:color w:val="000000"/>
        </w:rPr>
        <w:t>Crystallization</w:t>
      </w:r>
      <w:r w:rsidR="00501785" w:rsidRPr="006009B0">
        <w:rPr>
          <w:rFonts w:asciiTheme="minorHAnsi" w:hAnsiTheme="minorHAnsi"/>
          <w:color w:val="000000"/>
        </w:rPr>
        <w:t xml:space="preserve">, </w:t>
      </w:r>
      <w:r w:rsidR="00501785">
        <w:rPr>
          <w:rFonts w:asciiTheme="minorHAnsi" w:hAnsiTheme="minorHAnsi"/>
          <w:color w:val="000000"/>
        </w:rPr>
        <w:t>fourth</w:t>
      </w:r>
      <w:r w:rsidR="00501785" w:rsidRPr="006009B0">
        <w:rPr>
          <w:rFonts w:asciiTheme="minorHAnsi" w:hAnsiTheme="minorHAnsi"/>
          <w:color w:val="000000"/>
        </w:rPr>
        <w:t xml:space="preserve"> ed., </w:t>
      </w:r>
      <w:r w:rsidR="00501785">
        <w:rPr>
          <w:rFonts w:asciiTheme="minorHAnsi" w:hAnsiTheme="minorHAnsi"/>
          <w:color w:val="000000"/>
        </w:rPr>
        <w:t>Butterworth-Heinemann,</w:t>
      </w:r>
      <w:r w:rsidR="00501785" w:rsidRPr="006009B0">
        <w:rPr>
          <w:rFonts w:asciiTheme="minorHAnsi" w:hAnsiTheme="minorHAnsi"/>
          <w:color w:val="000000"/>
        </w:rPr>
        <w:t xml:space="preserve"> </w:t>
      </w:r>
      <w:r w:rsidR="00501785">
        <w:rPr>
          <w:rFonts w:asciiTheme="minorHAnsi" w:hAnsiTheme="minorHAnsi"/>
          <w:color w:val="000000"/>
        </w:rPr>
        <w:t>2001</w:t>
      </w:r>
      <w:r w:rsidR="00501785" w:rsidRPr="006009B0">
        <w:rPr>
          <w:rFonts w:asciiTheme="minorHAnsi" w:hAnsiTheme="minorHAnsi"/>
          <w:color w:val="000000"/>
        </w:rPr>
        <w:t xml:space="preserve">. </w:t>
      </w:r>
    </w:p>
    <w:p w14:paraId="2478AF33" w14:textId="77777777" w:rsidR="001325B2" w:rsidRDefault="00501785" w:rsidP="00501785">
      <w:pPr>
        <w:widowControl w:val="0"/>
        <w:autoSpaceDE w:val="0"/>
        <w:autoSpaceDN w:val="0"/>
        <w:adjustRightInd w:val="0"/>
        <w:spacing w:line="240" w:lineRule="auto"/>
        <w:ind w:left="425" w:hanging="425"/>
        <w:rPr>
          <w:rFonts w:ascii="Calibri" w:hAnsi="Calibri" w:cs="Calibri"/>
          <w:noProof/>
          <w:sz w:val="20"/>
          <w:szCs w:val="24"/>
        </w:rPr>
      </w:pPr>
      <w:r>
        <w:rPr>
          <w:rFonts w:ascii="Calibri" w:hAnsi="Calibri" w:cs="Calibri"/>
          <w:noProof/>
          <w:sz w:val="20"/>
          <w:szCs w:val="24"/>
          <w:lang w:val="en-US"/>
        </w:rPr>
        <w:t>[2]</w:t>
      </w:r>
      <w:r>
        <w:rPr>
          <w:rFonts w:ascii="Calibri" w:hAnsi="Calibri" w:cs="Calibri"/>
          <w:noProof/>
          <w:sz w:val="20"/>
          <w:szCs w:val="24"/>
          <w:lang w:val="en-US"/>
        </w:rPr>
        <w:tab/>
      </w:r>
      <w:r>
        <w:rPr>
          <w:rFonts w:ascii="Calibri" w:hAnsi="Calibri" w:cs="Calibri"/>
          <w:noProof/>
          <w:sz w:val="20"/>
          <w:szCs w:val="24"/>
        </w:rPr>
        <w:t>B. Nicolaï, R. Céolin, I.</w:t>
      </w:r>
      <w:r w:rsidR="001325B2" w:rsidRPr="001325B2">
        <w:rPr>
          <w:rFonts w:ascii="Calibri" w:hAnsi="Calibri" w:cs="Calibri"/>
          <w:noProof/>
          <w:sz w:val="20"/>
          <w:szCs w:val="24"/>
        </w:rPr>
        <w:t xml:space="preserve">B. Rietveld, </w:t>
      </w:r>
      <w:r w:rsidR="001325B2" w:rsidRPr="00501785">
        <w:rPr>
          <w:rFonts w:ascii="Calibri" w:hAnsi="Calibri" w:cs="Calibri"/>
          <w:iCs/>
          <w:noProof/>
          <w:sz w:val="20"/>
          <w:szCs w:val="24"/>
        </w:rPr>
        <w:t>J. Therm. Anal. Calorim.</w:t>
      </w:r>
      <w:r w:rsidR="001325B2" w:rsidRPr="001325B2">
        <w:rPr>
          <w:rFonts w:ascii="Calibri" w:hAnsi="Calibri" w:cs="Calibri"/>
          <w:noProof/>
          <w:sz w:val="20"/>
          <w:szCs w:val="24"/>
        </w:rPr>
        <w:t xml:space="preserve"> 102</w:t>
      </w:r>
      <w:r>
        <w:rPr>
          <w:rFonts w:ascii="Calibri" w:hAnsi="Calibri" w:cs="Calibri"/>
          <w:noProof/>
          <w:sz w:val="20"/>
          <w:szCs w:val="24"/>
        </w:rPr>
        <w:t xml:space="preserve"> (2010) 211–216.</w:t>
      </w:r>
    </w:p>
    <w:p w14:paraId="44E60441" w14:textId="77777777" w:rsidR="00322CE8" w:rsidRPr="009268E1" w:rsidRDefault="00322CE8" w:rsidP="00501785">
      <w:pPr>
        <w:widowControl w:val="0"/>
        <w:autoSpaceDE w:val="0"/>
        <w:autoSpaceDN w:val="0"/>
        <w:adjustRightInd w:val="0"/>
        <w:spacing w:line="240" w:lineRule="auto"/>
        <w:ind w:left="425" w:hanging="425"/>
        <w:rPr>
          <w:rFonts w:ascii="Calibri" w:hAnsi="Calibri" w:cs="Calibri"/>
          <w:noProof/>
          <w:sz w:val="20"/>
          <w:szCs w:val="24"/>
          <w:lang w:val="en-US"/>
        </w:rPr>
      </w:pPr>
      <w:r w:rsidRPr="009268E1">
        <w:rPr>
          <w:rFonts w:ascii="Calibri" w:hAnsi="Calibri" w:cs="Calibri"/>
          <w:noProof/>
          <w:sz w:val="20"/>
          <w:szCs w:val="24"/>
          <w:lang w:val="en-US"/>
        </w:rPr>
        <w:t>[3]</w:t>
      </w:r>
      <w:r w:rsidRPr="009268E1">
        <w:rPr>
          <w:rFonts w:ascii="Calibri" w:hAnsi="Calibri" w:cs="Calibri"/>
          <w:noProof/>
          <w:sz w:val="20"/>
          <w:szCs w:val="24"/>
          <w:lang w:val="en-US"/>
        </w:rPr>
        <w:tab/>
        <w:t>S. Hellstén, H, Qu, M. Louhi-Kultanen, Chem. Eng. Technol. 34 (2011) 1667-1674.</w:t>
      </w:r>
    </w:p>
    <w:p w14:paraId="473E0B74" w14:textId="302046AA" w:rsidR="005346C8" w:rsidRDefault="00322CE8" w:rsidP="002D5808">
      <w:pPr>
        <w:widowControl w:val="0"/>
        <w:autoSpaceDE w:val="0"/>
        <w:autoSpaceDN w:val="0"/>
        <w:adjustRightInd w:val="0"/>
        <w:spacing w:line="240" w:lineRule="auto"/>
        <w:ind w:left="425" w:hanging="425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="Calibri" w:hAnsi="Calibri" w:cs="Calibri"/>
          <w:noProof/>
          <w:sz w:val="20"/>
          <w:szCs w:val="24"/>
        </w:rPr>
        <w:t>[4</w:t>
      </w:r>
      <w:r w:rsidR="00501785">
        <w:rPr>
          <w:rFonts w:ascii="Calibri" w:hAnsi="Calibri" w:cs="Calibri"/>
          <w:noProof/>
          <w:sz w:val="20"/>
          <w:szCs w:val="24"/>
        </w:rPr>
        <w:t>]</w:t>
      </w:r>
      <w:r w:rsidR="00501785">
        <w:rPr>
          <w:rFonts w:ascii="Calibri" w:hAnsi="Calibri" w:cs="Calibri"/>
          <w:noProof/>
          <w:sz w:val="20"/>
          <w:szCs w:val="24"/>
        </w:rPr>
        <w:tab/>
        <w:t xml:space="preserve">C.R. Malwade, </w:t>
      </w:r>
      <w:r w:rsidR="001325B2" w:rsidRPr="001325B2">
        <w:rPr>
          <w:rFonts w:ascii="Calibri" w:hAnsi="Calibri" w:cs="Calibri"/>
          <w:noProof/>
          <w:sz w:val="20"/>
          <w:szCs w:val="24"/>
        </w:rPr>
        <w:t xml:space="preserve">H. Qu, </w:t>
      </w:r>
      <w:r w:rsidR="00452D5B">
        <w:rPr>
          <w:rFonts w:ascii="Calibri" w:hAnsi="Calibri" w:cs="Calibri"/>
          <w:noProof/>
          <w:sz w:val="20"/>
          <w:szCs w:val="24"/>
        </w:rPr>
        <w:t>Org. Process Res. Dev. 22 (2018) 697-706</w:t>
      </w:r>
      <w:r w:rsidR="001325B2" w:rsidRPr="001325B2">
        <w:rPr>
          <w:rFonts w:ascii="Calibri" w:hAnsi="Calibri" w:cs="Calibri"/>
          <w:noProof/>
          <w:sz w:val="20"/>
          <w:szCs w:val="24"/>
        </w:rPr>
        <w:t>.</w:t>
      </w:r>
      <w:r w:rsidR="000434D7"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  <w:fldChar w:fldCharType="end"/>
      </w:r>
    </w:p>
    <w:p w14:paraId="6143A679" w14:textId="5BB253B9" w:rsidR="00B054C2" w:rsidRPr="006009B0" w:rsidRDefault="00B054C2" w:rsidP="002D5808">
      <w:pPr>
        <w:widowControl w:val="0"/>
        <w:autoSpaceDE w:val="0"/>
        <w:autoSpaceDN w:val="0"/>
        <w:adjustRightInd w:val="0"/>
        <w:spacing w:line="240" w:lineRule="auto"/>
        <w:ind w:left="425" w:hanging="425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>[5]</w:t>
      </w:r>
      <w:r>
        <w:rPr>
          <w:rFonts w:asciiTheme="minorHAnsi" w:eastAsia="SimSun" w:hAnsiTheme="minorHAnsi"/>
          <w:sz w:val="22"/>
          <w:szCs w:val="22"/>
          <w:lang w:eastAsia="zh-CN"/>
        </w:rPr>
        <w:tab/>
      </w:r>
      <w:r>
        <w:rPr>
          <w:rFonts w:ascii="Calibri" w:hAnsi="Calibri" w:cs="Calibri"/>
          <w:noProof/>
          <w:sz w:val="20"/>
          <w:szCs w:val="24"/>
        </w:rPr>
        <w:t xml:space="preserve">C.R. Malwade, </w:t>
      </w:r>
      <w:r w:rsidRPr="001325B2">
        <w:rPr>
          <w:rFonts w:ascii="Calibri" w:hAnsi="Calibri" w:cs="Calibri"/>
          <w:noProof/>
          <w:sz w:val="20"/>
          <w:szCs w:val="24"/>
        </w:rPr>
        <w:t xml:space="preserve">H. Qu, </w:t>
      </w:r>
      <w:r>
        <w:rPr>
          <w:rFonts w:ascii="Calibri" w:hAnsi="Calibri" w:cs="Calibri"/>
          <w:noProof/>
          <w:sz w:val="20"/>
          <w:szCs w:val="24"/>
        </w:rPr>
        <w:t>Org. Process Res. Dev.</w:t>
      </w:r>
      <w:r w:rsidR="00F70A26">
        <w:rPr>
          <w:rFonts w:ascii="Calibri" w:hAnsi="Calibri" w:cs="Calibri"/>
          <w:noProof/>
          <w:sz w:val="20"/>
          <w:szCs w:val="24"/>
        </w:rPr>
        <w:t xml:space="preserve"> 23</w:t>
      </w:r>
      <w:r>
        <w:rPr>
          <w:rFonts w:ascii="Calibri" w:hAnsi="Calibri" w:cs="Calibri"/>
          <w:noProof/>
          <w:sz w:val="20"/>
          <w:szCs w:val="24"/>
        </w:rPr>
        <w:t xml:space="preserve"> (201</w:t>
      </w:r>
      <w:r>
        <w:rPr>
          <w:rFonts w:ascii="Calibri" w:hAnsi="Calibri" w:cs="Calibri"/>
          <w:noProof/>
          <w:sz w:val="20"/>
          <w:szCs w:val="24"/>
        </w:rPr>
        <w:t>9</w:t>
      </w:r>
      <w:r>
        <w:rPr>
          <w:rFonts w:ascii="Calibri" w:hAnsi="Calibri" w:cs="Calibri"/>
          <w:noProof/>
          <w:sz w:val="20"/>
          <w:szCs w:val="24"/>
        </w:rPr>
        <w:t>)</w:t>
      </w:r>
      <w:r w:rsidR="00F70A26">
        <w:rPr>
          <w:rFonts w:ascii="Calibri" w:hAnsi="Calibri" w:cs="Calibri"/>
          <w:noProof/>
          <w:sz w:val="20"/>
          <w:szCs w:val="24"/>
        </w:rPr>
        <w:t xml:space="preserve"> 968-976</w:t>
      </w:r>
      <w:bookmarkStart w:id="0" w:name="_GoBack"/>
      <w:bookmarkEnd w:id="0"/>
      <w:r w:rsidRPr="001325B2">
        <w:rPr>
          <w:rFonts w:ascii="Calibri" w:hAnsi="Calibri" w:cs="Calibri"/>
          <w:noProof/>
          <w:sz w:val="20"/>
          <w:szCs w:val="24"/>
        </w:rPr>
        <w:t>.</w:t>
      </w:r>
    </w:p>
    <w:sectPr w:rsidR="00B054C2" w:rsidRPr="006009B0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7F1A" w14:textId="77777777" w:rsidR="00480A47" w:rsidRDefault="00480A47" w:rsidP="004F5E36">
      <w:r>
        <w:separator/>
      </w:r>
    </w:p>
  </w:endnote>
  <w:endnote w:type="continuationSeparator" w:id="0">
    <w:p w14:paraId="473FD8EB" w14:textId="77777777" w:rsidR="00480A47" w:rsidRDefault="00480A4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776A" w14:textId="77777777" w:rsidR="00480A47" w:rsidRDefault="00480A47" w:rsidP="004F5E36">
      <w:r>
        <w:separator/>
      </w:r>
    </w:p>
  </w:footnote>
  <w:footnote w:type="continuationSeparator" w:id="0">
    <w:p w14:paraId="57D967D9" w14:textId="77777777" w:rsidR="00480A47" w:rsidRDefault="00480A4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AC6E" w14:textId="77777777" w:rsidR="004D1162" w:rsidRDefault="00594E9F">
    <w:pPr>
      <w:pStyle w:val="Head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E72D98" wp14:editId="46CCF57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298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a-DK" w:eastAsia="da-DK"/>
      </w:rPr>
      <w:drawing>
        <wp:anchor distT="0" distB="0" distL="114300" distR="114300" simplePos="0" relativeHeight="251662336" behindDoc="0" locked="0" layoutInCell="1" allowOverlap="1" wp14:anchorId="3FF28B03" wp14:editId="56CBBA5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AD0E" w14:textId="77777777"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0B7B986" wp14:editId="03552C7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504E34E" w14:textId="77777777"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14:paraId="4790EC7F" w14:textId="77777777"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p w14:paraId="1DCD90B7" w14:textId="77777777" w:rsidR="00704BDF" w:rsidRDefault="00704BDF" w:rsidP="005D0FAF">
    <w:pPr>
      <w:ind w:left="-426" w:right="-285"/>
      <w:jc w:val="cen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68798" wp14:editId="2ADCDA4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E6D90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502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52" w:hanging="360"/>
      </w:pPr>
    </w:lvl>
    <w:lvl w:ilvl="2" w:tplc="0409001B" w:tentative="1">
      <w:start w:val="1"/>
      <w:numFmt w:val="lowerRoman"/>
      <w:lvlText w:val="%3."/>
      <w:lvlJc w:val="right"/>
      <w:pPr>
        <w:ind w:left="4372" w:hanging="180"/>
      </w:pPr>
    </w:lvl>
    <w:lvl w:ilvl="3" w:tplc="0409000F" w:tentative="1">
      <w:start w:val="1"/>
      <w:numFmt w:val="decimal"/>
      <w:lvlText w:val="%4."/>
      <w:lvlJc w:val="left"/>
      <w:pPr>
        <w:ind w:left="5092" w:hanging="360"/>
      </w:pPr>
    </w:lvl>
    <w:lvl w:ilvl="4" w:tplc="04090019" w:tentative="1">
      <w:start w:val="1"/>
      <w:numFmt w:val="lowerLetter"/>
      <w:lvlText w:val="%5."/>
      <w:lvlJc w:val="left"/>
      <w:pPr>
        <w:ind w:left="5812" w:hanging="360"/>
      </w:pPr>
    </w:lvl>
    <w:lvl w:ilvl="5" w:tplc="0409001B" w:tentative="1">
      <w:start w:val="1"/>
      <w:numFmt w:val="lowerRoman"/>
      <w:lvlText w:val="%6."/>
      <w:lvlJc w:val="right"/>
      <w:pPr>
        <w:ind w:left="6532" w:hanging="180"/>
      </w:pPr>
    </w:lvl>
    <w:lvl w:ilvl="6" w:tplc="0409000F" w:tentative="1">
      <w:start w:val="1"/>
      <w:numFmt w:val="decimal"/>
      <w:lvlText w:val="%7."/>
      <w:lvlJc w:val="left"/>
      <w:pPr>
        <w:ind w:left="7252" w:hanging="360"/>
      </w:pPr>
    </w:lvl>
    <w:lvl w:ilvl="7" w:tplc="04090019" w:tentative="1">
      <w:start w:val="1"/>
      <w:numFmt w:val="lowerLetter"/>
      <w:lvlText w:val="%8."/>
      <w:lvlJc w:val="left"/>
      <w:pPr>
        <w:ind w:left="7972" w:hanging="360"/>
      </w:pPr>
    </w:lvl>
    <w:lvl w:ilvl="8" w:tplc="0409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75CD"/>
    <w:rsid w:val="000117CB"/>
    <w:rsid w:val="0003148D"/>
    <w:rsid w:val="000434D7"/>
    <w:rsid w:val="00047DFD"/>
    <w:rsid w:val="00062A9A"/>
    <w:rsid w:val="000715D0"/>
    <w:rsid w:val="0007509A"/>
    <w:rsid w:val="000A03B2"/>
    <w:rsid w:val="000C656A"/>
    <w:rsid w:val="000D1607"/>
    <w:rsid w:val="000D34BE"/>
    <w:rsid w:val="000D7C48"/>
    <w:rsid w:val="000E36F1"/>
    <w:rsid w:val="000E3A73"/>
    <w:rsid w:val="000E414A"/>
    <w:rsid w:val="000F5433"/>
    <w:rsid w:val="0012434D"/>
    <w:rsid w:val="00125FB2"/>
    <w:rsid w:val="0013121F"/>
    <w:rsid w:val="001325B2"/>
    <w:rsid w:val="00134DE4"/>
    <w:rsid w:val="00141252"/>
    <w:rsid w:val="00143ADA"/>
    <w:rsid w:val="00150E59"/>
    <w:rsid w:val="00153045"/>
    <w:rsid w:val="001550D1"/>
    <w:rsid w:val="00184AD6"/>
    <w:rsid w:val="00184C29"/>
    <w:rsid w:val="001B65C1"/>
    <w:rsid w:val="001C684B"/>
    <w:rsid w:val="001D53FC"/>
    <w:rsid w:val="001E2E4E"/>
    <w:rsid w:val="001F29BB"/>
    <w:rsid w:val="001F2EC7"/>
    <w:rsid w:val="002065DB"/>
    <w:rsid w:val="00226221"/>
    <w:rsid w:val="00233DB8"/>
    <w:rsid w:val="00243786"/>
    <w:rsid w:val="002447EF"/>
    <w:rsid w:val="00251550"/>
    <w:rsid w:val="0027221A"/>
    <w:rsid w:val="00272B27"/>
    <w:rsid w:val="00275B61"/>
    <w:rsid w:val="00281134"/>
    <w:rsid w:val="002A3FB7"/>
    <w:rsid w:val="002A7FC0"/>
    <w:rsid w:val="002B2F39"/>
    <w:rsid w:val="002B7CE8"/>
    <w:rsid w:val="002C2B88"/>
    <w:rsid w:val="002D1538"/>
    <w:rsid w:val="002D1F12"/>
    <w:rsid w:val="002D5808"/>
    <w:rsid w:val="002E400A"/>
    <w:rsid w:val="002E650F"/>
    <w:rsid w:val="003009B7"/>
    <w:rsid w:val="00301FF1"/>
    <w:rsid w:val="0030469C"/>
    <w:rsid w:val="00322CE8"/>
    <w:rsid w:val="003305A4"/>
    <w:rsid w:val="00337288"/>
    <w:rsid w:val="003723D4"/>
    <w:rsid w:val="003866D4"/>
    <w:rsid w:val="003A072F"/>
    <w:rsid w:val="003A7D1C"/>
    <w:rsid w:val="003C078B"/>
    <w:rsid w:val="003D21AF"/>
    <w:rsid w:val="004145C2"/>
    <w:rsid w:val="004157DB"/>
    <w:rsid w:val="00436375"/>
    <w:rsid w:val="004365E8"/>
    <w:rsid w:val="00452D5B"/>
    <w:rsid w:val="0046164A"/>
    <w:rsid w:val="00462DCD"/>
    <w:rsid w:val="004733A4"/>
    <w:rsid w:val="00480A47"/>
    <w:rsid w:val="0048714D"/>
    <w:rsid w:val="0049449E"/>
    <w:rsid w:val="004A138D"/>
    <w:rsid w:val="004A51E2"/>
    <w:rsid w:val="004A5F4E"/>
    <w:rsid w:val="004B3DD1"/>
    <w:rsid w:val="004C4E1C"/>
    <w:rsid w:val="004D0EF5"/>
    <w:rsid w:val="004D1162"/>
    <w:rsid w:val="004D2345"/>
    <w:rsid w:val="004D2437"/>
    <w:rsid w:val="004E4DD6"/>
    <w:rsid w:val="004F2301"/>
    <w:rsid w:val="004F485F"/>
    <w:rsid w:val="004F5E36"/>
    <w:rsid w:val="00500E5B"/>
    <w:rsid w:val="00501785"/>
    <w:rsid w:val="005119A5"/>
    <w:rsid w:val="00511D2C"/>
    <w:rsid w:val="005156B2"/>
    <w:rsid w:val="00525A3D"/>
    <w:rsid w:val="005278B7"/>
    <w:rsid w:val="005346C8"/>
    <w:rsid w:val="00544A9D"/>
    <w:rsid w:val="005534D7"/>
    <w:rsid w:val="005562B3"/>
    <w:rsid w:val="00564D37"/>
    <w:rsid w:val="0058634C"/>
    <w:rsid w:val="00594E9F"/>
    <w:rsid w:val="00595322"/>
    <w:rsid w:val="005A082C"/>
    <w:rsid w:val="005A5006"/>
    <w:rsid w:val="005B61E6"/>
    <w:rsid w:val="005C138D"/>
    <w:rsid w:val="005C2E77"/>
    <w:rsid w:val="005C77E1"/>
    <w:rsid w:val="005D0FAE"/>
    <w:rsid w:val="005D0FAF"/>
    <w:rsid w:val="005D2615"/>
    <w:rsid w:val="005D6A2F"/>
    <w:rsid w:val="005E0F42"/>
    <w:rsid w:val="005E1A82"/>
    <w:rsid w:val="005F0A28"/>
    <w:rsid w:val="005F0E5E"/>
    <w:rsid w:val="005F4841"/>
    <w:rsid w:val="006009B0"/>
    <w:rsid w:val="00620582"/>
    <w:rsid w:val="00620DEE"/>
    <w:rsid w:val="00625639"/>
    <w:rsid w:val="00632EE9"/>
    <w:rsid w:val="0064184D"/>
    <w:rsid w:val="00641B97"/>
    <w:rsid w:val="00660E3E"/>
    <w:rsid w:val="00662E74"/>
    <w:rsid w:val="006A58D2"/>
    <w:rsid w:val="006C5579"/>
    <w:rsid w:val="006E3881"/>
    <w:rsid w:val="00704BDF"/>
    <w:rsid w:val="0072077B"/>
    <w:rsid w:val="00736B13"/>
    <w:rsid w:val="007447F3"/>
    <w:rsid w:val="00754A95"/>
    <w:rsid w:val="007607AD"/>
    <w:rsid w:val="007661C8"/>
    <w:rsid w:val="007943B6"/>
    <w:rsid w:val="00795B5F"/>
    <w:rsid w:val="007A2A6D"/>
    <w:rsid w:val="007C7DDE"/>
    <w:rsid w:val="007D52CD"/>
    <w:rsid w:val="00804B1C"/>
    <w:rsid w:val="00813288"/>
    <w:rsid w:val="008168FC"/>
    <w:rsid w:val="008413E9"/>
    <w:rsid w:val="00845645"/>
    <w:rsid w:val="008479A2"/>
    <w:rsid w:val="0085252F"/>
    <w:rsid w:val="0087637F"/>
    <w:rsid w:val="00881547"/>
    <w:rsid w:val="008953E6"/>
    <w:rsid w:val="008A1512"/>
    <w:rsid w:val="008C44AA"/>
    <w:rsid w:val="008C7791"/>
    <w:rsid w:val="008D0BEB"/>
    <w:rsid w:val="008E566E"/>
    <w:rsid w:val="008F096C"/>
    <w:rsid w:val="00901EB6"/>
    <w:rsid w:val="00914067"/>
    <w:rsid w:val="009268E1"/>
    <w:rsid w:val="009364DC"/>
    <w:rsid w:val="009450CE"/>
    <w:rsid w:val="0095164B"/>
    <w:rsid w:val="009542A8"/>
    <w:rsid w:val="00965667"/>
    <w:rsid w:val="00996483"/>
    <w:rsid w:val="009C5358"/>
    <w:rsid w:val="009D1F8F"/>
    <w:rsid w:val="009E788A"/>
    <w:rsid w:val="00A00820"/>
    <w:rsid w:val="00A15A25"/>
    <w:rsid w:val="00A1763D"/>
    <w:rsid w:val="00A17CEC"/>
    <w:rsid w:val="00A27EF0"/>
    <w:rsid w:val="00A469D9"/>
    <w:rsid w:val="00A47994"/>
    <w:rsid w:val="00A56C0D"/>
    <w:rsid w:val="00A76EFC"/>
    <w:rsid w:val="00A9213A"/>
    <w:rsid w:val="00A9626B"/>
    <w:rsid w:val="00A97F29"/>
    <w:rsid w:val="00AA7709"/>
    <w:rsid w:val="00AB0964"/>
    <w:rsid w:val="00AE1FE9"/>
    <w:rsid w:val="00AE377D"/>
    <w:rsid w:val="00AF7F9D"/>
    <w:rsid w:val="00B054C2"/>
    <w:rsid w:val="00B1695B"/>
    <w:rsid w:val="00B61DBF"/>
    <w:rsid w:val="00B71971"/>
    <w:rsid w:val="00B74390"/>
    <w:rsid w:val="00B82616"/>
    <w:rsid w:val="00B9181B"/>
    <w:rsid w:val="00BA6519"/>
    <w:rsid w:val="00BC30C9"/>
    <w:rsid w:val="00BD4B1A"/>
    <w:rsid w:val="00BE3E58"/>
    <w:rsid w:val="00C01616"/>
    <w:rsid w:val="00C0162B"/>
    <w:rsid w:val="00C2112F"/>
    <w:rsid w:val="00C3087C"/>
    <w:rsid w:val="00C345B1"/>
    <w:rsid w:val="00C40142"/>
    <w:rsid w:val="00C57182"/>
    <w:rsid w:val="00C655FD"/>
    <w:rsid w:val="00C867B1"/>
    <w:rsid w:val="00C94434"/>
    <w:rsid w:val="00CA1C95"/>
    <w:rsid w:val="00CA2F32"/>
    <w:rsid w:val="00CA45C1"/>
    <w:rsid w:val="00CA5A9C"/>
    <w:rsid w:val="00CD5FE2"/>
    <w:rsid w:val="00CF0FAC"/>
    <w:rsid w:val="00CF547F"/>
    <w:rsid w:val="00D02B4C"/>
    <w:rsid w:val="00D72C6F"/>
    <w:rsid w:val="00D84576"/>
    <w:rsid w:val="00DA7E00"/>
    <w:rsid w:val="00DB500F"/>
    <w:rsid w:val="00DE0019"/>
    <w:rsid w:val="00DE264A"/>
    <w:rsid w:val="00E041E7"/>
    <w:rsid w:val="00E23CA1"/>
    <w:rsid w:val="00E36162"/>
    <w:rsid w:val="00E409A8"/>
    <w:rsid w:val="00E43C0D"/>
    <w:rsid w:val="00E572FB"/>
    <w:rsid w:val="00E7209D"/>
    <w:rsid w:val="00E8422B"/>
    <w:rsid w:val="00EA50E1"/>
    <w:rsid w:val="00EE0131"/>
    <w:rsid w:val="00EF1AC7"/>
    <w:rsid w:val="00F07868"/>
    <w:rsid w:val="00F07C23"/>
    <w:rsid w:val="00F30C64"/>
    <w:rsid w:val="00F32836"/>
    <w:rsid w:val="00F45402"/>
    <w:rsid w:val="00F50998"/>
    <w:rsid w:val="00F51C27"/>
    <w:rsid w:val="00F70A26"/>
    <w:rsid w:val="00FA7A71"/>
    <w:rsid w:val="00FB44DD"/>
    <w:rsid w:val="00FB730C"/>
    <w:rsid w:val="00FC24C8"/>
    <w:rsid w:val="00FC2695"/>
    <w:rsid w:val="00FC3E03"/>
    <w:rsid w:val="00FD110C"/>
    <w:rsid w:val="00FE548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20CF"/>
  <w15:docId w15:val="{6D1DD472-7FDD-4E4F-B53B-5EEBD4F0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65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288C-9502-43D6-B2B4-6AD5099C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Iben Østergaard</cp:lastModifiedBy>
  <cp:revision>2</cp:revision>
  <cp:lastPrinted>2019-01-15T08:36:00Z</cp:lastPrinted>
  <dcterms:created xsi:type="dcterms:W3CDTF">2019-05-30T15:53:00Z</dcterms:created>
  <dcterms:modified xsi:type="dcterms:W3CDTF">2019-05-30T15:53:00Z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https://csl.mendeley.com/styles/485414631/chemicalengineeringandteckiben</vt:lpwstr>
  </property>
  <property fmtid="{D5CDD505-2E9C-101B-9397-08002B2CF9AE}" pid="3" name="Mendeley Recent Style Name 0_1">
    <vt:lpwstr>Chemical engineering and technology - Iben Østergaard</vt:lpwstr>
  </property>
  <property fmtid="{D5CDD505-2E9C-101B-9397-08002B2CF9AE}" pid="4" name="Mendeley Recent Style Id 1_1">
    <vt:lpwstr>http://csl.mendeley.com/styles/485414631/chemicalengineeringandteckiben</vt:lpwstr>
  </property>
  <property fmtid="{D5CDD505-2E9C-101B-9397-08002B2CF9AE}" pid="5" name="Mendeley Recent Style Name 1_1">
    <vt:lpwstr>Chemical engineering and technology - Iben Østergaard</vt:lpwstr>
  </property>
  <property fmtid="{D5CDD505-2E9C-101B-9397-08002B2CF9AE}" pid="6" name="Mendeley Recent Style Id 2_1">
    <vt:lpwstr>http://www.zotero.org/styles/elsevier-with-titles</vt:lpwstr>
  </property>
  <property fmtid="{D5CDD505-2E9C-101B-9397-08002B2CF9AE}" pid="7" name="Mendeley Recent Style Name 2_1">
    <vt:lpwstr>Elsevier (numeric, with titles)</vt:lpwstr>
  </property>
  <property fmtid="{D5CDD505-2E9C-101B-9397-08002B2CF9AE}" pid="8" name="Mendeley Recent Style Id 3_1">
    <vt:lpwstr>http://csl.mendeley.com/styles/485414631/chemicalengineeringiben</vt:lpwstr>
  </property>
  <property fmtid="{D5CDD505-2E9C-101B-9397-08002B2CF9AE}" pid="9" name="Mendeley Recent Style Name 3_1">
    <vt:lpwstr>Elsevier (numeric, with titles) - Iben Østergaard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http://csl.mendeley.com/styles/485414631/ieee-new</vt:lpwstr>
  </property>
  <property fmtid="{D5CDD505-2E9C-101B-9397-08002B2CF9AE}" pid="13" name="Mendeley Recent Style Name 5_1">
    <vt:lpwstr>IEEE - Iben Østergaard</vt:lpwstr>
  </property>
  <property fmtid="{D5CDD505-2E9C-101B-9397-08002B2CF9AE}" pid="14" name="Mendeley Recent Style Id 6_1">
    <vt:lpwstr>http://www.zotero.org/styles/journal-of-crystal-growth</vt:lpwstr>
  </property>
  <property fmtid="{D5CDD505-2E9C-101B-9397-08002B2CF9AE}" pid="15" name="Mendeley Recent Style Name 6_1">
    <vt:lpwstr>Journal of Crystal Growth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http://www.zotero.org/styles/organic-process-research-and-development</vt:lpwstr>
  </property>
  <property fmtid="{D5CDD505-2E9C-101B-9397-08002B2CF9AE}" pid="21" name="Mendeley Recent Style Name 9_1">
    <vt:lpwstr>Organic Process Research &amp; Development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023cc355-325c-3bcc-9408-1b005351a4b4</vt:lpwstr>
  </property>
  <property fmtid="{D5CDD505-2E9C-101B-9397-08002B2CF9AE}" pid="24" name="Mendeley Citation Style_1">
    <vt:lpwstr>http://www.zotero.org/styles/ieee</vt:lpwstr>
  </property>
</Properties>
</file>