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B90E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DB3318E" w14:textId="447C3052" w:rsidR="00704BDF" w:rsidRPr="00DE0019" w:rsidRDefault="00C77F5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F</w:t>
      </w:r>
      <w:r w:rsidR="0084404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low regimes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of</w:t>
      </w:r>
      <w:r w:rsidR="0084404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immiscible liquid-liquid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systems in stirred vessels</w:t>
      </w:r>
    </w:p>
    <w:p w14:paraId="6E80F88A" w14:textId="5BD77E42" w:rsidR="00DE0019" w:rsidRPr="00C05995" w:rsidRDefault="0084404B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C05995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Francesco Maluta</w:t>
      </w:r>
      <w:r w:rsidR="00704BDF" w:rsidRPr="00C0599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67184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*</w:t>
      </w:r>
      <w:r w:rsidR="00736B13" w:rsidRPr="00C05995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Teresa Megna</w:t>
      </w:r>
      <w:r w:rsidR="00C77F54" w:rsidRPr="00C77F5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="00B46189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Giuseppina Montante</w:t>
      </w:r>
      <w:r w:rsidR="00B46189" w:rsidRPr="00C77F5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r w:rsidR="00B46189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Alessandro </w:t>
      </w:r>
      <w:r w:rsidR="00C05995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P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aglianti</w:t>
      </w:r>
      <w:r w:rsidR="00C77F54" w:rsidRPr="00C77F5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</w:p>
    <w:p w14:paraId="64CBABCF" w14:textId="7A28924F" w:rsidR="00704BDF" w:rsidRPr="00C77F54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671845">
        <w:rPr>
          <w:rFonts w:eastAsia="MS PGothic"/>
          <w:i/>
          <w:iCs/>
          <w:color w:val="000000"/>
          <w:sz w:val="20"/>
          <w:vertAlign w:val="superscript"/>
          <w:lang w:val="it-IT"/>
        </w:rPr>
        <w:t>1</w:t>
      </w:r>
      <w:r w:rsidRPr="00C77F54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="00C77F54" w:rsidRPr="00C77F54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DICAM, Università di Bologna, via Terracini 34, Bologna, Italy</w:t>
      </w:r>
      <w:r w:rsidRPr="00C77F54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; </w:t>
      </w:r>
      <w:r w:rsidRPr="00671845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it-IT"/>
        </w:rPr>
        <w:t>2</w:t>
      </w:r>
      <w:r w:rsidRPr="00C77F54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="00C77F54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CHIMIND</w:t>
      </w:r>
      <w:r w:rsidR="00C77F54" w:rsidRPr="00C77F54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, Università di Bologna, via Terracini 34, Bologna, Italy</w:t>
      </w:r>
    </w:p>
    <w:p w14:paraId="748B10C4" w14:textId="0E4B01B8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671845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671845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671845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671845">
        <w:rPr>
          <w:rFonts w:asciiTheme="minorHAnsi" w:eastAsia="MS PGothic" w:hAnsiTheme="minorHAnsi"/>
          <w:bCs/>
          <w:i/>
          <w:iCs/>
          <w:sz w:val="20"/>
          <w:lang w:val="en-US"/>
        </w:rPr>
        <w:t>f</w:t>
      </w:r>
      <w:r w:rsidR="00671845" w:rsidRPr="00671845">
        <w:rPr>
          <w:rFonts w:asciiTheme="minorHAnsi" w:eastAsia="MS PGothic" w:hAnsiTheme="minorHAnsi"/>
          <w:bCs/>
          <w:i/>
          <w:iCs/>
          <w:sz w:val="20"/>
          <w:lang w:val="en-US"/>
        </w:rPr>
        <w:t>rancesco</w:t>
      </w:r>
      <w:r w:rsidR="00671845">
        <w:rPr>
          <w:rFonts w:asciiTheme="minorHAnsi" w:eastAsia="MS PGothic" w:hAnsiTheme="minorHAnsi"/>
          <w:bCs/>
          <w:i/>
          <w:iCs/>
          <w:sz w:val="20"/>
          <w:lang w:val="en-US"/>
        </w:rPr>
        <w:t>.maluta2@unibo.it</w:t>
      </w:r>
    </w:p>
    <w:p w14:paraId="160F36FA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2D8B31C" w14:textId="5211C2D0" w:rsidR="0084404B" w:rsidRDefault="00C77F54" w:rsidP="007530AF">
      <w:pPr>
        <w:pStyle w:val="AbstractBody"/>
        <w:numPr>
          <w:ilvl w:val="0"/>
          <w:numId w:val="16"/>
        </w:numPr>
        <w:ind w:left="1134" w:hanging="58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Drawdown and dispersion of oil droplets in </w:t>
      </w:r>
      <w:r w:rsidR="00EE0365">
        <w:rPr>
          <w:rFonts w:asciiTheme="minorHAnsi" w:hAnsiTheme="minorHAnsi"/>
        </w:rPr>
        <w:t xml:space="preserve">water </w:t>
      </w:r>
      <w:r w:rsidR="00B46189">
        <w:rPr>
          <w:rFonts w:asciiTheme="minorHAnsi" w:hAnsiTheme="minorHAnsi"/>
        </w:rPr>
        <w:t>are</w:t>
      </w:r>
      <w:r>
        <w:rPr>
          <w:rFonts w:asciiTheme="minorHAnsi" w:hAnsiTheme="minorHAnsi"/>
        </w:rPr>
        <w:t xml:space="preserve"> investigated by ERT</w:t>
      </w:r>
      <w:r w:rsidR="00EE0365">
        <w:rPr>
          <w:rFonts w:asciiTheme="minorHAnsi" w:hAnsiTheme="minorHAnsi"/>
        </w:rPr>
        <w:t>.</w:t>
      </w:r>
    </w:p>
    <w:p w14:paraId="60BCCD64" w14:textId="1C04F0BE" w:rsidR="00704BDF" w:rsidRPr="00EC66CC" w:rsidRDefault="002A1085" w:rsidP="007530AF">
      <w:pPr>
        <w:pStyle w:val="AbstractBody"/>
        <w:numPr>
          <w:ilvl w:val="0"/>
          <w:numId w:val="16"/>
        </w:numPr>
        <w:ind w:left="1134" w:hanging="58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procedure </w:t>
      </w:r>
      <w:r w:rsidR="00C77F54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</w:t>
      </w:r>
      <w:r w:rsidR="00EE0365">
        <w:rPr>
          <w:rFonts w:asciiTheme="minorHAnsi" w:hAnsiTheme="minorHAnsi"/>
        </w:rPr>
        <w:t xml:space="preserve">liquid-liquid </w:t>
      </w:r>
      <w:r w:rsidR="0084404B">
        <w:rPr>
          <w:rFonts w:asciiTheme="minorHAnsi" w:hAnsiTheme="minorHAnsi"/>
        </w:rPr>
        <w:t>flow map</w:t>
      </w:r>
      <w:r w:rsidR="00EE0365">
        <w:rPr>
          <w:rFonts w:asciiTheme="minorHAnsi" w:hAnsiTheme="minorHAnsi"/>
        </w:rPr>
        <w:t>s</w:t>
      </w:r>
      <w:r w:rsidR="0084404B">
        <w:rPr>
          <w:rFonts w:asciiTheme="minorHAnsi" w:hAnsiTheme="minorHAnsi"/>
        </w:rPr>
        <w:t xml:space="preserve"> </w:t>
      </w:r>
      <w:r w:rsidR="00EE0365">
        <w:rPr>
          <w:rFonts w:asciiTheme="minorHAnsi" w:hAnsiTheme="minorHAnsi"/>
        </w:rPr>
        <w:t xml:space="preserve">identification in stirred tanks </w:t>
      </w:r>
      <w:r w:rsidR="0084404B">
        <w:rPr>
          <w:rFonts w:asciiTheme="minorHAnsi" w:hAnsiTheme="minorHAnsi"/>
        </w:rPr>
        <w:t>is proposed</w:t>
      </w:r>
      <w:r w:rsidR="00704BDF" w:rsidRPr="00EC66CC">
        <w:rPr>
          <w:rFonts w:asciiTheme="minorHAnsi" w:hAnsiTheme="minorHAnsi"/>
        </w:rPr>
        <w:t>.</w:t>
      </w:r>
    </w:p>
    <w:p w14:paraId="4620547D" w14:textId="0E6B906A" w:rsidR="00704BDF" w:rsidRPr="00EC66CC" w:rsidRDefault="00EE0365" w:rsidP="007530AF">
      <w:pPr>
        <w:pStyle w:val="AbstractBody"/>
        <w:numPr>
          <w:ilvl w:val="0"/>
          <w:numId w:val="16"/>
        </w:numPr>
        <w:ind w:left="1134" w:hanging="589"/>
        <w:rPr>
          <w:rFonts w:asciiTheme="minorHAnsi" w:hAnsiTheme="minorHAnsi"/>
        </w:rPr>
      </w:pPr>
      <w:r>
        <w:rPr>
          <w:rFonts w:asciiTheme="minorHAnsi" w:hAnsiTheme="minorHAnsi"/>
        </w:rPr>
        <w:t>The flow map for</w:t>
      </w:r>
      <w:r w:rsidR="002A10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moderately concentrated </w:t>
      </w:r>
      <w:r w:rsidR="002A1085">
        <w:rPr>
          <w:rFonts w:asciiTheme="minorHAnsi" w:hAnsiTheme="minorHAnsi"/>
        </w:rPr>
        <w:t>water-diesel fuel system</w:t>
      </w:r>
      <w:r w:rsidR="00B46189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is presented</w:t>
      </w:r>
      <w:r w:rsidR="00704BDF" w:rsidRPr="00EC66CC">
        <w:rPr>
          <w:rFonts w:asciiTheme="minorHAnsi" w:hAnsiTheme="minorHAnsi"/>
        </w:rPr>
        <w:t xml:space="preserve">. </w:t>
      </w:r>
    </w:p>
    <w:p w14:paraId="2554BB35" w14:textId="77777777" w:rsidR="002A1085" w:rsidRPr="002A1085" w:rsidRDefault="002A1085" w:rsidP="002A1085">
      <w:pPr>
        <w:pStyle w:val="AbstractBody"/>
        <w:ind w:left="1440"/>
        <w:rPr>
          <w:rFonts w:asciiTheme="minorHAnsi" w:hAnsiTheme="minorHAnsi"/>
        </w:rPr>
      </w:pPr>
    </w:p>
    <w:p w14:paraId="3A0AF901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1FF622B" w14:textId="59DC5E0C" w:rsidR="00C867B1" w:rsidRDefault="00EE0365" w:rsidP="00860BF5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The impeller speed </w:t>
      </w:r>
      <w:r w:rsidR="001941B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required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to </w:t>
      </w:r>
      <w:r w:rsid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successfully</w:t>
      </w:r>
      <w:r w:rsid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disperse one immiscible phase in another in stirred vessels is a very important process parameter, wh</w:t>
      </w:r>
      <w:r w:rsid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ich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experimental determination is not straightforward [1]</w:t>
      </w:r>
      <w:r w:rsidR="001D6C4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</w:t>
      </w:r>
      <w:r w:rsidR="00FE42AE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particularly in dense </w:t>
      </w:r>
      <w:r w:rsidR="004815C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liquid-liquid systems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. </w:t>
      </w:r>
      <w:r w:rsidR="00860BF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This work has the goal to suggest a new procedure to </w:t>
      </w:r>
      <w:r w:rsidR="00B46189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obtain</w:t>
      </w:r>
      <w:r w:rsidR="001941B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the flow map of immiscible liquid-liquid systems, based on</w:t>
      </w:r>
      <w:r w:rsidR="00860BF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the </w:t>
      </w:r>
      <w:r w:rsidR="00B46189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measurements</w:t>
      </w:r>
      <w:r w:rsidR="001941B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of the dispersed phase distribution</w:t>
      </w:r>
      <w:r w:rsidR="00860BF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1941B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by </w:t>
      </w:r>
      <w:r w:rsidR="004815C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Electrical</w:t>
      </w:r>
      <w:r w:rsidR="001941B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4815C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R</w:t>
      </w:r>
      <w:r w:rsidR="001941B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esistance </w:t>
      </w:r>
      <w:r w:rsidR="004815C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T</w:t>
      </w:r>
      <w:r w:rsidR="001941B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omography (ERT). </w:t>
      </w:r>
    </w:p>
    <w:p w14:paraId="45B30D6C" w14:textId="77777777" w:rsidR="00EF460F" w:rsidRDefault="00EF460F" w:rsidP="00860BF5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</w:pPr>
    </w:p>
    <w:p w14:paraId="4D65FE69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CDDE679" w14:textId="74B33A41" w:rsidR="00704BDF" w:rsidRDefault="004815C6" w:rsidP="00AA17BA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</w:pPr>
      <w:r w:rsidRPr="006E1D67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The investigation concerns </w:t>
      </w:r>
      <w:r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a moderately concentrated immiscible liquid-liquid system</w:t>
      </w:r>
      <w:r w:rsidR="002C6251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</w:t>
      </w:r>
      <w:r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consisting of diesel oil</w:t>
      </w:r>
      <w:r w:rsidR="00601C54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of</w:t>
      </w:r>
      <w:r w:rsidR="00601C54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density</w:t>
      </w:r>
      <w:r w:rsidR="002C6251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, </w:t>
      </w:r>
      <w:r w:rsidR="002C6251" w:rsidRPr="002C6251">
        <w:rPr>
          <w:rFonts w:ascii="Symbol" w:eastAsia="MS PGothic" w:hAnsi="Symbol"/>
          <w:bCs/>
          <w:color w:val="000000"/>
          <w:sz w:val="22"/>
          <w:szCs w:val="22"/>
          <w:lang w:val="en" w:eastAsia="ko-KR"/>
        </w:rPr>
        <w:t></w:t>
      </w:r>
      <w:r w:rsidR="002C6251" w:rsidRPr="002C6251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" w:eastAsia="ko-KR"/>
        </w:rPr>
        <w:t>oil</w:t>
      </w:r>
      <w:r w:rsidR="002C6251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</w:t>
      </w:r>
      <w:r w:rsidR="00601C54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equal to </w:t>
      </w:r>
      <w:r w:rsidR="006E1D67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810 kg/m</w:t>
      </w:r>
      <w:r w:rsidR="006E1D67" w:rsidRPr="006E1D67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" w:eastAsia="ko-KR"/>
        </w:rPr>
        <w:t>3</w:t>
      </w:r>
      <w:r w:rsidR="00305F45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" w:eastAsia="ko-KR"/>
        </w:rPr>
        <w:t xml:space="preserve"> </w:t>
      </w:r>
      <w:r w:rsidR="00601C54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at ambient conditions,</w:t>
      </w:r>
      <w:r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and </w:t>
      </w:r>
      <w:r w:rsidR="00B65BD1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demineralized water</w:t>
      </w:r>
      <w:r w:rsidR="006E1D67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</w:t>
      </w:r>
      <w:r w:rsidR="00B65BD1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6E1D67" w:rsidRPr="00C4217C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containing 0.</w:t>
      </w:r>
      <w:r w:rsidR="00C4217C" w:rsidRPr="00C4217C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5</w:t>
      </w:r>
      <w:r w:rsidR="006E1D67" w:rsidRPr="00C4217C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g/L of NaCl</w:t>
      </w:r>
      <w:r w:rsidR="00B65BD1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for enhancing the conductivity difference 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with</w:t>
      </w:r>
      <w:r w:rsidR="00B65BD1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the non-conductive oil phase, as required by the ERT technique. The</w:t>
      </w:r>
      <w:r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dispersion is obtained in a flat bottomed fully baff</w:t>
      </w:r>
      <w:r w:rsidR="001D6C4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led tank of </w:t>
      </w:r>
      <w:r w:rsidR="00BA10B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diameter, T, equal to </w:t>
      </w:r>
      <w:r w:rsidR="001D6C4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232 mm </w:t>
      </w:r>
      <w:r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stirred with a Rushton turbine of diameter, D, equal to T/3, placed at the clearance, C, equal to T/2. The distribution of </w:t>
      </w:r>
      <w:r w:rsidR="00B85A20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the diesel </w:t>
      </w:r>
      <w:r w:rsidR="00305F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fuel</w:t>
      </w:r>
      <w:r w:rsidR="00B85A20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in water </w:t>
      </w:r>
      <w:r w:rsidR="00B85A20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is</w:t>
      </w:r>
      <w:r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8076AF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observed</w:t>
      </w:r>
      <w:r w:rsidR="001D6C4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at different impeller speeds, N,</w:t>
      </w:r>
      <w:r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going from complete segregated conditions to fully </w:t>
      </w:r>
      <w:r w:rsidR="00A33A49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dispersion</w:t>
      </w:r>
      <w:r w:rsidR="001D6C4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. Data are </w:t>
      </w:r>
      <w:r w:rsidR="001D6C47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collected at different </w:t>
      </w:r>
      <w:r w:rsidR="008076AF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average</w:t>
      </w:r>
      <w:r w:rsidR="00B85A20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oil volume fraction</w:t>
      </w:r>
      <w:r w:rsidR="001D6C47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s</w:t>
      </w:r>
      <w:r w:rsidR="00B85A20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in the vessel</w:t>
      </w:r>
      <w:r w:rsidR="001D6C47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</w:t>
      </w:r>
      <w:r w:rsidR="00B85A20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1D6C47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varying </w:t>
      </w:r>
      <w:r w:rsidR="00B85A20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from </w:t>
      </w:r>
      <w:r w:rsidR="00E30473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0.05</w:t>
      </w:r>
      <w:r w:rsidR="00B85A20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to </w:t>
      </w:r>
      <w:r w:rsidR="00E30473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0.14</w:t>
      </w:r>
      <w:r w:rsidR="00BA10B6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 keeping the total liquid height, H</w:t>
      </w:r>
      <w:r w:rsidR="00BA10B6" w:rsidRPr="00760536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" w:eastAsia="ko-KR"/>
        </w:rPr>
        <w:t>L</w:t>
      </w:r>
      <w:r w:rsidR="00BA10B6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 in still conditions always equal to T</w:t>
      </w:r>
      <w:r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. </w:t>
      </w:r>
      <w:r w:rsidR="00B85A20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The analysis is based on the </w:t>
      </w:r>
      <w:r w:rsidR="00A86C0E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time-averaged </w:t>
      </w:r>
      <w:r w:rsidR="00B85A20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conductivity </w:t>
      </w:r>
      <w:r w:rsidR="004870F9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data</w:t>
      </w:r>
      <w:r w:rsidR="00F21FCD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B85A20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on four horizontal vessel sections (axial elevations</w:t>
      </w:r>
      <w:r w:rsidR="00E0288B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</w:t>
      </w:r>
      <w:r w:rsidR="00B85A20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601C54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z</w:t>
      </w:r>
      <w:r w:rsidR="00E0288B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</w:t>
      </w:r>
      <w:r w:rsidR="00601C54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equal to 60, 110, 160, </w:t>
      </w:r>
      <w:r w:rsidR="00B85A20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210 mm)</w:t>
      </w:r>
      <w:r w:rsidR="00EF460F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, consisting on 316 </w:t>
      </w:r>
      <w:r w:rsidR="004870F9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values</w:t>
      </w:r>
      <w:r w:rsidR="00EF460F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per plane</w:t>
      </w:r>
      <w:r w:rsidR="00F279CE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, with a square mesh with each cell of 11.5 mm side. </w:t>
      </w:r>
      <w:r w:rsidR="00E80C62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For each </w:t>
      </w:r>
      <w:r w:rsidR="00A86C0E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condition</w:t>
      </w:r>
      <w:r w:rsidR="00E80C62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, </w:t>
      </w:r>
      <w:r w:rsidR="00A86C0E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the time-averaged conductivity is obtained from 1000 instantaneous </w:t>
      </w:r>
      <w:r w:rsidR="004870F9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measurements</w:t>
      </w:r>
      <w:r w:rsidR="00A86C0E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. </w:t>
      </w:r>
      <w:r w:rsidR="007F0554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T</w:t>
      </w:r>
      <w:r w:rsidR="00B85A20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he </w:t>
      </w:r>
      <w:r w:rsidR="007F0554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ERT</w:t>
      </w:r>
      <w:r w:rsidR="007F0554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B85A20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instrumentations and the data acquisition </w:t>
      </w:r>
      <w:r w:rsidR="007F0554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systems</w:t>
      </w:r>
      <w:r w:rsidR="00B85A20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7F0554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are similar to </w:t>
      </w:r>
      <w:r w:rsidR="008076AF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those</w:t>
      </w:r>
      <w:r w:rsidR="007F0554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adopted in previous investigations </w:t>
      </w:r>
      <w:r w:rsidR="00B85A20" w:rsidRP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[2].</w:t>
      </w:r>
      <w:r w:rsidR="00B85A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 </w:t>
      </w:r>
    </w:p>
    <w:p w14:paraId="47DF921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10B03A4E" w14:textId="5061986B" w:rsidR="004200F7" w:rsidRDefault="00AA17BA" w:rsidP="004200F7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Different flow conditions have been identified through the analysis of 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the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time-averaged 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conductivity data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on 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the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four 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measurement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planes. 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Starting from the complete segregated 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lastRenderedPageBreak/>
        <w:t>conditions, t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he 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just draw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down and the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complete dispersion </w:t>
      </w:r>
      <w:r w:rsidR="001D6C4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of the oil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have been detected</w:t>
      </w:r>
      <w:r w:rsidR="006E1D6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FF40ED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subtracting</w:t>
      </w:r>
      <w:r w:rsidR="008747D8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the mean </w:t>
      </w:r>
      <w:r w:rsidR="006E1D67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conductivity </w:t>
      </w:r>
      <w:r w:rsidR="008747D8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value </w:t>
      </w:r>
      <w:r w:rsidR="002750E4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obtained </w:t>
      </w:r>
      <w:r w:rsidR="008747D8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at </w:t>
      </w:r>
      <w:r w:rsidR="002C6251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fixed</w:t>
      </w:r>
      <w:r w:rsidR="008747D8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impeller speed </w:t>
      </w:r>
      <w:r w:rsidR="00FF40ED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from</w:t>
      </w:r>
      <w:r w:rsidR="008747D8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the</w:t>
      </w:r>
      <w:r w:rsidR="008747D8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2750E4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value</w:t>
      </w:r>
      <w:r w:rsidR="008747D8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recorded at </w:t>
      </w:r>
      <w:r w:rsidR="008747D8" w:rsidRPr="003533EB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N=0</w:t>
      </w:r>
      <w:r w:rsidR="001D6C47" w:rsidRPr="003533EB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on </w:t>
      </w:r>
      <w:r w:rsidR="00760536" w:rsidRPr="003533EB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the plane at z=160mm, being this plane just below the liquid-liquid interface at N=0</w:t>
      </w:r>
      <w:r w:rsidR="008747D8" w:rsidRPr="003533EB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.</w:t>
      </w:r>
      <w:r w:rsidRPr="003533EB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4200F7" w:rsidRPr="003533EB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B</w:t>
      </w:r>
      <w:r w:rsidR="004200F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y </w:t>
      </w:r>
      <w:r w:rsidR="004200F7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monitoring the local maximum </w:t>
      </w:r>
      <w:r w:rsidR="004870F9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absolute v</w:t>
      </w:r>
      <w:bookmarkStart w:id="0" w:name="_GoBack"/>
      <w:bookmarkEnd w:id="0"/>
      <w:r w:rsidR="004870F9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alue of the </w:t>
      </w:r>
      <w:r w:rsidR="00130E4F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conductivity </w:t>
      </w:r>
      <w:r w:rsidR="004870F9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difference</w:t>
      </w:r>
      <w:r w:rsidR="004200F7" w:rsidRPr="00760536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from the completely</w:t>
      </w:r>
      <w:r w:rsidR="004200F7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segregated condition (N=0) on the plane at z=160 mm at increasing N, an evolution curve is obtained, as shown in Fig.1, relevant to diesel fuel volume fraction of 0.14.</w:t>
      </w:r>
    </w:p>
    <w:p w14:paraId="383CC5D2" w14:textId="6DDB49EF" w:rsidR="00E647CA" w:rsidRDefault="00E647CA" w:rsidP="00AA17BA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sectPr w:rsidR="00E647CA" w:rsidSect="002065DB">
          <w:type w:val="continuous"/>
          <w:pgSz w:w="11906" w:h="16838" w:code="9"/>
          <w:pgMar w:top="2552" w:right="1418" w:bottom="1134" w:left="1701" w:header="1128" w:footer="0" w:gutter="0"/>
          <w:cols w:space="708"/>
          <w:formProt w:val="0"/>
          <w:titlePg/>
          <w:docGrid w:linePitch="360"/>
        </w:sectPr>
      </w:pPr>
    </w:p>
    <w:p w14:paraId="4D6AA125" w14:textId="1ACECF4B" w:rsidR="00CB4402" w:rsidRDefault="00D05A4A" w:rsidP="00C05995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As shown in Fig.1, t</w:t>
      </w:r>
      <w:r w:rsidR="00D42B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hrough a linearization procedure</w:t>
      </w:r>
      <w:r w:rsidR="00CB4402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of the experimental data (open circles)</w:t>
      </w:r>
      <w:r w:rsidR="00D42B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, we identified the </w:t>
      </w:r>
      <w:r w:rsidR="00E30473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just drawdown </w:t>
      </w:r>
      <w:r w:rsidR="00D42B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impeller speed as the intersection</w:t>
      </w:r>
      <w:r w:rsidRPr="00D05A4A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of the two </w:t>
      </w:r>
      <w:r w:rsidRP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lines</w:t>
      </w:r>
      <w:r w:rsidR="00760536" w:rsidRP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</w:t>
      </w:r>
      <w:r w:rsidRP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highlighted in red</w:t>
      </w:r>
      <w:r w:rsidR="00760536" w:rsidRP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</w:t>
      </w:r>
      <w:r w:rsidR="00D42B20" w:rsidRP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and the </w:t>
      </w:r>
      <w:r w:rsidRP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just</w:t>
      </w:r>
      <w:r w:rsidR="00D42B20" w:rsidRP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3533EB" w:rsidRP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completely </w:t>
      </w:r>
      <w:r w:rsidR="00E30473" w:rsidRP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dispers</w:t>
      </w:r>
      <w:r w:rsidRPr="00671845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ed</w:t>
      </w:r>
      <w:r w:rsidR="00E30473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impeller speed </w:t>
      </w:r>
      <w:r w:rsidR="00D42B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as the intersection highlighted in </w:t>
      </w:r>
      <w:r w:rsidR="00305F45" w:rsidRPr="001F3B0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black</w:t>
      </w:r>
      <w:r w:rsidR="00D42B20" w:rsidRPr="001F3B0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.</w:t>
      </w:r>
      <w:r w:rsidR="00D42B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w:r w:rsidR="00D858C0" w:rsidRPr="00C26069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The </w:t>
      </w:r>
      <w:r w:rsidR="00FF3452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homogeneous dispersion </w:t>
      </w:r>
      <w:r w:rsidR="00D858C0" w:rsidRPr="00C26069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condition </w:t>
      </w:r>
      <w:r w:rsidR="00D858C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was identified once the variation of the conductivity on the four </w:t>
      </w:r>
      <w:r w:rsidR="00E30473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measurement</w:t>
      </w:r>
      <w:r w:rsidR="00D858C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planes reached an asymptotical value. </w:t>
      </w:r>
      <w:r w:rsidR="00FF3452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By the procedure described above, </w:t>
      </w:r>
      <w:r w:rsidR="00D42B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a flow map </w:t>
      </w:r>
      <w:r w:rsidR="00CB4402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of</w:t>
      </w:r>
      <w:r w:rsidR="00FF3452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the different regimes can be identified. </w:t>
      </w:r>
    </w:p>
    <w:p w14:paraId="4546999E" w14:textId="6BFEF0E1" w:rsidR="00CB4402" w:rsidRDefault="00FF3452" w:rsidP="00C05995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The flow map relevant to the conditions investigated in this work is shown</w:t>
      </w:r>
      <w:r w:rsidR="00D42B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in Fig.2, where the Froude number</w:t>
      </w:r>
      <w:r w:rsidR="00CB4402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, Fr;</w:t>
      </w:r>
      <w:r w:rsidR="00D42B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[</w:t>
      </w:r>
      <w:r w:rsidR="00D05A4A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3</w:t>
      </w:r>
      <w:r w:rsidR="00D42B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] </w:t>
      </w:r>
      <w:r w:rsidR="00CB4402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is defined as</w:t>
      </w:r>
      <w:r w:rsidR="001F3B0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:</w:t>
      </w:r>
    </w:p>
    <w:p w14:paraId="01F76C7E" w14:textId="0EB764CD" w:rsidR="00D858C0" w:rsidRDefault="00CB4402" w:rsidP="00C05995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Fr=</w:t>
      </w:r>
      <w:r w:rsidR="00D42B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 xml:space="preserve"> </w:t>
      </w:r>
      <m:oMath>
        <m:f>
          <m:fPr>
            <m:ctrlPr>
              <w:rPr>
                <w:rFonts w:ascii="Cambria Math" w:eastAsia="MS PGothic" w:hAnsi="Cambria Math"/>
                <w:bCs/>
                <w:i/>
                <w:color w:val="000000"/>
                <w:sz w:val="22"/>
                <w:szCs w:val="22"/>
                <w:lang w:val="en" w:eastAsia="ko-KR"/>
              </w:rPr>
            </m:ctrlPr>
          </m:fPr>
          <m:num>
            <m:sSup>
              <m:sSupPr>
                <m:ctrlPr>
                  <w:rPr>
                    <w:rFonts w:ascii="Cambria Math" w:eastAsia="MS PGothic" w:hAnsi="Cambria Math"/>
                    <w:bCs/>
                    <w:i/>
                    <w:color w:val="000000"/>
                    <w:sz w:val="22"/>
                    <w:szCs w:val="22"/>
                    <w:lang w:val="en" w:eastAsia="ko-KR"/>
                  </w:rPr>
                </m:ctrlPr>
              </m:sSup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" w:eastAsia="ko-KR"/>
                  </w:rPr>
                  <m:t>DN</m:t>
                </m:r>
              </m:e>
              <m:sup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" w:eastAsia="ko-KR"/>
                  </w:rPr>
                  <m:t>2</m:t>
                </m:r>
              </m:sup>
            </m:sSup>
          </m:num>
          <m:den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" w:eastAsia="ko-KR"/>
              </w:rPr>
              <m:t>g</m:t>
            </m:r>
          </m:den>
        </m:f>
        <m:sSup>
          <m:sSupPr>
            <m:ctrlPr>
              <w:rPr>
                <w:rFonts w:ascii="Cambria Math" w:eastAsia="MS PGothic" w:hAnsi="Cambria Math"/>
                <w:bCs/>
                <w:i/>
                <w:color w:val="000000"/>
                <w:sz w:val="22"/>
                <w:szCs w:val="22"/>
                <w:lang w:val="en" w:eastAsia="ko-KR"/>
              </w:rPr>
            </m:ctrlPr>
          </m:sSupPr>
          <m:e>
            <m:d>
              <m:dPr>
                <m:ctrlPr>
                  <w:rPr>
                    <w:rFonts w:ascii="Cambria Math" w:eastAsia="MS PGothic" w:hAnsi="Cambria Math"/>
                    <w:bCs/>
                    <w:i/>
                    <w:color w:val="000000"/>
                    <w:sz w:val="22"/>
                    <w:szCs w:val="22"/>
                    <w:lang w:val="en" w:eastAsia="ko-KR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PGothic" w:hAnsi="Cambria Math"/>
                        <w:bCs/>
                        <w:i/>
                        <w:color w:val="000000"/>
                        <w:sz w:val="22"/>
                        <w:szCs w:val="22"/>
                        <w:lang w:val="en" w:eastAsia="ko-K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S PGothic" w:hAnsi="Cambria Math"/>
                            <w:bCs/>
                            <w:i/>
                            <w:color w:val="000000"/>
                            <w:sz w:val="22"/>
                            <w:szCs w:val="22"/>
                            <w:lang w:val="en"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" w:eastAsia="ko-KR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" w:eastAsia="ko-KR"/>
                          </w:rPr>
                          <m:t>water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S PGothic" w:hAnsi="Cambria Math"/>
                            <w:bCs/>
                            <w:i/>
                            <w:color w:val="000000"/>
                            <w:sz w:val="22"/>
                            <w:szCs w:val="22"/>
                            <w:lang w:val="en"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" w:eastAsia="ko-KR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" w:eastAsia="ko-KR"/>
                          </w:rPr>
                          <m:t>water-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S PGothic" w:hAnsi="Cambria Math"/>
                            <w:bCs/>
                            <w:i/>
                            <w:color w:val="000000"/>
                            <w:sz w:val="22"/>
                            <w:szCs w:val="22"/>
                            <w:lang w:val="en"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" w:eastAsia="ko-KR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S PGothic" w:hAnsi="Cambria Math"/>
                            <w:color w:val="000000"/>
                            <w:sz w:val="22"/>
                            <w:szCs w:val="22"/>
                            <w:lang w:val="en" w:eastAsia="ko-KR"/>
                          </w:rPr>
                          <m:t>oil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" w:eastAsia="ko-KR"/>
              </w:rPr>
              <m:t>0.42</m:t>
            </m:r>
          </m:sup>
        </m:sSup>
        <m:sSup>
          <m:sSupPr>
            <m:ctrlPr>
              <w:rPr>
                <w:rFonts w:ascii="Cambria Math" w:eastAsia="MS PGothic" w:hAnsi="Cambria Math"/>
                <w:bCs/>
                <w:i/>
                <w:color w:val="000000"/>
                <w:sz w:val="22"/>
                <w:szCs w:val="22"/>
                <w:lang w:val="en" w:eastAsia="ko-KR"/>
              </w:rPr>
            </m:ctrlPr>
          </m:sSupPr>
          <m:e>
            <m:d>
              <m:dPr>
                <m:ctrlPr>
                  <w:rPr>
                    <w:rFonts w:ascii="Cambria Math" w:eastAsia="MS PGothic" w:hAnsi="Cambria Math"/>
                    <w:bCs/>
                    <w:i/>
                    <w:color w:val="000000"/>
                    <w:sz w:val="22"/>
                    <w:szCs w:val="22"/>
                    <w:lang w:val="en" w:eastAsia="ko-KR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PGothic" w:hAnsi="Cambria Math"/>
                        <w:bCs/>
                        <w:i/>
                        <w:color w:val="000000"/>
                        <w:sz w:val="22"/>
                        <w:szCs w:val="22"/>
                        <w:lang w:val="en" w:eastAsia="ko-KR"/>
                      </w:rPr>
                    </m:ctrlPr>
                  </m:fPr>
                  <m:num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" w:eastAsia="ko-KR"/>
                      </w:rPr>
                      <m:t>D</m:t>
                    </m:r>
                  </m:num>
                  <m:den>
                    <m: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" w:eastAsia="ko-KR"/>
                      </w:rPr>
                      <m:t>T</m:t>
                    </m:r>
                  </m:den>
                </m:f>
              </m:e>
            </m:d>
          </m:e>
          <m:sup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" w:eastAsia="ko-KR"/>
              </w:rPr>
              <m:t>3.65</m:t>
            </m:r>
          </m:sup>
        </m:sSup>
      </m:oMath>
      <w:r w:rsidR="00D42B20"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  <w:t>.</w:t>
      </w:r>
    </w:p>
    <w:p w14:paraId="0DE9C23E" w14:textId="5BCD7BBF" w:rsidR="00CB4402" w:rsidRDefault="00CB4402" w:rsidP="00C05995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" w:eastAsia="ko-KR"/>
        </w:rPr>
      </w:pPr>
    </w:p>
    <w:p w14:paraId="3E437774" w14:textId="590568C5" w:rsidR="00D42B20" w:rsidRPr="00CB4402" w:rsidRDefault="00D42B20" w:rsidP="00E0288B">
      <w:pPr>
        <w:snapToGrid w:val="0"/>
        <w:spacing w:line="300" w:lineRule="auto"/>
        <w:jc w:val="center"/>
        <w:rPr>
          <w:rFonts w:asciiTheme="minorHAnsi" w:eastAsia="MS PGothic" w:hAnsiTheme="minorHAnsi"/>
          <w:bCs/>
          <w:noProof/>
          <w:color w:val="000000"/>
          <w:sz w:val="22"/>
          <w:szCs w:val="22"/>
          <w:lang w:val="en-US" w:eastAsia="it-IT"/>
        </w:rPr>
      </w:pPr>
      <w:r w:rsidRPr="00C26069">
        <w:rPr>
          <w:rFonts w:asciiTheme="minorHAnsi" w:eastAsia="MS PGothic" w:hAnsiTheme="minorHAnsi"/>
          <w:bCs/>
          <w:i/>
          <w:noProof/>
          <w:color w:val="000000"/>
          <w:sz w:val="22"/>
          <w:szCs w:val="22"/>
          <w:lang w:val="it-IT" w:eastAsia="it-IT"/>
        </w:rPr>
        <w:drawing>
          <wp:inline distT="0" distB="0" distL="0" distR="0" wp14:anchorId="3E4A50F4" wp14:editId="6FF54ED5">
            <wp:extent cx="2620800" cy="1965600"/>
            <wp:effectExtent l="0" t="0" r="825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viation_example_lineariz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19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4402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CB4402">
        <w:rPr>
          <w:rFonts w:asciiTheme="minorHAnsi" w:eastAsia="MS PGothic" w:hAnsiTheme="minorHAnsi"/>
          <w:color w:val="000000"/>
          <w:szCs w:val="18"/>
          <w:lang w:val="en-US"/>
        </w:rPr>
        <w:t xml:space="preserve">. Experimental </w:t>
      </w:r>
      <w:r w:rsidR="00FF3452" w:rsidRPr="00CB4402">
        <w:rPr>
          <w:rFonts w:asciiTheme="minorHAnsi" w:eastAsia="MS PGothic" w:hAnsiTheme="minorHAnsi"/>
          <w:color w:val="000000"/>
          <w:szCs w:val="18"/>
          <w:lang w:val="en-US"/>
        </w:rPr>
        <w:t>data</w:t>
      </w:r>
      <w:r w:rsidRPr="00CB4402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FF3452" w:rsidRPr="00CB4402">
        <w:rPr>
          <w:rFonts w:asciiTheme="minorHAnsi" w:eastAsia="MS PGothic" w:hAnsiTheme="minorHAnsi"/>
          <w:color w:val="000000"/>
          <w:szCs w:val="18"/>
          <w:lang w:val="en-US"/>
        </w:rPr>
        <w:t>and</w:t>
      </w:r>
      <w:r w:rsidR="00CB4402" w:rsidRPr="00CB4402">
        <w:rPr>
          <w:rFonts w:asciiTheme="minorHAnsi" w:eastAsia="MS PGothic" w:hAnsiTheme="minorHAnsi"/>
          <w:color w:val="000000"/>
          <w:szCs w:val="18"/>
          <w:lang w:val="en-US"/>
        </w:rPr>
        <w:t xml:space="preserve"> identification of the draw</w:t>
      </w:r>
      <w:r w:rsidRPr="00CB4402">
        <w:rPr>
          <w:rFonts w:asciiTheme="minorHAnsi" w:eastAsia="MS PGothic" w:hAnsiTheme="minorHAnsi"/>
          <w:color w:val="000000"/>
          <w:szCs w:val="18"/>
          <w:lang w:val="en-US"/>
        </w:rPr>
        <w:t xml:space="preserve">down </w:t>
      </w:r>
      <w:r w:rsidR="00FF3452" w:rsidRPr="00CB4402">
        <w:rPr>
          <w:rFonts w:asciiTheme="minorHAnsi" w:eastAsia="MS PGothic" w:hAnsiTheme="minorHAnsi"/>
          <w:color w:val="000000"/>
          <w:szCs w:val="18"/>
          <w:lang w:val="en-US"/>
        </w:rPr>
        <w:t xml:space="preserve">and completely dispersed </w:t>
      </w:r>
      <w:r w:rsidR="00CB4402" w:rsidRPr="00CB4402">
        <w:rPr>
          <w:rFonts w:asciiTheme="minorHAnsi" w:eastAsia="MS PGothic" w:hAnsiTheme="minorHAnsi"/>
          <w:color w:val="000000"/>
          <w:szCs w:val="18"/>
          <w:lang w:val="en-US"/>
        </w:rPr>
        <w:t>impeller speeds</w:t>
      </w:r>
      <w:r w:rsidRPr="00CB4402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3CDDDF96" w14:textId="2C1085E5" w:rsidR="00C05995" w:rsidRDefault="0085363A" w:rsidP="00C26069">
      <w:pPr>
        <w:snapToGrid w:val="0"/>
        <w:spacing w:line="300" w:lineRule="auto"/>
        <w:jc w:val="center"/>
        <w:rPr>
          <w:rFonts w:asciiTheme="minorHAnsi" w:eastAsia="MS PGothic" w:hAnsiTheme="minorHAnsi"/>
          <w:bCs/>
          <w:i/>
          <w:color w:val="000000"/>
          <w:sz w:val="22"/>
          <w:szCs w:val="22"/>
          <w:lang w:val="en" w:eastAsia="ko-KR"/>
        </w:rPr>
      </w:pPr>
      <w:r>
        <w:rPr>
          <w:rFonts w:asciiTheme="minorHAnsi" w:eastAsia="MS PGothic" w:hAnsiTheme="minorHAnsi"/>
          <w:b/>
          <w:noProof/>
          <w:color w:val="000000"/>
          <w:szCs w:val="18"/>
          <w:lang w:val="it-IT" w:eastAsia="it-IT"/>
        </w:rPr>
        <w:drawing>
          <wp:inline distT="0" distB="0" distL="0" distR="0" wp14:anchorId="483C1E62" wp14:editId="10ED6A20">
            <wp:extent cx="2613600" cy="1965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19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2B20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D42B20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="00D42B20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D42B20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D42B20" w:rsidRPr="00DE0019">
        <w:rPr>
          <w:rFonts w:asciiTheme="minorHAnsi" w:hAnsiTheme="minorHAnsi"/>
          <w:lang w:val="en-US"/>
        </w:rPr>
        <w:t xml:space="preserve"> </w:t>
      </w:r>
      <w:r w:rsidR="00D42B20">
        <w:rPr>
          <w:rFonts w:asciiTheme="minorHAnsi" w:eastAsia="MS PGothic" w:hAnsiTheme="minorHAnsi"/>
          <w:color w:val="000000"/>
          <w:szCs w:val="18"/>
          <w:lang w:val="en-US"/>
        </w:rPr>
        <w:t>Flow map for the diesel fuel</w:t>
      </w:r>
      <w:r w:rsidR="00FF3452">
        <w:rPr>
          <w:rFonts w:asciiTheme="minorHAnsi" w:eastAsia="MS PGothic" w:hAnsiTheme="minorHAnsi"/>
          <w:color w:val="000000"/>
          <w:szCs w:val="18"/>
          <w:lang w:val="en-US"/>
        </w:rPr>
        <w:t>-</w:t>
      </w:r>
      <w:r w:rsidR="00D42B20">
        <w:rPr>
          <w:rFonts w:asciiTheme="minorHAnsi" w:eastAsia="MS PGothic" w:hAnsiTheme="minorHAnsi"/>
          <w:color w:val="000000"/>
          <w:szCs w:val="18"/>
          <w:lang w:val="en-US"/>
        </w:rPr>
        <w:t>water system</w:t>
      </w:r>
      <w:r w:rsidR="00D42B20"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4D623CA3" w14:textId="77777777" w:rsidR="00CB4402" w:rsidRPr="00C26069" w:rsidRDefault="00CB4402" w:rsidP="00C26069">
      <w:pPr>
        <w:snapToGrid w:val="0"/>
        <w:spacing w:line="300" w:lineRule="auto"/>
        <w:jc w:val="center"/>
        <w:rPr>
          <w:rFonts w:asciiTheme="minorHAnsi" w:eastAsia="MS PGothic" w:hAnsiTheme="minorHAnsi"/>
          <w:bCs/>
          <w:i/>
          <w:color w:val="000000"/>
          <w:sz w:val="22"/>
          <w:szCs w:val="22"/>
          <w:lang w:val="en" w:eastAsia="ko-KR"/>
        </w:rPr>
      </w:pPr>
    </w:p>
    <w:p w14:paraId="27197144" w14:textId="77777777" w:rsidR="00C26069" w:rsidRPr="00C26069" w:rsidRDefault="00C26069" w:rsidP="00C26069">
      <w:pPr>
        <w:snapToGrid w:val="0"/>
        <w:spacing w:after="120"/>
        <w:jc w:val="center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sectPr w:rsidR="00C26069" w:rsidRPr="00C26069" w:rsidSect="00194EFE">
          <w:type w:val="continuous"/>
          <w:pgSz w:w="11906" w:h="16838" w:code="9"/>
          <w:pgMar w:top="2552" w:right="1418" w:bottom="1134" w:left="1701" w:header="1128" w:footer="0" w:gutter="0"/>
          <w:cols w:num="2" w:space="708"/>
          <w:formProt w:val="0"/>
          <w:titlePg/>
          <w:docGrid w:linePitch="360"/>
        </w:sectPr>
      </w:pPr>
    </w:p>
    <w:p w14:paraId="5D824434" w14:textId="63959C27" w:rsidR="00704BDF" w:rsidRPr="008D0BEB" w:rsidRDefault="00704BDF" w:rsidP="00D42B20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97F59A0" w14:textId="7A427BD5" w:rsidR="00704BDF" w:rsidRDefault="00CB440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FF34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novel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</w:t>
      </w:r>
      <w:r w:rsidR="00FF34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proposed for obtaining the flow map of immiscible liquid-l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iquid systems in stirred tanks </w:t>
      </w:r>
      <w:r w:rsidR="00FF3452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FF34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collection and a suitable analysis of ERT data.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 can be easily applied to any vessel size and liquid volume fraction, thus providing a useful guideline for the selection of the operating conditions of stirred vessels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FE78CB7" w14:textId="77777777" w:rsidR="004870F9" w:rsidRPr="008D0BEB" w:rsidRDefault="004870F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559E4E0D" w14:textId="444C105C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28F39A56" w14:textId="64594DC7" w:rsidR="007F0554" w:rsidRDefault="00C25633" w:rsidP="007F0554">
      <w:pPr>
        <w:snapToGrid w:val="0"/>
        <w:spacing w:line="240" w:lineRule="auto"/>
        <w:rPr>
          <w:rFonts w:asciiTheme="minorHAnsi" w:eastAsia="MS PGothic" w:hAnsiTheme="minorHAnsi"/>
          <w:bCs/>
          <w:color w:val="000000"/>
          <w:sz w:val="20"/>
          <w:lang w:val="en-US"/>
        </w:rPr>
      </w:pPr>
      <w:r w:rsidRPr="00C25633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[1] </w:t>
      </w:r>
      <w:r w:rsidR="00D05A4A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D.A. 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>Brown,</w:t>
      </w:r>
      <w:r w:rsidR="00D05A4A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P.J.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Jones, </w:t>
      </w:r>
      <w:r w:rsidR="00D05A4A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J.C. 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>Middleton,</w:t>
      </w:r>
      <w:r w:rsidR="00D05A4A" w:rsidRPr="00D05A4A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r w:rsidR="00D05A4A">
        <w:rPr>
          <w:rFonts w:asciiTheme="minorHAnsi" w:eastAsia="MS PGothic" w:hAnsiTheme="minorHAnsi"/>
          <w:bCs/>
          <w:color w:val="000000"/>
          <w:sz w:val="20"/>
          <w:lang w:val="en-US"/>
        </w:rPr>
        <w:t>G.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bCs/>
          <w:color w:val="000000"/>
          <w:sz w:val="20"/>
          <w:lang w:val="en-US"/>
        </w:rPr>
        <w:t>Papadoloulos</w:t>
      </w:r>
      <w:proofErr w:type="spellEnd"/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, </w:t>
      </w:r>
      <w:r w:rsidR="00D05A4A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E.B. 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Arik, in Handbook of Industrial Mixing, </w:t>
      </w:r>
      <w:r w:rsidR="00D05A4A">
        <w:rPr>
          <w:rFonts w:asciiTheme="minorHAnsi" w:eastAsia="MS PGothic" w:hAnsiTheme="minorHAnsi"/>
          <w:bCs/>
          <w:color w:val="000000"/>
          <w:sz w:val="20"/>
          <w:lang w:val="en-US"/>
        </w:rPr>
        <w:t>Chapter 4</w:t>
      </w:r>
      <w:r w:rsidR="001F3B00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(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>2014</w:t>
      </w:r>
      <w:r w:rsidR="001F3B00">
        <w:rPr>
          <w:rFonts w:asciiTheme="minorHAnsi" w:eastAsia="MS PGothic" w:hAnsiTheme="minorHAnsi"/>
          <w:bCs/>
          <w:color w:val="000000"/>
          <w:sz w:val="20"/>
          <w:lang w:val="en-US"/>
        </w:rPr>
        <w:t>)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, 189. </w:t>
      </w:r>
    </w:p>
    <w:p w14:paraId="7F8B6F15" w14:textId="7F1089DB" w:rsidR="00CB4402" w:rsidRPr="001F3B00" w:rsidRDefault="006E1D67" w:rsidP="00CB4402">
      <w:pPr>
        <w:pStyle w:val="FirstParagraph"/>
        <w:tabs>
          <w:tab w:val="left" w:pos="426"/>
        </w:tabs>
        <w:spacing w:line="240" w:lineRule="auto"/>
        <w:rPr>
          <w:rFonts w:asciiTheme="minorHAnsi" w:eastAsia="MS PGothic" w:hAnsiTheme="minorHAnsi"/>
          <w:bCs/>
          <w:color w:val="000000"/>
          <w:lang w:val="it-IT"/>
        </w:rPr>
      </w:pPr>
      <w:r w:rsidRPr="00760536">
        <w:rPr>
          <w:rFonts w:asciiTheme="minorHAnsi" w:eastAsia="MS PGothic" w:hAnsiTheme="minorHAnsi"/>
          <w:bCs/>
          <w:color w:val="000000"/>
          <w:lang w:val="it-IT"/>
        </w:rPr>
        <w:t xml:space="preserve">[2] </w:t>
      </w:r>
      <w:r w:rsidR="002A172C" w:rsidRPr="00760536">
        <w:rPr>
          <w:rFonts w:asciiTheme="minorHAnsi" w:eastAsia="MS PGothic" w:hAnsiTheme="minorHAnsi"/>
          <w:bCs/>
          <w:color w:val="000000"/>
          <w:lang w:val="it-IT"/>
        </w:rPr>
        <w:t xml:space="preserve">A. Paglianti, </w:t>
      </w:r>
      <w:r w:rsidRPr="00760536">
        <w:rPr>
          <w:rFonts w:asciiTheme="minorHAnsi" w:eastAsia="MS PGothic" w:hAnsiTheme="minorHAnsi"/>
          <w:bCs/>
          <w:color w:val="000000"/>
          <w:lang w:val="it-IT"/>
        </w:rPr>
        <w:t xml:space="preserve">C. Carletti, </w:t>
      </w:r>
      <w:r w:rsidR="002A172C" w:rsidRPr="00760536">
        <w:rPr>
          <w:rFonts w:asciiTheme="minorHAnsi" w:eastAsia="MS PGothic" w:hAnsiTheme="minorHAnsi"/>
          <w:bCs/>
          <w:color w:val="000000"/>
          <w:lang w:val="it-IT"/>
        </w:rPr>
        <w:t xml:space="preserve">A. Busciglio, </w:t>
      </w:r>
      <w:r w:rsidRPr="00760536">
        <w:rPr>
          <w:rFonts w:asciiTheme="minorHAnsi" w:eastAsia="MS PGothic" w:hAnsiTheme="minorHAnsi"/>
          <w:bCs/>
          <w:color w:val="000000"/>
          <w:lang w:val="it-IT"/>
        </w:rPr>
        <w:t xml:space="preserve">G. Montante, </w:t>
      </w:r>
      <w:r w:rsidR="002A172C" w:rsidRPr="00760536">
        <w:rPr>
          <w:rFonts w:asciiTheme="minorHAnsi" w:eastAsia="MS PGothic" w:hAnsiTheme="minorHAnsi"/>
          <w:bCs/>
          <w:color w:val="000000"/>
          <w:lang w:val="it-IT"/>
        </w:rPr>
        <w:t>Can</w:t>
      </w:r>
      <w:r w:rsidRPr="00760536">
        <w:rPr>
          <w:rFonts w:asciiTheme="minorHAnsi" w:eastAsia="MS PGothic" w:hAnsiTheme="minorHAnsi"/>
          <w:bCs/>
          <w:color w:val="000000"/>
          <w:lang w:val="it-IT"/>
        </w:rPr>
        <w:t xml:space="preserve">. </w:t>
      </w:r>
      <w:r w:rsidR="002A172C" w:rsidRPr="00760536">
        <w:rPr>
          <w:rFonts w:asciiTheme="minorHAnsi" w:eastAsia="MS PGothic" w:hAnsiTheme="minorHAnsi"/>
          <w:bCs/>
          <w:color w:val="000000"/>
          <w:lang w:val="it-IT"/>
        </w:rPr>
        <w:t>J</w:t>
      </w:r>
      <w:r w:rsidRPr="00760536">
        <w:rPr>
          <w:rFonts w:asciiTheme="minorHAnsi" w:eastAsia="MS PGothic" w:hAnsiTheme="minorHAnsi"/>
          <w:bCs/>
          <w:color w:val="000000"/>
          <w:lang w:val="it-IT"/>
        </w:rPr>
        <w:t xml:space="preserve">. </w:t>
      </w:r>
      <w:r w:rsidR="002A172C" w:rsidRPr="00760536">
        <w:rPr>
          <w:rFonts w:asciiTheme="minorHAnsi" w:eastAsia="MS PGothic" w:hAnsiTheme="minorHAnsi"/>
          <w:bCs/>
          <w:color w:val="000000"/>
          <w:lang w:val="it-IT"/>
        </w:rPr>
        <w:t>Chem</w:t>
      </w:r>
      <w:r w:rsidRPr="00760536">
        <w:rPr>
          <w:rFonts w:asciiTheme="minorHAnsi" w:eastAsia="MS PGothic" w:hAnsiTheme="minorHAnsi"/>
          <w:bCs/>
          <w:color w:val="000000"/>
          <w:lang w:val="it-IT"/>
        </w:rPr>
        <w:t xml:space="preserve">. </w:t>
      </w:r>
      <w:r w:rsidR="002A172C" w:rsidRPr="00760536">
        <w:rPr>
          <w:rFonts w:asciiTheme="minorHAnsi" w:eastAsia="MS PGothic" w:hAnsiTheme="minorHAnsi"/>
          <w:bCs/>
          <w:color w:val="000000"/>
          <w:lang w:val="it-IT"/>
        </w:rPr>
        <w:t>Eng. 95</w:t>
      </w:r>
      <w:r w:rsidRPr="00760536">
        <w:rPr>
          <w:rFonts w:asciiTheme="minorHAnsi" w:eastAsia="MS PGothic" w:hAnsiTheme="minorHAnsi"/>
          <w:bCs/>
          <w:color w:val="000000"/>
          <w:lang w:val="it-IT"/>
        </w:rPr>
        <w:t xml:space="preserve"> </w:t>
      </w:r>
      <w:r w:rsidR="001F3B00" w:rsidRPr="00760536">
        <w:rPr>
          <w:rFonts w:asciiTheme="minorHAnsi" w:eastAsia="MS PGothic" w:hAnsiTheme="minorHAnsi"/>
          <w:bCs/>
          <w:color w:val="000000"/>
          <w:lang w:val="it-IT"/>
        </w:rPr>
        <w:t>(201</w:t>
      </w:r>
      <w:r w:rsidR="002A172C" w:rsidRPr="00760536">
        <w:rPr>
          <w:rFonts w:asciiTheme="minorHAnsi" w:eastAsia="MS PGothic" w:hAnsiTheme="minorHAnsi"/>
          <w:bCs/>
          <w:color w:val="000000"/>
          <w:lang w:val="it-IT"/>
        </w:rPr>
        <w:t>7</w:t>
      </w:r>
      <w:r w:rsidR="001F3B00" w:rsidRPr="00760536">
        <w:rPr>
          <w:rFonts w:asciiTheme="minorHAnsi" w:eastAsia="MS PGothic" w:hAnsiTheme="minorHAnsi"/>
          <w:bCs/>
          <w:color w:val="000000"/>
          <w:lang w:val="it-IT"/>
        </w:rPr>
        <w:t xml:space="preserve">) </w:t>
      </w:r>
      <w:r w:rsidR="002A172C" w:rsidRPr="00760536">
        <w:rPr>
          <w:rFonts w:asciiTheme="minorHAnsi" w:eastAsia="MS PGothic" w:hAnsiTheme="minorHAnsi"/>
          <w:bCs/>
          <w:color w:val="000000"/>
          <w:lang w:val="it-IT"/>
        </w:rPr>
        <w:t>1789</w:t>
      </w:r>
      <w:r w:rsidR="001F3B00" w:rsidRPr="00760536">
        <w:rPr>
          <w:rFonts w:asciiTheme="minorHAnsi" w:eastAsia="MS PGothic" w:hAnsiTheme="minorHAnsi"/>
          <w:bCs/>
          <w:color w:val="000000"/>
          <w:lang w:val="it-IT"/>
        </w:rPr>
        <w:t>–</w:t>
      </w:r>
      <w:r w:rsidR="002A172C" w:rsidRPr="00760536">
        <w:rPr>
          <w:rFonts w:asciiTheme="minorHAnsi" w:eastAsia="MS PGothic" w:hAnsiTheme="minorHAnsi"/>
          <w:bCs/>
          <w:color w:val="000000"/>
          <w:lang w:val="it-IT"/>
        </w:rPr>
        <w:t>1799</w:t>
      </w:r>
      <w:r w:rsidRPr="00760536">
        <w:rPr>
          <w:rFonts w:asciiTheme="minorHAnsi" w:eastAsia="MS PGothic" w:hAnsiTheme="minorHAnsi"/>
          <w:bCs/>
          <w:color w:val="000000"/>
          <w:lang w:val="it-IT"/>
        </w:rPr>
        <w:t>.</w:t>
      </w:r>
    </w:p>
    <w:p w14:paraId="29E135B1" w14:textId="11E0D3EB" w:rsidR="00704BDF" w:rsidRPr="00A33A49" w:rsidRDefault="00CB4402" w:rsidP="00A33A49">
      <w:pPr>
        <w:pStyle w:val="FirstParagraph"/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eastAsia="MS PGothic" w:hAnsiTheme="minorHAnsi"/>
          <w:bCs/>
          <w:color w:val="000000"/>
        </w:rPr>
        <w:t xml:space="preserve">[3] </w:t>
      </w:r>
      <w:r w:rsidR="00C05995" w:rsidRPr="00C05995">
        <w:rPr>
          <w:rFonts w:asciiTheme="minorHAnsi" w:hAnsiTheme="minorHAnsi"/>
          <w:color w:val="000000"/>
        </w:rPr>
        <w:t>G.E.H.</w:t>
      </w:r>
      <w:r w:rsidR="00C05995">
        <w:rPr>
          <w:rFonts w:asciiTheme="minorHAnsi" w:hAnsiTheme="minorHAnsi"/>
          <w:color w:val="000000"/>
        </w:rPr>
        <w:t xml:space="preserve"> </w:t>
      </w:r>
      <w:r w:rsidR="00C05995" w:rsidRPr="00C05995">
        <w:rPr>
          <w:rFonts w:asciiTheme="minorHAnsi" w:hAnsiTheme="minorHAnsi"/>
          <w:color w:val="000000"/>
        </w:rPr>
        <w:t xml:space="preserve">Joosten, J.G.M </w:t>
      </w:r>
      <w:proofErr w:type="spellStart"/>
      <w:r w:rsidR="00C05995" w:rsidRPr="00C05995">
        <w:rPr>
          <w:rFonts w:asciiTheme="minorHAnsi" w:hAnsiTheme="minorHAnsi"/>
          <w:color w:val="000000"/>
        </w:rPr>
        <w:t>Schilder</w:t>
      </w:r>
      <w:proofErr w:type="spellEnd"/>
      <w:r w:rsidR="00C05995" w:rsidRPr="00C05995">
        <w:rPr>
          <w:rFonts w:asciiTheme="minorHAnsi" w:hAnsiTheme="minorHAnsi"/>
          <w:color w:val="000000"/>
        </w:rPr>
        <w:t>, A.M.</w:t>
      </w:r>
      <w:r w:rsidR="00C05995">
        <w:rPr>
          <w:rFonts w:asciiTheme="minorHAnsi" w:hAnsiTheme="minorHAnsi"/>
          <w:color w:val="000000"/>
        </w:rPr>
        <w:t xml:space="preserve"> </w:t>
      </w:r>
      <w:proofErr w:type="spellStart"/>
      <w:r w:rsidR="00C05995" w:rsidRPr="00C05995">
        <w:rPr>
          <w:rFonts w:asciiTheme="minorHAnsi" w:hAnsiTheme="minorHAnsi"/>
          <w:color w:val="000000"/>
        </w:rPr>
        <w:t>Broere</w:t>
      </w:r>
      <w:proofErr w:type="spellEnd"/>
      <w:r w:rsidR="00C05995" w:rsidRPr="00C05995">
        <w:rPr>
          <w:rFonts w:asciiTheme="minorHAnsi" w:hAnsiTheme="minorHAnsi"/>
          <w:color w:val="000000"/>
        </w:rPr>
        <w:t xml:space="preserve">, </w:t>
      </w:r>
      <w:r w:rsidR="00C05995">
        <w:rPr>
          <w:rFonts w:asciiTheme="minorHAnsi" w:hAnsiTheme="minorHAnsi"/>
          <w:color w:val="000000"/>
        </w:rPr>
        <w:t>Trans. Inst. Chem. Eng. 55</w:t>
      </w:r>
      <w:r w:rsidR="00C05995" w:rsidRPr="00C05995">
        <w:rPr>
          <w:rFonts w:asciiTheme="minorHAnsi" w:hAnsiTheme="minorHAnsi"/>
          <w:color w:val="000000"/>
        </w:rPr>
        <w:t xml:space="preserve"> </w:t>
      </w:r>
      <w:r w:rsidR="00C05995">
        <w:rPr>
          <w:rFonts w:asciiTheme="minorHAnsi" w:hAnsiTheme="minorHAnsi"/>
          <w:color w:val="000000"/>
        </w:rPr>
        <w:t>(</w:t>
      </w:r>
      <w:r w:rsidR="00C05995" w:rsidRPr="00C05995">
        <w:rPr>
          <w:rFonts w:asciiTheme="minorHAnsi" w:hAnsiTheme="minorHAnsi"/>
          <w:color w:val="000000"/>
        </w:rPr>
        <w:t>1977</w:t>
      </w:r>
      <w:r w:rsidR="00C05995">
        <w:rPr>
          <w:rFonts w:asciiTheme="minorHAnsi" w:hAnsiTheme="minorHAnsi"/>
          <w:color w:val="000000"/>
        </w:rPr>
        <w:t xml:space="preserve">) </w:t>
      </w:r>
      <w:r w:rsidR="00A33A49">
        <w:rPr>
          <w:rFonts w:asciiTheme="minorHAnsi" w:hAnsiTheme="minorHAnsi"/>
          <w:color w:val="000000"/>
        </w:rPr>
        <w:t>220–222.</w:t>
      </w:r>
    </w:p>
    <w:sectPr w:rsidR="00704BDF" w:rsidRPr="00A33A4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0510B" w14:textId="77777777" w:rsidR="009231B9" w:rsidRDefault="009231B9" w:rsidP="004F5E36">
      <w:r>
        <w:separator/>
      </w:r>
    </w:p>
  </w:endnote>
  <w:endnote w:type="continuationSeparator" w:id="0">
    <w:p w14:paraId="0DC0F779" w14:textId="77777777" w:rsidR="009231B9" w:rsidRDefault="009231B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1C92F" w14:textId="77777777" w:rsidR="009231B9" w:rsidRDefault="009231B9" w:rsidP="004F5E36">
      <w:r>
        <w:separator/>
      </w:r>
    </w:p>
  </w:footnote>
  <w:footnote w:type="continuationSeparator" w:id="0">
    <w:p w14:paraId="33573B02" w14:textId="77777777" w:rsidR="009231B9" w:rsidRDefault="009231B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A59F9" w14:textId="77777777" w:rsidR="004D1162" w:rsidRDefault="00594E9F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985A2" wp14:editId="297882A0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67630F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0F3807C0" wp14:editId="738DF92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5950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89B89E2" wp14:editId="720578B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FCE4C6C" w14:textId="77777777" w:rsidR="00704BDF" w:rsidRDefault="00704BDF">
    <w:pPr>
      <w:pStyle w:val="Header"/>
    </w:pPr>
  </w:p>
  <w:p w14:paraId="78569689" w14:textId="77777777" w:rsidR="00704BDF" w:rsidRDefault="00704BDF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60277" wp14:editId="36C9695F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EB8C55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A"/>
    <w:rsid w:val="000027C0"/>
    <w:rsid w:val="000117CB"/>
    <w:rsid w:val="0003148D"/>
    <w:rsid w:val="0005027B"/>
    <w:rsid w:val="00062A9A"/>
    <w:rsid w:val="000A03B2"/>
    <w:rsid w:val="000D34BE"/>
    <w:rsid w:val="000D70BC"/>
    <w:rsid w:val="000E36F1"/>
    <w:rsid w:val="000E3A73"/>
    <w:rsid w:val="000E414A"/>
    <w:rsid w:val="00130E4F"/>
    <w:rsid w:val="0013121F"/>
    <w:rsid w:val="00134DE4"/>
    <w:rsid w:val="00150E59"/>
    <w:rsid w:val="00183D05"/>
    <w:rsid w:val="00184AD6"/>
    <w:rsid w:val="001941B7"/>
    <w:rsid w:val="00194EFE"/>
    <w:rsid w:val="001A2D92"/>
    <w:rsid w:val="001B65C1"/>
    <w:rsid w:val="001C684B"/>
    <w:rsid w:val="001D53FC"/>
    <w:rsid w:val="001D6C47"/>
    <w:rsid w:val="001F2EC7"/>
    <w:rsid w:val="001F3B00"/>
    <w:rsid w:val="002065DB"/>
    <w:rsid w:val="002447EF"/>
    <w:rsid w:val="00251550"/>
    <w:rsid w:val="0027221A"/>
    <w:rsid w:val="002750E4"/>
    <w:rsid w:val="00275B61"/>
    <w:rsid w:val="002A1085"/>
    <w:rsid w:val="002A172C"/>
    <w:rsid w:val="002C3BF5"/>
    <w:rsid w:val="002C6251"/>
    <w:rsid w:val="002D1F12"/>
    <w:rsid w:val="003009B7"/>
    <w:rsid w:val="0030469C"/>
    <w:rsid w:val="00305F45"/>
    <w:rsid w:val="003533EB"/>
    <w:rsid w:val="003723D4"/>
    <w:rsid w:val="003A01FB"/>
    <w:rsid w:val="003A7D1C"/>
    <w:rsid w:val="004200F7"/>
    <w:rsid w:val="00431CC2"/>
    <w:rsid w:val="004355DA"/>
    <w:rsid w:val="004478FB"/>
    <w:rsid w:val="0046164A"/>
    <w:rsid w:val="00462DCD"/>
    <w:rsid w:val="004815C6"/>
    <w:rsid w:val="004870F9"/>
    <w:rsid w:val="004B6516"/>
    <w:rsid w:val="004D1162"/>
    <w:rsid w:val="004E4DD6"/>
    <w:rsid w:val="004F5E36"/>
    <w:rsid w:val="005119A5"/>
    <w:rsid w:val="005278B7"/>
    <w:rsid w:val="005346C8"/>
    <w:rsid w:val="005358AD"/>
    <w:rsid w:val="005920EF"/>
    <w:rsid w:val="00594E9F"/>
    <w:rsid w:val="005B61E6"/>
    <w:rsid w:val="005C77E1"/>
    <w:rsid w:val="005D6A2F"/>
    <w:rsid w:val="005E1A82"/>
    <w:rsid w:val="005F0A28"/>
    <w:rsid w:val="005F0E5E"/>
    <w:rsid w:val="00601C54"/>
    <w:rsid w:val="00620DEE"/>
    <w:rsid w:val="00624069"/>
    <w:rsid w:val="00625639"/>
    <w:rsid w:val="0064184D"/>
    <w:rsid w:val="00660E3E"/>
    <w:rsid w:val="00662E74"/>
    <w:rsid w:val="00671845"/>
    <w:rsid w:val="006A58D2"/>
    <w:rsid w:val="006C5579"/>
    <w:rsid w:val="006E1D67"/>
    <w:rsid w:val="00704BDF"/>
    <w:rsid w:val="0071474E"/>
    <w:rsid w:val="00736B13"/>
    <w:rsid w:val="00737AE9"/>
    <w:rsid w:val="007447F3"/>
    <w:rsid w:val="007530AF"/>
    <w:rsid w:val="00760536"/>
    <w:rsid w:val="007661C8"/>
    <w:rsid w:val="007D52CD"/>
    <w:rsid w:val="007F0554"/>
    <w:rsid w:val="008076AF"/>
    <w:rsid w:val="00813288"/>
    <w:rsid w:val="008168FC"/>
    <w:rsid w:val="008367AA"/>
    <w:rsid w:val="0084404B"/>
    <w:rsid w:val="008479A2"/>
    <w:rsid w:val="0085363A"/>
    <w:rsid w:val="00860BF5"/>
    <w:rsid w:val="008747D8"/>
    <w:rsid w:val="0087637F"/>
    <w:rsid w:val="008A1512"/>
    <w:rsid w:val="008D0BEB"/>
    <w:rsid w:val="008E566E"/>
    <w:rsid w:val="008E6955"/>
    <w:rsid w:val="00901EB6"/>
    <w:rsid w:val="00921DA0"/>
    <w:rsid w:val="009231B9"/>
    <w:rsid w:val="009450CE"/>
    <w:rsid w:val="0095164B"/>
    <w:rsid w:val="00996483"/>
    <w:rsid w:val="009E788A"/>
    <w:rsid w:val="009F4DC5"/>
    <w:rsid w:val="00A047B9"/>
    <w:rsid w:val="00A1763D"/>
    <w:rsid w:val="00A17CEC"/>
    <w:rsid w:val="00A27EF0"/>
    <w:rsid w:val="00A33A49"/>
    <w:rsid w:val="00A76EFC"/>
    <w:rsid w:val="00A86C0E"/>
    <w:rsid w:val="00A9626B"/>
    <w:rsid w:val="00A97F29"/>
    <w:rsid w:val="00AA17BA"/>
    <w:rsid w:val="00AB0964"/>
    <w:rsid w:val="00AE377D"/>
    <w:rsid w:val="00B46189"/>
    <w:rsid w:val="00B61DBF"/>
    <w:rsid w:val="00B65BD1"/>
    <w:rsid w:val="00B85A20"/>
    <w:rsid w:val="00BA10B6"/>
    <w:rsid w:val="00BC30C9"/>
    <w:rsid w:val="00BE3E58"/>
    <w:rsid w:val="00C01616"/>
    <w:rsid w:val="00C0162B"/>
    <w:rsid w:val="00C05995"/>
    <w:rsid w:val="00C25633"/>
    <w:rsid w:val="00C26069"/>
    <w:rsid w:val="00C345B1"/>
    <w:rsid w:val="00C40142"/>
    <w:rsid w:val="00C4217C"/>
    <w:rsid w:val="00C57182"/>
    <w:rsid w:val="00C655FD"/>
    <w:rsid w:val="00C77F54"/>
    <w:rsid w:val="00C820C6"/>
    <w:rsid w:val="00C867B1"/>
    <w:rsid w:val="00C94434"/>
    <w:rsid w:val="00CA1C95"/>
    <w:rsid w:val="00CA5A9C"/>
    <w:rsid w:val="00CB4402"/>
    <w:rsid w:val="00CD5FE2"/>
    <w:rsid w:val="00D02B4C"/>
    <w:rsid w:val="00D05A4A"/>
    <w:rsid w:val="00D1362B"/>
    <w:rsid w:val="00D42B20"/>
    <w:rsid w:val="00D84576"/>
    <w:rsid w:val="00D858C0"/>
    <w:rsid w:val="00DE0019"/>
    <w:rsid w:val="00DE264A"/>
    <w:rsid w:val="00DF0BC1"/>
    <w:rsid w:val="00E0288B"/>
    <w:rsid w:val="00E041E7"/>
    <w:rsid w:val="00E23CA1"/>
    <w:rsid w:val="00E30473"/>
    <w:rsid w:val="00E409A8"/>
    <w:rsid w:val="00E647CA"/>
    <w:rsid w:val="00E7209D"/>
    <w:rsid w:val="00E80C62"/>
    <w:rsid w:val="00EA50E1"/>
    <w:rsid w:val="00ED17D2"/>
    <w:rsid w:val="00EE0131"/>
    <w:rsid w:val="00EE0365"/>
    <w:rsid w:val="00EF460F"/>
    <w:rsid w:val="00F11FDB"/>
    <w:rsid w:val="00F21FCD"/>
    <w:rsid w:val="00F279CE"/>
    <w:rsid w:val="00F30C64"/>
    <w:rsid w:val="00F87408"/>
    <w:rsid w:val="00FB730C"/>
    <w:rsid w:val="00FC2695"/>
    <w:rsid w:val="00FC2D9F"/>
    <w:rsid w:val="00FC3E03"/>
    <w:rsid w:val="00FE42AE"/>
    <w:rsid w:val="00FE6A2D"/>
    <w:rsid w:val="00FF3452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1FD93"/>
  <w15:docId w15:val="{4A9F5D03-D97A-4DDD-8052-C484124F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6240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A91D-A6D6-4E5D-947A-D50CA5E2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Francesco Maluta</cp:lastModifiedBy>
  <cp:revision>2</cp:revision>
  <cp:lastPrinted>2015-05-12T18:31:00Z</cp:lastPrinted>
  <dcterms:created xsi:type="dcterms:W3CDTF">2019-01-15T12:10:00Z</dcterms:created>
  <dcterms:modified xsi:type="dcterms:W3CDTF">2019-01-15T12:10:00Z</dcterms:modified>
</cp:coreProperties>
</file>