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3D01C3" w:rsidP="005350DC">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Optimization</w:t>
      </w:r>
      <w:r w:rsidR="005350DC">
        <w:rPr>
          <w:rFonts w:asciiTheme="minorHAnsi" w:eastAsia="MS PGothic" w:hAnsiTheme="minorHAnsi"/>
          <w:b/>
          <w:bCs/>
          <w:sz w:val="28"/>
          <w:szCs w:val="28"/>
          <w:lang w:val="en-US"/>
        </w:rPr>
        <w:t xml:space="preserve"> of batch </w:t>
      </w:r>
      <w:r w:rsidR="00A71440" w:rsidRPr="00A71440">
        <w:rPr>
          <w:rFonts w:asciiTheme="minorHAnsi" w:eastAsia="MS PGothic" w:hAnsiTheme="minorHAnsi"/>
          <w:b/>
          <w:bCs/>
          <w:sz w:val="28"/>
          <w:szCs w:val="28"/>
          <w:lang w:val="en-US"/>
        </w:rPr>
        <w:t>aqueous two-phase extraction and centrifugal partition chromatography</w:t>
      </w:r>
      <w:r w:rsidR="005350DC">
        <w:rPr>
          <w:rFonts w:asciiTheme="minorHAnsi" w:eastAsia="MS PGothic" w:hAnsiTheme="minorHAnsi"/>
          <w:b/>
          <w:bCs/>
          <w:sz w:val="28"/>
          <w:szCs w:val="28"/>
          <w:lang w:val="en-US"/>
        </w:rPr>
        <w:t xml:space="preserve"> in p</w:t>
      </w:r>
      <w:r w:rsidR="005350DC" w:rsidRPr="00A71440">
        <w:rPr>
          <w:rFonts w:asciiTheme="minorHAnsi" w:eastAsia="MS PGothic" w:hAnsiTheme="minorHAnsi"/>
          <w:b/>
          <w:bCs/>
          <w:sz w:val="28"/>
          <w:szCs w:val="28"/>
          <w:lang w:val="en-US"/>
        </w:rPr>
        <w:t>urification of monoclonal antibodies</w:t>
      </w:r>
    </w:p>
    <w:p w:rsidR="00DE0019" w:rsidRPr="00A71440" w:rsidRDefault="00A71440" w:rsidP="00704BDF">
      <w:pPr>
        <w:snapToGrid w:val="0"/>
        <w:spacing w:after="120"/>
        <w:jc w:val="center"/>
        <w:rPr>
          <w:rFonts w:eastAsia="SimSun"/>
          <w:color w:val="000000"/>
          <w:lang w:val="pl-PL" w:eastAsia="zh-CN"/>
        </w:rPr>
      </w:pPr>
      <w:r w:rsidRPr="00A71440">
        <w:rPr>
          <w:rFonts w:asciiTheme="minorHAnsi" w:eastAsia="SimSun" w:hAnsiTheme="minorHAnsi"/>
          <w:color w:val="000000"/>
          <w:sz w:val="24"/>
          <w:szCs w:val="24"/>
          <w:u w:val="single"/>
          <w:lang w:val="pl-PL" w:eastAsia="zh-CN"/>
        </w:rPr>
        <w:t>Wojciech Marek</w:t>
      </w:r>
      <w:r w:rsidRPr="00197145">
        <w:rPr>
          <w:rFonts w:asciiTheme="minorHAnsi" w:eastAsia="SimSun" w:hAnsiTheme="minorHAnsi"/>
          <w:color w:val="000000"/>
          <w:sz w:val="24"/>
          <w:szCs w:val="24"/>
          <w:lang w:val="pl-PL" w:eastAsia="zh-CN"/>
        </w:rPr>
        <w:t>, Wojciech Piątkowski, Dorota Antos</w:t>
      </w:r>
      <w:r w:rsidR="00DE0019" w:rsidRPr="00A71440">
        <w:rPr>
          <w:rFonts w:eastAsia="SimSun"/>
          <w:color w:val="000000"/>
          <w:lang w:val="pl-PL" w:eastAsia="zh-CN"/>
        </w:rPr>
        <w:t xml:space="preserve"> </w:t>
      </w:r>
    </w:p>
    <w:p w:rsidR="00A71440" w:rsidRPr="00A71440" w:rsidRDefault="00A71440" w:rsidP="00A71440">
      <w:pPr>
        <w:snapToGrid w:val="0"/>
        <w:ind w:left="7100" w:hanging="7100"/>
        <w:jc w:val="center"/>
        <w:rPr>
          <w:rFonts w:asciiTheme="minorHAnsi" w:eastAsia="MS PGothic" w:hAnsiTheme="minorHAnsi"/>
          <w:i/>
          <w:iCs/>
          <w:color w:val="000000"/>
          <w:sz w:val="20"/>
          <w:lang w:val="en-US"/>
        </w:rPr>
      </w:pPr>
      <w:r w:rsidRPr="00A71440">
        <w:rPr>
          <w:rFonts w:asciiTheme="minorHAnsi" w:eastAsia="MS PGothic" w:hAnsiTheme="minorHAnsi"/>
          <w:i/>
          <w:iCs/>
          <w:color w:val="000000"/>
          <w:sz w:val="20"/>
          <w:lang w:val="en-US"/>
        </w:rPr>
        <w:t xml:space="preserve">Rzeszow University of Technology, Faculty of Chemistry, Department of Chemical and Process Engineering, </w:t>
      </w:r>
    </w:p>
    <w:p w:rsidR="00704BDF" w:rsidRPr="003D01C3" w:rsidRDefault="00A71440" w:rsidP="00A71440">
      <w:pPr>
        <w:snapToGrid w:val="0"/>
        <w:spacing w:after="120"/>
        <w:ind w:left="7100" w:hanging="7100"/>
        <w:jc w:val="center"/>
        <w:rPr>
          <w:rFonts w:asciiTheme="minorHAnsi" w:eastAsia="MS PGothic" w:hAnsiTheme="minorHAnsi"/>
          <w:i/>
          <w:iCs/>
          <w:color w:val="000000"/>
          <w:sz w:val="20"/>
          <w:lang w:val="pl-PL"/>
        </w:rPr>
      </w:pPr>
      <w:r w:rsidRPr="003D01C3">
        <w:rPr>
          <w:rFonts w:asciiTheme="minorHAnsi" w:eastAsia="MS PGothic" w:hAnsiTheme="minorHAnsi"/>
          <w:i/>
          <w:iCs/>
          <w:color w:val="000000"/>
          <w:sz w:val="20"/>
          <w:lang w:val="pl-PL"/>
        </w:rPr>
        <w:t xml:space="preserve">Powstańców Warszawy </w:t>
      </w:r>
      <w:proofErr w:type="spellStart"/>
      <w:r w:rsidRPr="003D01C3">
        <w:rPr>
          <w:rFonts w:asciiTheme="minorHAnsi" w:eastAsia="MS PGothic" w:hAnsiTheme="minorHAnsi"/>
          <w:i/>
          <w:iCs/>
          <w:color w:val="000000"/>
          <w:sz w:val="20"/>
          <w:lang w:val="pl-PL"/>
        </w:rPr>
        <w:t>Ave</w:t>
      </w:r>
      <w:proofErr w:type="spellEnd"/>
      <w:r w:rsidRPr="003D01C3">
        <w:rPr>
          <w:rFonts w:asciiTheme="minorHAnsi" w:eastAsia="MS PGothic" w:hAnsiTheme="minorHAnsi"/>
          <w:i/>
          <w:iCs/>
          <w:color w:val="000000"/>
          <w:sz w:val="20"/>
          <w:lang w:val="pl-PL"/>
        </w:rPr>
        <w:t>. 6, Rzeszów</w:t>
      </w:r>
    </w:p>
    <w:p w:rsidR="00704BDF" w:rsidRPr="003D01C3" w:rsidRDefault="00A71440" w:rsidP="00704BDF">
      <w:pPr>
        <w:snapToGrid w:val="0"/>
        <w:jc w:val="center"/>
        <w:rPr>
          <w:rFonts w:asciiTheme="minorHAnsi" w:eastAsia="MS PGothic" w:hAnsiTheme="minorHAnsi"/>
          <w:bCs/>
          <w:i/>
          <w:iCs/>
          <w:color w:val="000000"/>
          <w:sz w:val="20"/>
          <w:lang w:val="pl-PL"/>
        </w:rPr>
      </w:pPr>
      <w:r w:rsidRPr="003D01C3">
        <w:rPr>
          <w:rFonts w:asciiTheme="minorHAnsi" w:eastAsia="MS PGothic" w:hAnsiTheme="minorHAnsi"/>
          <w:bCs/>
          <w:i/>
          <w:iCs/>
          <w:color w:val="000000"/>
          <w:sz w:val="20"/>
          <w:lang w:val="pl-PL"/>
        </w:rPr>
        <w:t>*wmarek@prz.edu.pl</w:t>
      </w:r>
    </w:p>
    <w:p w:rsidR="00704BDF"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A71440" w:rsidP="00704BDF">
      <w:pPr>
        <w:pStyle w:val="AbstractBody"/>
        <w:numPr>
          <w:ilvl w:val="0"/>
          <w:numId w:val="16"/>
        </w:numPr>
        <w:rPr>
          <w:rFonts w:asciiTheme="minorHAnsi" w:hAnsiTheme="minorHAnsi"/>
        </w:rPr>
      </w:pPr>
      <w:r w:rsidRPr="00A71440">
        <w:rPr>
          <w:rFonts w:asciiTheme="minorHAnsi" w:hAnsiTheme="minorHAnsi"/>
        </w:rPr>
        <w:t>Aqueous Two-Phase</w:t>
      </w:r>
      <w:r w:rsidR="005350DC">
        <w:rPr>
          <w:rFonts w:asciiTheme="minorHAnsi" w:hAnsiTheme="minorHAnsi"/>
        </w:rPr>
        <w:t xml:space="preserve"> extraction</w:t>
      </w:r>
      <w:r w:rsidRPr="00A71440">
        <w:rPr>
          <w:rFonts w:asciiTheme="minorHAnsi" w:hAnsiTheme="minorHAnsi"/>
        </w:rPr>
        <w:t xml:space="preserve"> (ATPE) was </w:t>
      </w:r>
      <w:r w:rsidR="00D60872">
        <w:rPr>
          <w:rFonts w:asciiTheme="minorHAnsi" w:hAnsiTheme="minorHAnsi"/>
        </w:rPr>
        <w:t>applied</w:t>
      </w:r>
      <w:r w:rsidRPr="00A71440">
        <w:rPr>
          <w:rFonts w:asciiTheme="minorHAnsi" w:hAnsiTheme="minorHAnsi"/>
        </w:rPr>
        <w:t xml:space="preserve"> for purification of a monoclonal</w:t>
      </w:r>
      <w:r>
        <w:rPr>
          <w:rFonts w:ascii="Verdana" w:hAnsi="Verdana"/>
          <w:b/>
          <w:sz w:val="16"/>
        </w:rPr>
        <w:t xml:space="preserve"> </w:t>
      </w:r>
      <w:r w:rsidRPr="000174DA">
        <w:rPr>
          <w:rFonts w:asciiTheme="minorHAnsi" w:hAnsiTheme="minorHAnsi"/>
        </w:rPr>
        <w:t>antibody</w:t>
      </w:r>
      <w:r w:rsidR="000174DA">
        <w:rPr>
          <w:rFonts w:asciiTheme="minorHAnsi" w:hAnsiTheme="minorHAnsi"/>
        </w:rPr>
        <w:t>.</w:t>
      </w:r>
    </w:p>
    <w:p w:rsidR="00D60872" w:rsidRDefault="00D60872" w:rsidP="00704BDF">
      <w:pPr>
        <w:pStyle w:val="AbstractBody"/>
        <w:numPr>
          <w:ilvl w:val="0"/>
          <w:numId w:val="16"/>
        </w:numPr>
        <w:rPr>
          <w:rFonts w:asciiTheme="minorHAnsi" w:hAnsiTheme="minorHAnsi"/>
        </w:rPr>
      </w:pPr>
      <w:r>
        <w:rPr>
          <w:rFonts w:asciiTheme="minorHAnsi" w:hAnsiTheme="minorHAnsi"/>
        </w:rPr>
        <w:t xml:space="preserve">ATPS containing </w:t>
      </w:r>
      <w:r w:rsidRPr="00A71440">
        <w:rPr>
          <w:rFonts w:asciiTheme="minorHAnsi" w:hAnsiTheme="minorHAnsi"/>
        </w:rPr>
        <w:t xml:space="preserve">PEG and ammonium sulfate </w:t>
      </w:r>
      <w:r>
        <w:rPr>
          <w:rFonts w:asciiTheme="minorHAnsi" w:hAnsiTheme="minorHAnsi"/>
        </w:rPr>
        <w:t>was used.</w:t>
      </w:r>
    </w:p>
    <w:p w:rsidR="00704BDF" w:rsidRPr="00EC66CC" w:rsidRDefault="00A71440" w:rsidP="00704BDF">
      <w:pPr>
        <w:pStyle w:val="AbstractBody"/>
        <w:numPr>
          <w:ilvl w:val="0"/>
          <w:numId w:val="16"/>
        </w:numPr>
        <w:rPr>
          <w:rFonts w:asciiTheme="minorHAnsi" w:hAnsiTheme="minorHAnsi"/>
        </w:rPr>
      </w:pPr>
      <w:r w:rsidRPr="00A71440">
        <w:rPr>
          <w:rFonts w:asciiTheme="minorHAnsi" w:hAnsiTheme="minorHAnsi"/>
        </w:rPr>
        <w:t>The efficiency of</w:t>
      </w:r>
      <w:bookmarkStart w:id="0" w:name="_GoBack"/>
      <w:bookmarkEnd w:id="0"/>
      <w:r w:rsidRPr="00A71440">
        <w:rPr>
          <w:rFonts w:asciiTheme="minorHAnsi" w:hAnsiTheme="minorHAnsi"/>
        </w:rPr>
        <w:t xml:space="preserve"> a batch single-stage and multi-stage ATPE</w:t>
      </w:r>
      <w:r w:rsidR="006C78C5">
        <w:rPr>
          <w:rFonts w:asciiTheme="minorHAnsi" w:hAnsiTheme="minorHAnsi"/>
        </w:rPr>
        <w:t xml:space="preserve"> (CPC)</w:t>
      </w:r>
      <w:r w:rsidRPr="00A71440">
        <w:rPr>
          <w:rFonts w:asciiTheme="minorHAnsi" w:hAnsiTheme="minorHAnsi"/>
        </w:rPr>
        <w:t xml:space="preserve"> was compared.</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D69D9" w:rsidRDefault="00083438" w:rsidP="00BD69D9">
      <w:pPr>
        <w:snapToGrid w:val="0"/>
        <w:rPr>
          <w:rFonts w:asciiTheme="minorHAnsi" w:eastAsia="MS PGothic" w:hAnsiTheme="minorHAnsi"/>
          <w:color w:val="000000"/>
          <w:sz w:val="22"/>
          <w:szCs w:val="22"/>
          <w:lang w:val="en-US"/>
        </w:rPr>
      </w:pPr>
      <w:r w:rsidRPr="00083438">
        <w:rPr>
          <w:rFonts w:asciiTheme="minorHAnsi" w:eastAsia="MS PGothic" w:hAnsiTheme="minorHAnsi"/>
          <w:color w:val="000000"/>
          <w:sz w:val="22"/>
          <w:szCs w:val="22"/>
          <w:lang w:val="en-US"/>
        </w:rPr>
        <w:t xml:space="preserve">The most expensive step in downstream processing of monoclonal antibodies is protein A chromatography. Therefore, to reduce the cost of the chromatographic </w:t>
      </w:r>
      <w:r w:rsidR="00921D67">
        <w:rPr>
          <w:rFonts w:asciiTheme="minorHAnsi" w:eastAsia="MS PGothic" w:hAnsiTheme="minorHAnsi"/>
          <w:color w:val="000000"/>
          <w:sz w:val="22"/>
          <w:szCs w:val="22"/>
          <w:lang w:val="en-US"/>
        </w:rPr>
        <w:t>step</w:t>
      </w:r>
      <w:r w:rsidRPr="00083438">
        <w:rPr>
          <w:rFonts w:asciiTheme="minorHAnsi" w:eastAsia="MS PGothic" w:hAnsiTheme="minorHAnsi"/>
          <w:color w:val="000000"/>
          <w:sz w:val="22"/>
          <w:szCs w:val="22"/>
          <w:lang w:val="en-US"/>
        </w:rPr>
        <w:t xml:space="preserve">, an alternative </w:t>
      </w:r>
      <w:proofErr w:type="spellStart"/>
      <w:r w:rsidRPr="00083438">
        <w:rPr>
          <w:rFonts w:asciiTheme="minorHAnsi" w:eastAsia="MS PGothic" w:hAnsiTheme="minorHAnsi"/>
          <w:color w:val="000000"/>
          <w:sz w:val="22"/>
          <w:szCs w:val="22"/>
          <w:lang w:val="en-US"/>
        </w:rPr>
        <w:t>prepurification</w:t>
      </w:r>
      <w:proofErr w:type="spellEnd"/>
      <w:r w:rsidRPr="00083438">
        <w:rPr>
          <w:rFonts w:asciiTheme="minorHAnsi" w:eastAsia="MS PGothic" w:hAnsiTheme="minorHAnsi"/>
          <w:color w:val="000000"/>
          <w:sz w:val="22"/>
          <w:szCs w:val="22"/>
          <w:lang w:val="en-US"/>
        </w:rPr>
        <w:t xml:space="preserve"> method can be used. In this work, a method based on coupling aqueous two-phase extraction (ATPE) and centrifugal partition chromatography (CPC), which is a multistage-extraction process, was developed. The subject of the study was a CHO cell-culture supernatant (Harvest), which contained a monoclonal antibody IgG1. ATPE was used for clarification, concentration and capture of the target product and partial separation of impurities in one or two stages.</w:t>
      </w:r>
      <w:r>
        <w:rPr>
          <w:rFonts w:asciiTheme="minorHAnsi" w:eastAsia="MS PGothic" w:hAnsiTheme="minorHAnsi"/>
          <w:color w:val="000000"/>
          <w:sz w:val="22"/>
          <w:szCs w:val="22"/>
          <w:lang w:val="en-US"/>
        </w:rPr>
        <w:t xml:space="preserve"> </w:t>
      </w:r>
    </w:p>
    <w:p w:rsidR="00704BDF" w:rsidRDefault="00083438" w:rsidP="00BD69D9">
      <w:pPr>
        <w:snapToGrid w:val="0"/>
        <w:rPr>
          <w:rFonts w:asciiTheme="minorHAnsi" w:eastAsia="MS PGothic" w:hAnsiTheme="minorHAnsi"/>
          <w:color w:val="000000"/>
          <w:sz w:val="22"/>
          <w:szCs w:val="22"/>
          <w:lang w:val="en-US"/>
        </w:rPr>
      </w:pPr>
      <w:r w:rsidRPr="00083438">
        <w:rPr>
          <w:rFonts w:asciiTheme="minorHAnsi" w:eastAsia="MS PGothic" w:hAnsiTheme="minorHAnsi"/>
          <w:color w:val="000000"/>
          <w:sz w:val="22"/>
          <w:szCs w:val="22"/>
          <w:lang w:val="en-US"/>
        </w:rPr>
        <w:t>Alternatively, CPC, comprising several hundreds of extraction stages, was applied. The bottom phase (BP-1) produced in the first ATPE-stage (Fig. 1) was further processed in a CPC system (Fig. 2). Fractions collected from the ATPE (BP-1 and BP-2) and CPC (F-CPC) stages were analyzed by protein A chromatography (AC) and size exclusion chromatography (SEC) for the antibody concentration and purity</w:t>
      </w:r>
      <w:r w:rsidR="00704BDF" w:rsidRPr="008D0BEB">
        <w:rPr>
          <w:rFonts w:asciiTheme="minorHAnsi" w:eastAsia="MS PGothic" w:hAnsiTheme="minorHAnsi"/>
          <w:color w:val="000000"/>
          <w:sz w:val="22"/>
          <w:szCs w:val="22"/>
          <w:lang w:val="en-US"/>
        </w:rPr>
        <w:t>.</w:t>
      </w:r>
    </w:p>
    <w:p w:rsidR="00BD69D9" w:rsidRPr="008D0BEB" w:rsidRDefault="00BD69D9" w:rsidP="00BD69D9">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An optimization of the process was performed </w:t>
      </w:r>
      <w:r w:rsidR="003D01C3">
        <w:rPr>
          <w:rFonts w:asciiTheme="minorHAnsi" w:eastAsia="MS PGothic" w:hAnsiTheme="minorHAnsi"/>
          <w:color w:val="000000"/>
          <w:sz w:val="22"/>
          <w:szCs w:val="22"/>
          <w:lang w:val="en-US"/>
        </w:rPr>
        <w:t>subject to</w:t>
      </w:r>
      <w:r>
        <w:rPr>
          <w:rFonts w:asciiTheme="minorHAnsi" w:eastAsia="MS PGothic" w:hAnsiTheme="minorHAnsi"/>
          <w:color w:val="000000"/>
          <w:sz w:val="22"/>
          <w:szCs w:val="22"/>
          <w:lang w:val="en-US"/>
        </w:rPr>
        <w:t xml:space="preserve"> purity of the target product, the residence time (or flow rate of the mobile phase) and possibility of re</w:t>
      </w:r>
      <w:r w:rsidR="003D01C3">
        <w:rPr>
          <w:rFonts w:asciiTheme="minorHAnsi" w:eastAsia="MS PGothic" w:hAnsiTheme="minorHAnsi"/>
          <w:color w:val="000000"/>
          <w:sz w:val="22"/>
          <w:szCs w:val="22"/>
          <w:lang w:val="en-US"/>
        </w:rPr>
        <w:t>cycling</w:t>
      </w:r>
      <w:r>
        <w:rPr>
          <w:rFonts w:asciiTheme="minorHAnsi" w:eastAsia="MS PGothic" w:hAnsiTheme="minorHAnsi"/>
          <w:color w:val="000000"/>
          <w:sz w:val="22"/>
          <w:szCs w:val="22"/>
          <w:lang w:val="en-US"/>
        </w:rPr>
        <w:t xml:space="preserve"> of the ATPS-phases.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350DC" w:rsidRDefault="00083438" w:rsidP="005350DC">
      <w:pPr>
        <w:snapToGrid w:val="0"/>
        <w:rPr>
          <w:rFonts w:asciiTheme="minorHAnsi" w:eastAsia="MS PGothic" w:hAnsiTheme="minorHAnsi"/>
          <w:color w:val="000000"/>
          <w:sz w:val="22"/>
          <w:szCs w:val="22"/>
          <w:lang w:val="en-US"/>
        </w:rPr>
      </w:pPr>
      <w:r w:rsidRPr="00083438">
        <w:rPr>
          <w:rFonts w:asciiTheme="minorHAnsi" w:eastAsia="MS PGothic" w:hAnsiTheme="minorHAnsi"/>
          <w:color w:val="000000"/>
          <w:sz w:val="22"/>
          <w:szCs w:val="22"/>
          <w:lang w:val="en-US"/>
        </w:rPr>
        <w:t xml:space="preserve">ATPE and CPC were performed in systems containing polyethylene glycol (PEG, 3350 Da) and ammonium sulfate dissolved in water. The CPC mobile phase was the bottom phase from ATPE, whereas the CPC stationary phase was the ATPE-upper phase, the rotor speed was 1800 rpm, the rotor volume was 100 </w:t>
      </w:r>
      <w:proofErr w:type="spellStart"/>
      <w:r w:rsidRPr="00083438">
        <w:rPr>
          <w:rFonts w:asciiTheme="minorHAnsi" w:eastAsia="MS PGothic" w:hAnsiTheme="minorHAnsi"/>
          <w:color w:val="000000"/>
          <w:sz w:val="22"/>
          <w:szCs w:val="22"/>
          <w:lang w:val="en-US"/>
        </w:rPr>
        <w:t>mL.</w:t>
      </w:r>
      <w:proofErr w:type="spellEnd"/>
    </w:p>
    <w:p w:rsidR="005350DC" w:rsidRDefault="00083438" w:rsidP="005350DC">
      <w:pPr>
        <w:snapToGrid w:val="0"/>
        <w:rPr>
          <w:rFonts w:asciiTheme="minorHAnsi" w:eastAsia="MS PGothic" w:hAnsiTheme="minorHAnsi"/>
          <w:color w:val="000000"/>
          <w:sz w:val="22"/>
          <w:szCs w:val="22"/>
          <w:lang w:val="en-US"/>
        </w:rPr>
      </w:pPr>
      <w:r w:rsidRPr="00083438">
        <w:rPr>
          <w:rFonts w:asciiTheme="minorHAnsi" w:eastAsia="MS PGothic" w:hAnsiTheme="minorHAnsi"/>
          <w:color w:val="000000"/>
          <w:sz w:val="22"/>
          <w:szCs w:val="22"/>
          <w:lang w:val="en-US"/>
        </w:rPr>
        <w:t xml:space="preserve">The </w:t>
      </w:r>
      <w:r w:rsidRPr="00F25D15">
        <w:rPr>
          <w:rFonts w:asciiTheme="minorHAnsi" w:eastAsia="MS PGothic" w:hAnsiTheme="minorHAnsi"/>
          <w:i/>
          <w:color w:val="000000"/>
          <w:sz w:val="22"/>
          <w:szCs w:val="22"/>
          <w:lang w:val="en-US"/>
        </w:rPr>
        <w:t>SEC purity</w:t>
      </w:r>
      <w:r w:rsidRPr="00083438">
        <w:rPr>
          <w:rFonts w:asciiTheme="minorHAnsi" w:eastAsia="MS PGothic" w:hAnsiTheme="minorHAnsi"/>
          <w:color w:val="000000"/>
          <w:sz w:val="22"/>
          <w:szCs w:val="22"/>
          <w:lang w:val="en-US"/>
        </w:rPr>
        <w:t xml:space="preserve"> was calculated as the ratio of the peak area recorded for the IgG monomer and the sum of the area of IgG peak and peaks of all impurities.</w:t>
      </w:r>
    </w:p>
    <w:p w:rsidR="00704BDF" w:rsidRDefault="00083438" w:rsidP="00083438">
      <w:pPr>
        <w:snapToGrid w:val="0"/>
        <w:spacing w:after="120"/>
        <w:rPr>
          <w:rFonts w:asciiTheme="minorHAnsi" w:eastAsia="MS PGothic" w:hAnsiTheme="minorHAnsi"/>
          <w:color w:val="000000"/>
          <w:sz w:val="22"/>
          <w:szCs w:val="22"/>
          <w:lang w:val="en-US"/>
        </w:rPr>
      </w:pPr>
      <w:r w:rsidRPr="00083438">
        <w:rPr>
          <w:rFonts w:asciiTheme="minorHAnsi" w:eastAsia="MS PGothic" w:hAnsiTheme="minorHAnsi"/>
          <w:color w:val="000000"/>
          <w:sz w:val="22"/>
          <w:szCs w:val="22"/>
          <w:lang w:val="en-US"/>
        </w:rPr>
        <w:t xml:space="preserve">The </w:t>
      </w:r>
      <w:r w:rsidRPr="00F25D15">
        <w:rPr>
          <w:rFonts w:asciiTheme="minorHAnsi" w:eastAsia="MS PGothic" w:hAnsiTheme="minorHAnsi"/>
          <w:i/>
          <w:color w:val="000000"/>
          <w:sz w:val="22"/>
          <w:szCs w:val="22"/>
          <w:lang w:val="en-US"/>
        </w:rPr>
        <w:t>level of impurities</w:t>
      </w:r>
      <w:r w:rsidRPr="00083438">
        <w:rPr>
          <w:rFonts w:asciiTheme="minorHAnsi" w:eastAsia="MS PGothic" w:hAnsiTheme="minorHAnsi"/>
          <w:color w:val="000000"/>
          <w:sz w:val="22"/>
          <w:szCs w:val="22"/>
          <w:lang w:val="en-US"/>
        </w:rPr>
        <w:t xml:space="preserve"> in the factions was determined from the AC analysis as the area of the flow-through peak (FT) divided by the area of the FT-peak received for BP-1</w:t>
      </w:r>
      <w:r w:rsidR="00704BDF" w:rsidRPr="008D0BEB">
        <w:rPr>
          <w:rFonts w:asciiTheme="minorHAnsi" w:eastAsia="MS PGothic" w:hAnsiTheme="minorHAnsi"/>
          <w:color w:val="000000"/>
          <w:sz w:val="22"/>
          <w:szCs w:val="22"/>
          <w:lang w:val="en-US"/>
        </w:rPr>
        <w:t>.</w:t>
      </w:r>
    </w:p>
    <w:p w:rsidR="00646051" w:rsidRPr="008D0BEB" w:rsidRDefault="00646051" w:rsidP="00083438">
      <w:pPr>
        <w:snapToGrid w:val="0"/>
        <w:spacing w:after="120"/>
        <w:rPr>
          <w:rFonts w:asciiTheme="minorHAnsi" w:eastAsia="MS PGothic" w:hAnsiTheme="minorHAnsi"/>
          <w:i/>
          <w:color w:val="000000"/>
          <w:sz w:val="22"/>
          <w:szCs w:val="22"/>
          <w:lang w:val="en-US"/>
        </w:rPr>
      </w:pPr>
    </w:p>
    <w:p w:rsidR="00EA0877" w:rsidRDefault="00EA0877" w:rsidP="00083438">
      <w:pPr>
        <w:snapToGrid w:val="0"/>
        <w:spacing w:after="120"/>
        <w:rPr>
          <w:rFonts w:asciiTheme="minorHAnsi" w:eastAsia="MS PGothic" w:hAnsiTheme="minorHAnsi"/>
          <w:color w:val="000000"/>
          <w:sz w:val="22"/>
          <w:szCs w:val="22"/>
          <w:lang w:val="en-US"/>
        </w:rPr>
        <w:sectPr w:rsidR="00EA0877" w:rsidSect="002065DB">
          <w:type w:val="continuous"/>
          <w:pgSz w:w="11906" w:h="16838" w:code="9"/>
          <w:pgMar w:top="2552" w:right="1418" w:bottom="1134" w:left="1701" w:header="1128" w:footer="0" w:gutter="0"/>
          <w:cols w:space="708"/>
          <w:formProt w:val="0"/>
          <w:titlePg/>
          <w:docGrid w:linePitch="360"/>
        </w:sectPr>
      </w:pPr>
    </w:p>
    <w:p w:rsidR="00083438" w:rsidRDefault="00083438" w:rsidP="00083438">
      <w:pPr>
        <w:widowControl w:val="0"/>
        <w:spacing w:line="240" w:lineRule="auto"/>
        <w:ind w:firstLine="284"/>
        <w:jc w:val="center"/>
        <w:rPr>
          <w:rFonts w:ascii="Times New Roman" w:hAnsi="Times New Roman"/>
        </w:rPr>
      </w:pPr>
      <w:r w:rsidRPr="0028708B">
        <w:rPr>
          <w:noProof/>
          <w:lang w:val="pl-PL" w:eastAsia="pl-PL"/>
        </w:rPr>
        <w:lastRenderedPageBreak/>
        <w:drawing>
          <wp:inline distT="0" distB="0" distL="0" distR="0">
            <wp:extent cx="1333500" cy="1962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962150"/>
                    </a:xfrm>
                    <a:prstGeom prst="rect">
                      <a:avLst/>
                    </a:prstGeom>
                    <a:noFill/>
                    <a:ln>
                      <a:noFill/>
                    </a:ln>
                  </pic:spPr>
                </pic:pic>
              </a:graphicData>
            </a:graphic>
          </wp:inline>
        </w:drawing>
      </w:r>
    </w:p>
    <w:p w:rsidR="00083438" w:rsidRDefault="00083438" w:rsidP="00083438">
      <w:pPr>
        <w:widowControl w:val="0"/>
        <w:spacing w:line="240" w:lineRule="auto"/>
        <w:ind w:firstLine="284"/>
        <w:rPr>
          <w:rFonts w:ascii="Times New Roman" w:hAnsi="Times New Roman"/>
        </w:rPr>
      </w:pPr>
    </w:p>
    <w:p w:rsidR="00083438" w:rsidRPr="005350DC" w:rsidRDefault="00083438" w:rsidP="005350DC">
      <w:pPr>
        <w:snapToGrid w:val="0"/>
        <w:spacing w:after="120"/>
        <w:jc w:val="center"/>
        <w:rPr>
          <w:rFonts w:asciiTheme="minorHAnsi" w:eastAsia="MS PGothic" w:hAnsiTheme="minorHAnsi"/>
          <w:color w:val="000000"/>
          <w:szCs w:val="18"/>
          <w:lang w:val="en-US"/>
        </w:rPr>
      </w:pPr>
      <w:r w:rsidRPr="005350DC">
        <w:rPr>
          <w:rFonts w:asciiTheme="minorHAnsi" w:eastAsia="MS PGothic" w:hAnsiTheme="minorHAnsi"/>
          <w:b/>
          <w:color w:val="000000"/>
          <w:szCs w:val="18"/>
          <w:lang w:val="en-US"/>
        </w:rPr>
        <w:t>Figure 1</w:t>
      </w:r>
      <w:r w:rsidRPr="005350DC">
        <w:rPr>
          <w:rFonts w:asciiTheme="minorHAnsi" w:eastAsia="MS PGothic" w:hAnsiTheme="minorHAnsi"/>
          <w:color w:val="000000"/>
          <w:szCs w:val="18"/>
          <w:lang w:val="en-US"/>
        </w:rPr>
        <w:t xml:space="preserve">. Single-stage batch extraction for </w:t>
      </w:r>
      <w:r w:rsidR="007A1B74">
        <w:rPr>
          <w:rFonts w:asciiTheme="minorHAnsi" w:eastAsia="MS PGothic" w:hAnsiTheme="minorHAnsi"/>
          <w:color w:val="000000"/>
          <w:szCs w:val="18"/>
          <w:lang w:val="en-US"/>
        </w:rPr>
        <w:t>antibody</w:t>
      </w:r>
      <w:r w:rsidRPr="005350DC">
        <w:rPr>
          <w:rFonts w:asciiTheme="minorHAnsi" w:eastAsia="MS PGothic" w:hAnsiTheme="minorHAnsi"/>
          <w:color w:val="000000"/>
          <w:szCs w:val="18"/>
          <w:lang w:val="en-US"/>
        </w:rPr>
        <w:t xml:space="preserve"> capture and precipitation of impurities</w:t>
      </w:r>
    </w:p>
    <w:p w:rsidR="00083438" w:rsidRDefault="00083438" w:rsidP="00083438">
      <w:pPr>
        <w:widowControl w:val="0"/>
        <w:tabs>
          <w:tab w:val="center" w:pos="2552"/>
          <w:tab w:val="left" w:pos="5103"/>
        </w:tabs>
        <w:spacing w:line="240" w:lineRule="auto"/>
        <w:jc w:val="center"/>
        <w:rPr>
          <w:rFonts w:ascii="Times New Roman" w:hAnsi="Times New Roman"/>
        </w:rPr>
      </w:pPr>
    </w:p>
    <w:p w:rsidR="00083438" w:rsidRPr="00A0126E" w:rsidRDefault="005350DC" w:rsidP="00083438">
      <w:pPr>
        <w:widowControl w:val="0"/>
        <w:spacing w:line="240" w:lineRule="auto"/>
        <w:jc w:val="center"/>
        <w:rPr>
          <w:rFonts w:ascii="Times New Roman" w:hAnsi="Times New Roman"/>
        </w:rPr>
      </w:pPr>
      <w:r w:rsidRPr="003E34EF">
        <w:rPr>
          <w:rFonts w:asciiTheme="minorHAnsi" w:eastAsia="MS PGothic" w:hAnsiTheme="minorHAnsi"/>
          <w:noProof/>
          <w:color w:val="000000"/>
          <w:sz w:val="22"/>
          <w:szCs w:val="22"/>
          <w:lang w:val="pl-PL" w:eastAsia="pl-PL"/>
        </w:rPr>
        <w:drawing>
          <wp:inline distT="0" distB="0" distL="0" distR="0" wp14:anchorId="08273859" wp14:editId="63A953B8">
            <wp:extent cx="2428875" cy="2080314"/>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11"/>
                    <a:stretch>
                      <a:fillRect/>
                    </a:stretch>
                  </pic:blipFill>
                  <pic:spPr>
                    <a:xfrm>
                      <a:off x="0" y="0"/>
                      <a:ext cx="2442929" cy="2092351"/>
                    </a:xfrm>
                    <a:prstGeom prst="rect">
                      <a:avLst/>
                    </a:prstGeom>
                  </pic:spPr>
                </pic:pic>
              </a:graphicData>
            </a:graphic>
          </wp:inline>
        </w:drawing>
      </w:r>
    </w:p>
    <w:p w:rsidR="00083438" w:rsidRPr="005350DC" w:rsidRDefault="00083438" w:rsidP="005350DC">
      <w:pPr>
        <w:snapToGrid w:val="0"/>
        <w:spacing w:after="120"/>
        <w:jc w:val="center"/>
        <w:rPr>
          <w:rFonts w:asciiTheme="minorHAnsi" w:eastAsia="MS PGothic" w:hAnsiTheme="minorHAnsi"/>
          <w:color w:val="000000"/>
          <w:szCs w:val="22"/>
          <w:lang w:val="en-US"/>
        </w:rPr>
      </w:pPr>
      <w:r w:rsidRPr="005350DC">
        <w:rPr>
          <w:rFonts w:asciiTheme="minorHAnsi" w:eastAsia="MS PGothic" w:hAnsiTheme="minorHAnsi"/>
          <w:b/>
          <w:color w:val="000000"/>
          <w:szCs w:val="18"/>
          <w:lang w:val="en-US"/>
        </w:rPr>
        <w:t>Figure 2</w:t>
      </w:r>
      <w:r w:rsidRPr="005350DC">
        <w:rPr>
          <w:rFonts w:asciiTheme="minorHAnsi" w:eastAsia="MS PGothic" w:hAnsiTheme="minorHAnsi"/>
          <w:color w:val="000000"/>
          <w:szCs w:val="18"/>
          <w:lang w:val="en-US"/>
        </w:rPr>
        <w:t xml:space="preserve">. </w:t>
      </w:r>
      <w:r w:rsidR="006C78C5">
        <w:rPr>
          <w:rFonts w:asciiTheme="minorHAnsi" w:eastAsia="MS PGothic" w:hAnsiTheme="minorHAnsi"/>
          <w:color w:val="000000"/>
          <w:szCs w:val="18"/>
          <w:lang w:val="en-US"/>
        </w:rPr>
        <w:t>Example of a c</w:t>
      </w:r>
      <w:r w:rsidRPr="005350DC">
        <w:rPr>
          <w:rFonts w:asciiTheme="minorHAnsi" w:eastAsia="MS PGothic" w:hAnsiTheme="minorHAnsi"/>
          <w:color w:val="000000"/>
          <w:szCs w:val="18"/>
          <w:lang w:val="en-US"/>
        </w:rPr>
        <w:t>hromatogram from CPC purification of the ATPE-bottom phase BP-1. F-CPC – fraction of the target protein</w:t>
      </w:r>
    </w:p>
    <w:p w:rsidR="00EA0877" w:rsidRDefault="00EA0877" w:rsidP="00083438">
      <w:pPr>
        <w:snapToGrid w:val="0"/>
        <w:spacing w:after="120"/>
        <w:rPr>
          <w:rFonts w:asciiTheme="minorHAnsi" w:eastAsia="MS PGothic" w:hAnsiTheme="minorHAnsi"/>
          <w:color w:val="000000"/>
          <w:sz w:val="22"/>
          <w:szCs w:val="22"/>
          <w:lang w:val="en-US"/>
        </w:rPr>
        <w:sectPr w:rsidR="00EA0877" w:rsidSect="006C78C5">
          <w:type w:val="continuous"/>
          <w:pgSz w:w="11906" w:h="16838" w:code="9"/>
          <w:pgMar w:top="2552" w:right="1418" w:bottom="1134" w:left="1701" w:header="1128" w:footer="0" w:gutter="0"/>
          <w:cols w:num="2" w:space="281"/>
          <w:formProt w:val="0"/>
          <w:titlePg/>
          <w:docGrid w:linePitch="360"/>
        </w:sectPr>
      </w:pPr>
    </w:p>
    <w:p w:rsidR="00646051" w:rsidRPr="008D0BEB" w:rsidRDefault="00646051" w:rsidP="00646051">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646051" w:rsidRDefault="00646051" w:rsidP="00F25D15">
      <w:pPr>
        <w:snapToGrid w:val="0"/>
        <w:rPr>
          <w:rFonts w:asciiTheme="minorHAnsi" w:eastAsia="MS PGothic" w:hAnsiTheme="minorHAnsi"/>
          <w:color w:val="000000"/>
          <w:sz w:val="22"/>
          <w:szCs w:val="22"/>
          <w:lang w:val="en-US"/>
        </w:rPr>
      </w:pPr>
      <w:r w:rsidRPr="00083438">
        <w:rPr>
          <w:rFonts w:asciiTheme="minorHAnsi" w:eastAsia="MS PGothic" w:hAnsiTheme="minorHAnsi"/>
          <w:color w:val="000000"/>
          <w:sz w:val="22"/>
          <w:szCs w:val="22"/>
          <w:lang w:val="en-US"/>
        </w:rPr>
        <w:t xml:space="preserve">Impurities with low solubility were precipitated and removed in the first </w:t>
      </w:r>
      <w:r w:rsidR="00F8606D" w:rsidRPr="00083438">
        <w:rPr>
          <w:rFonts w:asciiTheme="minorHAnsi" w:eastAsia="MS PGothic" w:hAnsiTheme="minorHAnsi"/>
          <w:color w:val="000000"/>
          <w:sz w:val="22"/>
          <w:szCs w:val="22"/>
          <w:lang w:val="en-US"/>
        </w:rPr>
        <w:t>ATPE</w:t>
      </w:r>
      <w:r w:rsidR="00F8606D">
        <w:rPr>
          <w:rFonts w:asciiTheme="minorHAnsi" w:eastAsia="MS PGothic" w:hAnsiTheme="minorHAnsi"/>
          <w:color w:val="000000"/>
          <w:sz w:val="22"/>
          <w:szCs w:val="22"/>
          <w:lang w:val="en-US"/>
        </w:rPr>
        <w:t>-</w:t>
      </w:r>
      <w:r w:rsidRPr="00083438">
        <w:rPr>
          <w:rFonts w:asciiTheme="minorHAnsi" w:eastAsia="MS PGothic" w:hAnsiTheme="minorHAnsi"/>
          <w:color w:val="000000"/>
          <w:sz w:val="22"/>
          <w:szCs w:val="22"/>
          <w:lang w:val="en-US"/>
        </w:rPr>
        <w:t>stage</w:t>
      </w:r>
      <w:r w:rsidR="00F8606D">
        <w:rPr>
          <w:rFonts w:asciiTheme="minorHAnsi" w:eastAsia="MS PGothic" w:hAnsiTheme="minorHAnsi"/>
          <w:color w:val="000000"/>
          <w:sz w:val="22"/>
          <w:szCs w:val="22"/>
          <w:lang w:val="en-US"/>
        </w:rPr>
        <w:t>, in which extraction was accompanied with precipitation of impurities</w:t>
      </w:r>
      <w:r w:rsidRPr="00083438">
        <w:rPr>
          <w:rFonts w:asciiTheme="minorHAnsi" w:eastAsia="MS PGothic" w:hAnsiTheme="minorHAnsi"/>
          <w:color w:val="000000"/>
          <w:sz w:val="22"/>
          <w:szCs w:val="22"/>
          <w:lang w:val="en-US"/>
        </w:rPr>
        <w:t xml:space="preserve"> (Fig.1). The bottom phase (BP-1), contained the target product (IgG1), and a high amount of impurities. That amount was reduced by ca. 40% after purification in the second ATPE-stage (see BP-2 in Table 1). Processing of BP-1 by </w:t>
      </w:r>
      <w:r w:rsidR="00F8606D">
        <w:rPr>
          <w:rFonts w:asciiTheme="minorHAnsi" w:eastAsia="MS PGothic" w:hAnsiTheme="minorHAnsi"/>
          <w:color w:val="000000"/>
          <w:sz w:val="22"/>
          <w:szCs w:val="22"/>
          <w:lang w:val="en-US"/>
        </w:rPr>
        <w:t xml:space="preserve">CPC </w:t>
      </w:r>
      <w:r w:rsidRPr="00083438">
        <w:rPr>
          <w:rFonts w:asciiTheme="minorHAnsi" w:eastAsia="MS PGothic" w:hAnsiTheme="minorHAnsi"/>
          <w:color w:val="000000"/>
          <w:sz w:val="22"/>
          <w:szCs w:val="22"/>
          <w:lang w:val="en-US"/>
        </w:rPr>
        <w:t>allowed us to further reduce the level of impurities by more than 80%. The fractions of the target product collected after two ATPE-stages and after CPC were analyzed by SEC. They contained low molecular weight impurities and very low amount of IgG-aggregates (&lt;1%).</w:t>
      </w:r>
    </w:p>
    <w:p w:rsidR="00F25D15" w:rsidRDefault="004041EA" w:rsidP="00646051">
      <w:pPr>
        <w:snapToGrid w:val="0"/>
        <w:spacing w:after="120"/>
        <w:rPr>
          <w:rFonts w:asciiTheme="minorHAnsi" w:eastAsia="MS PGothic" w:hAnsiTheme="minorHAnsi"/>
          <w:b/>
          <w:color w:val="000000"/>
          <w:szCs w:val="18"/>
          <w:lang w:val="en-US"/>
        </w:rPr>
      </w:pPr>
      <w:r>
        <w:rPr>
          <w:rFonts w:asciiTheme="minorHAnsi" w:eastAsia="MS PGothic" w:hAnsiTheme="minorHAnsi"/>
          <w:color w:val="000000"/>
          <w:sz w:val="22"/>
          <w:szCs w:val="22"/>
          <w:lang w:val="en-US"/>
        </w:rPr>
        <w:t>The</w:t>
      </w:r>
      <w:r w:rsidR="00956A2E">
        <w:rPr>
          <w:rFonts w:asciiTheme="minorHAnsi" w:eastAsia="MS PGothic" w:hAnsiTheme="minorHAnsi"/>
          <w:color w:val="000000"/>
          <w:sz w:val="22"/>
          <w:szCs w:val="22"/>
          <w:lang w:val="en-US"/>
        </w:rPr>
        <w:t xml:space="preserve"> CPC stationary and mobile phase</w:t>
      </w:r>
      <w:r>
        <w:rPr>
          <w:rFonts w:asciiTheme="minorHAnsi" w:eastAsia="MS PGothic" w:hAnsiTheme="minorHAnsi"/>
          <w:color w:val="000000"/>
          <w:sz w:val="22"/>
          <w:szCs w:val="22"/>
          <w:lang w:val="en-US"/>
        </w:rPr>
        <w:t>s</w:t>
      </w:r>
      <w:r w:rsidR="00956A2E">
        <w:rPr>
          <w:rFonts w:asciiTheme="minorHAnsi" w:eastAsia="MS PGothic" w:hAnsiTheme="minorHAnsi"/>
          <w:color w:val="000000"/>
          <w:sz w:val="22"/>
          <w:szCs w:val="22"/>
          <w:lang w:val="en-US"/>
        </w:rPr>
        <w:t xml:space="preserve"> (without the target product) </w:t>
      </w:r>
      <w:r w:rsidR="00F8606D">
        <w:rPr>
          <w:rFonts w:asciiTheme="minorHAnsi" w:eastAsia="MS PGothic" w:hAnsiTheme="minorHAnsi"/>
          <w:color w:val="000000"/>
          <w:sz w:val="22"/>
          <w:szCs w:val="22"/>
          <w:lang w:val="en-US"/>
        </w:rPr>
        <w:t>were</w:t>
      </w:r>
      <w:r w:rsidR="00956A2E">
        <w:rPr>
          <w:rFonts w:asciiTheme="minorHAnsi" w:eastAsia="MS PGothic" w:hAnsiTheme="minorHAnsi"/>
          <w:color w:val="000000"/>
          <w:sz w:val="22"/>
          <w:szCs w:val="22"/>
          <w:lang w:val="en-US"/>
        </w:rPr>
        <w:t xml:space="preserve"> reused in the first ATPE-stage preceding CPC. </w:t>
      </w:r>
      <w:r w:rsidR="00F8606D">
        <w:rPr>
          <w:rFonts w:asciiTheme="minorHAnsi" w:eastAsia="MS PGothic" w:hAnsiTheme="minorHAnsi"/>
          <w:color w:val="000000"/>
          <w:sz w:val="22"/>
          <w:szCs w:val="22"/>
          <w:lang w:val="en-US"/>
        </w:rPr>
        <w:t xml:space="preserve">In case of </w:t>
      </w:r>
      <w:r w:rsidR="00197145">
        <w:rPr>
          <w:rFonts w:asciiTheme="minorHAnsi" w:eastAsia="MS PGothic" w:hAnsiTheme="minorHAnsi"/>
          <w:color w:val="000000"/>
          <w:sz w:val="22"/>
          <w:szCs w:val="22"/>
          <w:lang w:val="en-US"/>
        </w:rPr>
        <w:t>batch</w:t>
      </w:r>
      <w:r w:rsidR="00F8606D">
        <w:rPr>
          <w:rFonts w:asciiTheme="minorHAnsi" w:eastAsia="MS PGothic" w:hAnsiTheme="minorHAnsi"/>
          <w:color w:val="000000"/>
          <w:sz w:val="22"/>
          <w:szCs w:val="22"/>
          <w:lang w:val="en-US"/>
        </w:rPr>
        <w:t xml:space="preserve"> ATPE-</w:t>
      </w:r>
      <w:r w:rsidR="00956A2E">
        <w:rPr>
          <w:rFonts w:asciiTheme="minorHAnsi" w:eastAsia="MS PGothic" w:hAnsiTheme="minorHAnsi"/>
          <w:color w:val="000000"/>
          <w:sz w:val="22"/>
          <w:szCs w:val="22"/>
          <w:lang w:val="en-US"/>
        </w:rPr>
        <w:t xml:space="preserve">extraction </w:t>
      </w:r>
      <w:r w:rsidR="00197145">
        <w:rPr>
          <w:rFonts w:asciiTheme="minorHAnsi" w:eastAsia="MS PGothic" w:hAnsiTheme="minorHAnsi"/>
          <w:color w:val="000000"/>
          <w:sz w:val="22"/>
          <w:szCs w:val="22"/>
          <w:lang w:val="en-US"/>
        </w:rPr>
        <w:t xml:space="preserve">stages </w:t>
      </w:r>
      <w:r w:rsidR="00956A2E">
        <w:rPr>
          <w:rFonts w:asciiTheme="minorHAnsi" w:eastAsia="MS PGothic" w:hAnsiTheme="minorHAnsi"/>
          <w:color w:val="000000"/>
          <w:sz w:val="22"/>
          <w:szCs w:val="22"/>
          <w:lang w:val="en-US"/>
        </w:rPr>
        <w:t>only the</w:t>
      </w:r>
      <w:r w:rsidR="00F25D15">
        <w:rPr>
          <w:rFonts w:asciiTheme="minorHAnsi" w:eastAsia="MS PGothic" w:hAnsiTheme="minorHAnsi"/>
          <w:color w:val="000000"/>
          <w:sz w:val="22"/>
          <w:szCs w:val="22"/>
          <w:lang w:val="en-US"/>
        </w:rPr>
        <w:t xml:space="preserve"> upper phase</w:t>
      </w:r>
      <w:r w:rsidR="00956A2E">
        <w:rPr>
          <w:rFonts w:asciiTheme="minorHAnsi" w:eastAsia="MS PGothic" w:hAnsiTheme="minorHAnsi"/>
          <w:color w:val="000000"/>
          <w:sz w:val="22"/>
          <w:szCs w:val="22"/>
          <w:lang w:val="en-US"/>
        </w:rPr>
        <w:t xml:space="preserve"> (e.g. BP-2) </w:t>
      </w:r>
      <w:r w:rsidR="00F8606D">
        <w:rPr>
          <w:rFonts w:asciiTheme="minorHAnsi" w:eastAsia="MS PGothic" w:hAnsiTheme="minorHAnsi"/>
          <w:color w:val="000000"/>
          <w:sz w:val="22"/>
          <w:szCs w:val="22"/>
          <w:lang w:val="en-US"/>
        </w:rPr>
        <w:t>was</w:t>
      </w:r>
      <w:r w:rsidR="00956A2E">
        <w:rPr>
          <w:rFonts w:asciiTheme="minorHAnsi" w:eastAsia="MS PGothic" w:hAnsiTheme="minorHAnsi"/>
          <w:color w:val="000000"/>
          <w:sz w:val="22"/>
          <w:szCs w:val="22"/>
          <w:lang w:val="en-US"/>
        </w:rPr>
        <w:t xml:space="preserve"> </w:t>
      </w:r>
      <w:r w:rsidR="00F8606D">
        <w:rPr>
          <w:rFonts w:asciiTheme="minorHAnsi" w:eastAsia="MS PGothic" w:hAnsiTheme="minorHAnsi"/>
          <w:color w:val="000000"/>
          <w:sz w:val="22"/>
          <w:szCs w:val="22"/>
          <w:lang w:val="en-US"/>
        </w:rPr>
        <w:t>recycled</w:t>
      </w:r>
      <w:r w:rsidR="00956A2E">
        <w:rPr>
          <w:rFonts w:asciiTheme="minorHAnsi" w:eastAsia="MS PGothic" w:hAnsiTheme="minorHAnsi"/>
          <w:color w:val="000000"/>
          <w:sz w:val="22"/>
          <w:szCs w:val="22"/>
          <w:lang w:val="en-US"/>
        </w:rPr>
        <w:t>.</w:t>
      </w:r>
      <w:r w:rsidR="00F8606D">
        <w:rPr>
          <w:rFonts w:asciiTheme="minorHAnsi" w:eastAsia="MS PGothic" w:hAnsiTheme="minorHAnsi"/>
          <w:color w:val="000000"/>
          <w:sz w:val="22"/>
          <w:szCs w:val="22"/>
          <w:lang w:val="en-US"/>
        </w:rPr>
        <w:t xml:space="preserve"> The recycling conditions were optimized to reduce the solvent consumption.</w:t>
      </w:r>
    </w:p>
    <w:p w:rsidR="00083438" w:rsidRPr="00083438" w:rsidRDefault="00083438" w:rsidP="00083438">
      <w:pPr>
        <w:snapToGrid w:val="0"/>
        <w:spacing w:after="120"/>
        <w:jc w:val="center"/>
        <w:rPr>
          <w:rFonts w:asciiTheme="minorHAnsi" w:eastAsia="MS PGothic" w:hAnsiTheme="minorHAnsi"/>
          <w:color w:val="000000"/>
          <w:szCs w:val="18"/>
          <w:lang w:val="en-US"/>
        </w:rPr>
      </w:pPr>
      <w:r w:rsidRPr="00083438">
        <w:rPr>
          <w:rFonts w:asciiTheme="minorHAnsi" w:eastAsia="MS PGothic" w:hAnsiTheme="minorHAnsi"/>
          <w:b/>
          <w:color w:val="000000"/>
          <w:szCs w:val="18"/>
          <w:lang w:val="en-US"/>
        </w:rPr>
        <w:t>Table 1</w:t>
      </w:r>
      <w:r w:rsidRPr="00083438">
        <w:rPr>
          <w:rFonts w:asciiTheme="minorHAnsi" w:eastAsia="MS PGothic" w:hAnsiTheme="minorHAnsi"/>
          <w:color w:val="000000"/>
          <w:szCs w:val="18"/>
          <w:lang w:val="en-US"/>
        </w:rPr>
        <w:t>. Purity of the target product fractions. The level of impurities was referred to BP-1 (assigned as 100%), BP-2 is the bottom phase fraction after the second ATPE-stage, F-CPC is the fraction collected after CPC</w:t>
      </w:r>
      <w:r w:rsidR="00F8606D">
        <w:rPr>
          <w:rFonts w:asciiTheme="minorHAnsi" w:eastAsia="MS PGothic" w:hAnsiTheme="minorHAnsi"/>
          <w:color w:val="000000"/>
          <w:szCs w:val="18"/>
          <w:lang w:val="en-US"/>
        </w:rPr>
        <w:t>.</w:t>
      </w:r>
    </w:p>
    <w:tbl>
      <w:tblPr>
        <w:tblW w:w="0" w:type="auto"/>
        <w:jc w:val="center"/>
        <w:tblBorders>
          <w:top w:val="single" w:sz="8" w:space="0" w:color="000000"/>
          <w:bottom w:val="single" w:sz="8" w:space="0" w:color="000000"/>
          <w:insideH w:val="single" w:sz="8" w:space="0" w:color="000000"/>
        </w:tblBorders>
        <w:tblLayout w:type="fixed"/>
        <w:tblCellMar>
          <w:left w:w="0" w:type="dxa"/>
          <w:right w:w="0" w:type="dxa"/>
        </w:tblCellMar>
        <w:tblLook w:val="04A0" w:firstRow="1" w:lastRow="0" w:firstColumn="1" w:lastColumn="0" w:noHBand="0" w:noVBand="1"/>
      </w:tblPr>
      <w:tblGrid>
        <w:gridCol w:w="1504"/>
        <w:gridCol w:w="1002"/>
        <w:gridCol w:w="966"/>
        <w:gridCol w:w="1108"/>
      </w:tblGrid>
      <w:tr w:rsidR="00083438" w:rsidRPr="00083438" w:rsidTr="00EF2500">
        <w:trPr>
          <w:trHeight w:val="150"/>
          <w:jc w:val="center"/>
        </w:trPr>
        <w:tc>
          <w:tcPr>
            <w:tcW w:w="1504" w:type="dxa"/>
            <w:shd w:val="clear" w:color="auto" w:fill="auto"/>
            <w:tcMar>
              <w:top w:w="15" w:type="dxa"/>
              <w:left w:w="314" w:type="dxa"/>
              <w:bottom w:w="0" w:type="dxa"/>
              <w:right w:w="314" w:type="dxa"/>
            </w:tcMar>
            <w:vAlign w:val="center"/>
            <w:hideMark/>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b/>
                <w:bCs/>
                <w:sz w:val="16"/>
              </w:rPr>
              <w:t>Fractions</w:t>
            </w:r>
          </w:p>
        </w:tc>
        <w:tc>
          <w:tcPr>
            <w:tcW w:w="1002" w:type="dxa"/>
            <w:shd w:val="clear" w:color="auto" w:fill="auto"/>
            <w:tcMar>
              <w:top w:w="15" w:type="dxa"/>
              <w:left w:w="314" w:type="dxa"/>
              <w:bottom w:w="0" w:type="dxa"/>
              <w:right w:w="314" w:type="dxa"/>
            </w:tcMar>
            <w:vAlign w:val="center"/>
            <w:hideMark/>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b/>
                <w:bCs/>
                <w:sz w:val="16"/>
              </w:rPr>
              <w:t>BP-1</w:t>
            </w:r>
          </w:p>
        </w:tc>
        <w:tc>
          <w:tcPr>
            <w:tcW w:w="966" w:type="dxa"/>
            <w:shd w:val="clear" w:color="auto" w:fill="auto"/>
            <w:tcMar>
              <w:top w:w="15" w:type="dxa"/>
              <w:left w:w="314" w:type="dxa"/>
              <w:bottom w:w="0" w:type="dxa"/>
              <w:right w:w="314" w:type="dxa"/>
            </w:tcMar>
            <w:vAlign w:val="center"/>
            <w:hideMark/>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b/>
                <w:bCs/>
                <w:sz w:val="16"/>
              </w:rPr>
              <w:t>BP-2</w:t>
            </w:r>
          </w:p>
        </w:tc>
        <w:tc>
          <w:tcPr>
            <w:tcW w:w="1108" w:type="dxa"/>
            <w:shd w:val="clear" w:color="auto" w:fill="auto"/>
            <w:tcMar>
              <w:top w:w="15" w:type="dxa"/>
              <w:left w:w="314" w:type="dxa"/>
              <w:bottom w:w="0" w:type="dxa"/>
              <w:right w:w="314" w:type="dxa"/>
            </w:tcMar>
            <w:vAlign w:val="center"/>
            <w:hideMark/>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b/>
                <w:bCs/>
                <w:sz w:val="16"/>
              </w:rPr>
              <w:t>F-CPC</w:t>
            </w:r>
          </w:p>
        </w:tc>
      </w:tr>
      <w:tr w:rsidR="00083438" w:rsidRPr="00083438" w:rsidTr="00EF2500">
        <w:trPr>
          <w:trHeight w:val="438"/>
          <w:jc w:val="center"/>
        </w:trPr>
        <w:tc>
          <w:tcPr>
            <w:tcW w:w="1504" w:type="dxa"/>
            <w:shd w:val="clear" w:color="auto" w:fill="auto"/>
            <w:tcMar>
              <w:top w:w="15" w:type="dxa"/>
              <w:left w:w="314" w:type="dxa"/>
              <w:bottom w:w="0" w:type="dxa"/>
              <w:right w:w="314" w:type="dxa"/>
            </w:tcMar>
            <w:vAlign w:val="center"/>
            <w:hideMark/>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b/>
                <w:bCs/>
                <w:sz w:val="16"/>
              </w:rPr>
              <w:t>Level</w:t>
            </w:r>
          </w:p>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b/>
                <w:bCs/>
                <w:sz w:val="16"/>
              </w:rPr>
              <w:t>of impurities</w:t>
            </w:r>
          </w:p>
        </w:tc>
        <w:tc>
          <w:tcPr>
            <w:tcW w:w="1002" w:type="dxa"/>
            <w:shd w:val="clear" w:color="auto" w:fill="auto"/>
            <w:tcMar>
              <w:top w:w="15" w:type="dxa"/>
              <w:left w:w="314" w:type="dxa"/>
              <w:bottom w:w="0" w:type="dxa"/>
              <w:right w:w="314" w:type="dxa"/>
            </w:tcMar>
            <w:vAlign w:val="center"/>
            <w:hideMark/>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100%</w:t>
            </w:r>
          </w:p>
        </w:tc>
        <w:tc>
          <w:tcPr>
            <w:tcW w:w="966" w:type="dxa"/>
            <w:shd w:val="clear" w:color="auto" w:fill="auto"/>
            <w:tcMar>
              <w:top w:w="15" w:type="dxa"/>
              <w:left w:w="314" w:type="dxa"/>
              <w:bottom w:w="0" w:type="dxa"/>
              <w:right w:w="314" w:type="dxa"/>
            </w:tcMar>
            <w:vAlign w:val="center"/>
            <w:hideMark/>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58%</w:t>
            </w:r>
          </w:p>
        </w:tc>
        <w:tc>
          <w:tcPr>
            <w:tcW w:w="1108" w:type="dxa"/>
            <w:shd w:val="clear" w:color="auto" w:fill="auto"/>
            <w:tcMar>
              <w:top w:w="15" w:type="dxa"/>
              <w:left w:w="314" w:type="dxa"/>
              <w:bottom w:w="0" w:type="dxa"/>
              <w:right w:w="314" w:type="dxa"/>
            </w:tcMar>
            <w:vAlign w:val="center"/>
            <w:hideMark/>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12%</w:t>
            </w:r>
          </w:p>
        </w:tc>
      </w:tr>
      <w:tr w:rsidR="00083438" w:rsidRPr="00083438" w:rsidTr="00AB32D4">
        <w:trPr>
          <w:trHeight w:val="226"/>
          <w:jc w:val="center"/>
        </w:trPr>
        <w:tc>
          <w:tcPr>
            <w:tcW w:w="1504" w:type="dxa"/>
            <w:shd w:val="clear" w:color="auto" w:fill="auto"/>
            <w:tcMar>
              <w:top w:w="15" w:type="dxa"/>
              <w:left w:w="314" w:type="dxa"/>
              <w:bottom w:w="0" w:type="dxa"/>
              <w:right w:w="314" w:type="dxa"/>
            </w:tcMar>
            <w:vAlign w:val="center"/>
          </w:tcPr>
          <w:p w:rsidR="00083438" w:rsidRPr="00083438" w:rsidRDefault="00083438" w:rsidP="00EF2500">
            <w:pPr>
              <w:widowControl w:val="0"/>
              <w:spacing w:line="240" w:lineRule="auto"/>
              <w:jc w:val="center"/>
              <w:rPr>
                <w:rFonts w:asciiTheme="minorHAnsi" w:hAnsiTheme="minorHAnsi"/>
                <w:b/>
                <w:bCs/>
                <w:sz w:val="16"/>
              </w:rPr>
            </w:pPr>
            <w:r w:rsidRPr="00083438">
              <w:rPr>
                <w:rFonts w:asciiTheme="minorHAnsi" w:hAnsiTheme="minorHAnsi"/>
                <w:b/>
                <w:bCs/>
                <w:sz w:val="16"/>
              </w:rPr>
              <w:t>SEC purity</w:t>
            </w:r>
          </w:p>
        </w:tc>
        <w:tc>
          <w:tcPr>
            <w:tcW w:w="1002" w:type="dxa"/>
            <w:shd w:val="clear" w:color="auto" w:fill="auto"/>
            <w:tcMar>
              <w:top w:w="15" w:type="dxa"/>
              <w:left w:w="314" w:type="dxa"/>
              <w:bottom w:w="0" w:type="dxa"/>
              <w:right w:w="314" w:type="dxa"/>
            </w:tcMar>
            <w:vAlign w:val="center"/>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29%</w:t>
            </w:r>
          </w:p>
        </w:tc>
        <w:tc>
          <w:tcPr>
            <w:tcW w:w="966" w:type="dxa"/>
            <w:shd w:val="clear" w:color="auto" w:fill="auto"/>
            <w:tcMar>
              <w:top w:w="15" w:type="dxa"/>
              <w:left w:w="314" w:type="dxa"/>
              <w:bottom w:w="0" w:type="dxa"/>
              <w:right w:w="314" w:type="dxa"/>
            </w:tcMar>
            <w:vAlign w:val="center"/>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42%</w:t>
            </w:r>
          </w:p>
        </w:tc>
        <w:tc>
          <w:tcPr>
            <w:tcW w:w="1108" w:type="dxa"/>
            <w:shd w:val="clear" w:color="auto" w:fill="auto"/>
            <w:tcMar>
              <w:top w:w="15" w:type="dxa"/>
              <w:left w:w="314" w:type="dxa"/>
              <w:bottom w:w="0" w:type="dxa"/>
              <w:right w:w="314" w:type="dxa"/>
            </w:tcMar>
            <w:vAlign w:val="center"/>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78%</w:t>
            </w:r>
          </w:p>
        </w:tc>
      </w:tr>
      <w:tr w:rsidR="00083438" w:rsidRPr="00083438" w:rsidTr="00AB32D4">
        <w:trPr>
          <w:trHeight w:val="230"/>
          <w:jc w:val="center"/>
        </w:trPr>
        <w:tc>
          <w:tcPr>
            <w:tcW w:w="1504" w:type="dxa"/>
            <w:shd w:val="clear" w:color="auto" w:fill="auto"/>
            <w:tcMar>
              <w:top w:w="15" w:type="dxa"/>
              <w:left w:w="314" w:type="dxa"/>
              <w:bottom w:w="0" w:type="dxa"/>
              <w:right w:w="314" w:type="dxa"/>
            </w:tcMar>
            <w:vAlign w:val="center"/>
          </w:tcPr>
          <w:p w:rsidR="00083438" w:rsidRPr="00083438" w:rsidRDefault="00083438" w:rsidP="00EF2500">
            <w:pPr>
              <w:widowControl w:val="0"/>
              <w:spacing w:line="240" w:lineRule="auto"/>
              <w:jc w:val="center"/>
              <w:rPr>
                <w:rFonts w:asciiTheme="minorHAnsi" w:hAnsiTheme="minorHAnsi"/>
                <w:b/>
                <w:bCs/>
                <w:sz w:val="16"/>
              </w:rPr>
            </w:pPr>
            <w:r w:rsidRPr="00083438">
              <w:rPr>
                <w:rFonts w:asciiTheme="minorHAnsi" w:hAnsiTheme="minorHAnsi"/>
                <w:b/>
                <w:bCs/>
                <w:sz w:val="16"/>
              </w:rPr>
              <w:t>IgG recovery</w:t>
            </w:r>
          </w:p>
        </w:tc>
        <w:tc>
          <w:tcPr>
            <w:tcW w:w="1002" w:type="dxa"/>
            <w:shd w:val="clear" w:color="auto" w:fill="auto"/>
            <w:tcMar>
              <w:top w:w="15" w:type="dxa"/>
              <w:left w:w="314" w:type="dxa"/>
              <w:bottom w:w="0" w:type="dxa"/>
              <w:right w:w="314" w:type="dxa"/>
            </w:tcMar>
            <w:vAlign w:val="center"/>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99%</w:t>
            </w:r>
          </w:p>
        </w:tc>
        <w:tc>
          <w:tcPr>
            <w:tcW w:w="966" w:type="dxa"/>
            <w:shd w:val="clear" w:color="auto" w:fill="auto"/>
            <w:tcMar>
              <w:top w:w="15" w:type="dxa"/>
              <w:left w:w="314" w:type="dxa"/>
              <w:bottom w:w="0" w:type="dxa"/>
              <w:right w:w="314" w:type="dxa"/>
            </w:tcMar>
            <w:vAlign w:val="center"/>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99%</w:t>
            </w:r>
          </w:p>
        </w:tc>
        <w:tc>
          <w:tcPr>
            <w:tcW w:w="1108" w:type="dxa"/>
            <w:shd w:val="clear" w:color="auto" w:fill="auto"/>
            <w:tcMar>
              <w:top w:w="15" w:type="dxa"/>
              <w:left w:w="314" w:type="dxa"/>
              <w:bottom w:w="0" w:type="dxa"/>
              <w:right w:w="314" w:type="dxa"/>
            </w:tcMar>
            <w:vAlign w:val="center"/>
          </w:tcPr>
          <w:p w:rsidR="00083438" w:rsidRPr="00083438" w:rsidRDefault="00083438" w:rsidP="00EF2500">
            <w:pPr>
              <w:widowControl w:val="0"/>
              <w:spacing w:line="240" w:lineRule="auto"/>
              <w:jc w:val="center"/>
              <w:rPr>
                <w:rFonts w:asciiTheme="minorHAnsi" w:hAnsiTheme="minorHAnsi"/>
                <w:sz w:val="16"/>
              </w:rPr>
            </w:pPr>
            <w:r w:rsidRPr="00083438">
              <w:rPr>
                <w:rFonts w:asciiTheme="minorHAnsi" w:hAnsiTheme="minorHAnsi"/>
                <w:sz w:val="16"/>
              </w:rPr>
              <w:t>82%</w:t>
            </w:r>
          </w:p>
        </w:tc>
      </w:tr>
    </w:tbl>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46051" w:rsidRPr="00646051" w:rsidRDefault="00646051" w:rsidP="00AB32D4">
      <w:pPr>
        <w:pStyle w:val="Akapitzlist"/>
        <w:numPr>
          <w:ilvl w:val="0"/>
          <w:numId w:val="20"/>
        </w:numPr>
        <w:snapToGrid w:val="0"/>
        <w:ind w:left="284" w:hanging="284"/>
        <w:rPr>
          <w:rFonts w:asciiTheme="minorHAnsi" w:eastAsia="MS PGothic" w:hAnsiTheme="minorHAnsi"/>
          <w:color w:val="000000"/>
          <w:sz w:val="22"/>
          <w:szCs w:val="22"/>
        </w:rPr>
      </w:pPr>
      <w:r w:rsidRPr="00646051">
        <w:rPr>
          <w:rFonts w:asciiTheme="minorHAnsi" w:eastAsia="MS PGothic" w:hAnsiTheme="minorHAnsi"/>
          <w:color w:val="000000"/>
          <w:sz w:val="22"/>
          <w:szCs w:val="22"/>
        </w:rPr>
        <w:t xml:space="preserve">High recovery of the </w:t>
      </w:r>
      <w:r w:rsidR="007A1B74">
        <w:rPr>
          <w:rFonts w:asciiTheme="minorHAnsi" w:eastAsia="MS PGothic" w:hAnsiTheme="minorHAnsi"/>
          <w:color w:val="000000"/>
          <w:sz w:val="22"/>
          <w:szCs w:val="22"/>
        </w:rPr>
        <w:t>antibody</w:t>
      </w:r>
      <w:r w:rsidRPr="00646051">
        <w:rPr>
          <w:rFonts w:asciiTheme="minorHAnsi" w:eastAsia="MS PGothic" w:hAnsiTheme="minorHAnsi"/>
          <w:color w:val="000000"/>
          <w:sz w:val="22"/>
          <w:szCs w:val="22"/>
        </w:rPr>
        <w:t xml:space="preserve"> was achieved due to selective extraction of the target product into the ATPE-bottom phase</w:t>
      </w:r>
    </w:p>
    <w:p w:rsidR="00646051" w:rsidRPr="00646051" w:rsidRDefault="00646051" w:rsidP="00AB32D4">
      <w:pPr>
        <w:pStyle w:val="Akapitzlist"/>
        <w:numPr>
          <w:ilvl w:val="0"/>
          <w:numId w:val="20"/>
        </w:numPr>
        <w:snapToGrid w:val="0"/>
        <w:ind w:left="284" w:hanging="284"/>
        <w:rPr>
          <w:rFonts w:asciiTheme="minorHAnsi" w:eastAsia="MS PGothic" w:hAnsiTheme="minorHAnsi"/>
          <w:color w:val="000000"/>
          <w:sz w:val="22"/>
          <w:szCs w:val="22"/>
        </w:rPr>
      </w:pPr>
      <w:r w:rsidRPr="00646051">
        <w:rPr>
          <w:rFonts w:asciiTheme="minorHAnsi" w:eastAsia="MS PGothic" w:hAnsiTheme="minorHAnsi"/>
          <w:color w:val="000000"/>
          <w:sz w:val="22"/>
          <w:szCs w:val="22"/>
        </w:rPr>
        <w:t>Significant reduction of impurities in CPC step was observed in comparison to two-stage ATPE</w:t>
      </w:r>
      <w:r w:rsidR="00265200">
        <w:rPr>
          <w:rFonts w:asciiTheme="minorHAnsi" w:eastAsia="MS PGothic" w:hAnsiTheme="minorHAnsi"/>
          <w:color w:val="000000"/>
          <w:sz w:val="22"/>
          <w:szCs w:val="22"/>
        </w:rPr>
        <w:t>.</w:t>
      </w:r>
    </w:p>
    <w:p w:rsidR="00646051" w:rsidRPr="00646051" w:rsidRDefault="00F8606D" w:rsidP="00AB32D4">
      <w:pPr>
        <w:pStyle w:val="Akapitzlist"/>
        <w:numPr>
          <w:ilvl w:val="0"/>
          <w:numId w:val="20"/>
        </w:numPr>
        <w:snapToGrid w:val="0"/>
        <w:ind w:left="284" w:hanging="284"/>
        <w:rPr>
          <w:rFonts w:asciiTheme="minorHAnsi" w:eastAsia="MS PGothic" w:hAnsiTheme="minorHAnsi"/>
          <w:color w:val="000000"/>
          <w:sz w:val="22"/>
          <w:szCs w:val="22"/>
        </w:rPr>
      </w:pPr>
      <w:r>
        <w:rPr>
          <w:rFonts w:asciiTheme="minorHAnsi" w:eastAsia="MS PGothic" w:hAnsiTheme="minorHAnsi"/>
          <w:color w:val="000000"/>
          <w:sz w:val="22"/>
          <w:szCs w:val="22"/>
        </w:rPr>
        <w:t xml:space="preserve">Recycling of phases in </w:t>
      </w:r>
      <w:r w:rsidR="004041EA">
        <w:rPr>
          <w:rFonts w:asciiTheme="minorHAnsi" w:eastAsia="MS PGothic" w:hAnsiTheme="minorHAnsi"/>
          <w:color w:val="000000"/>
          <w:sz w:val="22"/>
          <w:szCs w:val="22"/>
        </w:rPr>
        <w:t>b</w:t>
      </w:r>
      <w:r w:rsidR="00646051" w:rsidRPr="00646051">
        <w:rPr>
          <w:rFonts w:asciiTheme="minorHAnsi" w:eastAsia="MS PGothic" w:hAnsiTheme="minorHAnsi"/>
          <w:color w:val="000000"/>
          <w:sz w:val="22"/>
          <w:szCs w:val="22"/>
        </w:rPr>
        <w:t xml:space="preserve">oth ATPE and CPC operations </w:t>
      </w:r>
      <w:r>
        <w:rPr>
          <w:rFonts w:asciiTheme="minorHAnsi" w:eastAsia="MS PGothic" w:hAnsiTheme="minorHAnsi"/>
          <w:color w:val="000000"/>
          <w:sz w:val="22"/>
          <w:szCs w:val="22"/>
        </w:rPr>
        <w:t>allows reducing solvent consumption and the total cost of the operation</w:t>
      </w:r>
      <w:r w:rsidR="00265200">
        <w:rPr>
          <w:rFonts w:asciiTheme="minorHAnsi" w:eastAsia="MS PGothic" w:hAnsiTheme="minorHAnsi"/>
          <w:color w:val="000000"/>
          <w:sz w:val="22"/>
          <w:szCs w:val="22"/>
        </w:rPr>
        <w:t>.</w:t>
      </w:r>
    </w:p>
    <w:p w:rsidR="004D1162" w:rsidRPr="00AB32D4" w:rsidRDefault="00646051" w:rsidP="00AB32D4">
      <w:pPr>
        <w:pStyle w:val="Akapitzlist"/>
        <w:widowControl w:val="0"/>
        <w:numPr>
          <w:ilvl w:val="0"/>
          <w:numId w:val="20"/>
        </w:numPr>
        <w:tabs>
          <w:tab w:val="left" w:pos="426"/>
        </w:tabs>
        <w:autoSpaceDE w:val="0"/>
        <w:autoSpaceDN w:val="0"/>
        <w:adjustRightInd w:val="0"/>
        <w:snapToGrid w:val="0"/>
        <w:spacing w:line="240" w:lineRule="auto"/>
        <w:ind w:left="284" w:hanging="284"/>
        <w:jc w:val="both"/>
        <w:rPr>
          <w:rFonts w:asciiTheme="minorHAnsi" w:eastAsia="SimSun" w:hAnsiTheme="minorHAnsi"/>
          <w:sz w:val="22"/>
          <w:szCs w:val="22"/>
          <w:lang w:eastAsia="zh-CN"/>
        </w:rPr>
      </w:pPr>
      <w:r w:rsidRPr="00D60872">
        <w:rPr>
          <w:rFonts w:asciiTheme="minorHAnsi" w:eastAsia="MS PGothic" w:hAnsiTheme="minorHAnsi"/>
          <w:color w:val="000000"/>
          <w:sz w:val="22"/>
          <w:szCs w:val="22"/>
        </w:rPr>
        <w:t xml:space="preserve">ATPE and CPC fractions </w:t>
      </w:r>
      <w:r w:rsidR="00921D67">
        <w:rPr>
          <w:rFonts w:asciiTheme="minorHAnsi" w:eastAsia="MS PGothic" w:hAnsiTheme="minorHAnsi"/>
          <w:color w:val="000000"/>
          <w:sz w:val="22"/>
          <w:szCs w:val="22"/>
        </w:rPr>
        <w:t xml:space="preserve">can be further </w:t>
      </w:r>
      <w:r w:rsidR="00921D67" w:rsidRPr="00D60872">
        <w:rPr>
          <w:rFonts w:asciiTheme="minorHAnsi" w:eastAsia="MS PGothic" w:hAnsiTheme="minorHAnsi"/>
          <w:color w:val="000000"/>
          <w:sz w:val="22"/>
          <w:szCs w:val="22"/>
        </w:rPr>
        <w:t xml:space="preserve">directly </w:t>
      </w:r>
      <w:r w:rsidR="00921D67">
        <w:rPr>
          <w:rFonts w:asciiTheme="minorHAnsi" w:eastAsia="MS PGothic" w:hAnsiTheme="minorHAnsi"/>
          <w:color w:val="000000"/>
          <w:sz w:val="22"/>
          <w:szCs w:val="22"/>
        </w:rPr>
        <w:t>processed</w:t>
      </w:r>
      <w:r w:rsidRPr="00D60872">
        <w:rPr>
          <w:rFonts w:asciiTheme="minorHAnsi" w:eastAsia="MS PGothic" w:hAnsiTheme="minorHAnsi"/>
          <w:color w:val="000000"/>
          <w:sz w:val="22"/>
          <w:szCs w:val="22"/>
        </w:rPr>
        <w:t xml:space="preserve"> by HIC process due to high kosmotropic salt concentration in post-extraction solutions</w:t>
      </w:r>
      <w:r w:rsidR="00D60872">
        <w:rPr>
          <w:rFonts w:asciiTheme="minorHAnsi" w:eastAsia="MS PGothic" w:hAnsiTheme="minorHAnsi"/>
          <w:color w:val="000000"/>
          <w:sz w:val="22"/>
          <w:szCs w:val="22"/>
        </w:rPr>
        <w:t>.</w:t>
      </w:r>
      <w:r w:rsidR="00921D67">
        <w:rPr>
          <w:rFonts w:asciiTheme="minorHAnsi" w:eastAsia="MS PGothic" w:hAnsiTheme="minorHAnsi"/>
          <w:color w:val="000000"/>
          <w:sz w:val="22"/>
          <w:szCs w:val="22"/>
        </w:rPr>
        <w:t xml:space="preserve"> Such sequential operations have a potential to subst</w:t>
      </w:r>
      <w:r w:rsidR="00265200">
        <w:rPr>
          <w:rFonts w:asciiTheme="minorHAnsi" w:eastAsia="MS PGothic" w:hAnsiTheme="minorHAnsi"/>
          <w:color w:val="000000"/>
          <w:sz w:val="22"/>
          <w:szCs w:val="22"/>
        </w:rPr>
        <w:t>itute protein A chromatography.</w:t>
      </w:r>
    </w:p>
    <w:p w:rsidR="00AB32D4" w:rsidRPr="00AB32D4" w:rsidRDefault="00AB32D4" w:rsidP="00AB32D4">
      <w:pPr>
        <w:widowControl w:val="0"/>
        <w:tabs>
          <w:tab w:val="left" w:pos="426"/>
        </w:tabs>
        <w:autoSpaceDE w:val="0"/>
        <w:autoSpaceDN w:val="0"/>
        <w:adjustRightInd w:val="0"/>
        <w:snapToGri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t xml:space="preserve">We would like to acknowledge </w:t>
      </w:r>
      <w:proofErr w:type="spellStart"/>
      <w:r>
        <w:rPr>
          <w:rFonts w:asciiTheme="minorHAnsi" w:eastAsia="SimSun" w:hAnsiTheme="minorHAnsi"/>
          <w:sz w:val="22"/>
          <w:szCs w:val="22"/>
          <w:lang w:eastAsia="zh-CN"/>
        </w:rPr>
        <w:t>Polpharma</w:t>
      </w:r>
      <w:proofErr w:type="spellEnd"/>
      <w:r>
        <w:rPr>
          <w:rFonts w:asciiTheme="minorHAnsi" w:eastAsia="SimSun" w:hAnsiTheme="minorHAnsi"/>
          <w:sz w:val="22"/>
          <w:szCs w:val="22"/>
          <w:lang w:eastAsia="zh-CN"/>
        </w:rPr>
        <w:t xml:space="preserve"> Biologics </w:t>
      </w:r>
      <w:r w:rsidR="00A2014F">
        <w:rPr>
          <w:rFonts w:asciiTheme="minorHAnsi" w:eastAsia="SimSun" w:hAnsiTheme="minorHAnsi"/>
          <w:sz w:val="22"/>
          <w:szCs w:val="22"/>
          <w:lang w:eastAsia="zh-CN"/>
        </w:rPr>
        <w:t>for</w:t>
      </w:r>
      <w:r>
        <w:rPr>
          <w:rFonts w:asciiTheme="minorHAnsi" w:eastAsia="SimSun" w:hAnsiTheme="minorHAnsi"/>
          <w:sz w:val="22"/>
          <w:szCs w:val="22"/>
          <w:lang w:eastAsia="zh-CN"/>
        </w:rPr>
        <w:t xml:space="preserve"> </w:t>
      </w:r>
      <w:r w:rsidR="00A2014F">
        <w:rPr>
          <w:rFonts w:asciiTheme="minorHAnsi" w:eastAsia="SimSun" w:hAnsiTheme="minorHAnsi"/>
          <w:sz w:val="22"/>
          <w:szCs w:val="22"/>
          <w:lang w:eastAsia="zh-CN"/>
        </w:rPr>
        <w:t xml:space="preserve">providing </w:t>
      </w:r>
      <w:r w:rsidR="00265200">
        <w:rPr>
          <w:rFonts w:asciiTheme="minorHAnsi" w:eastAsia="SimSun" w:hAnsiTheme="minorHAnsi"/>
          <w:sz w:val="22"/>
          <w:szCs w:val="22"/>
          <w:lang w:eastAsia="zh-CN"/>
        </w:rPr>
        <w:t>t</w:t>
      </w:r>
      <w:r w:rsidR="00A2014F">
        <w:rPr>
          <w:rFonts w:asciiTheme="minorHAnsi" w:eastAsia="SimSun" w:hAnsiTheme="minorHAnsi"/>
          <w:sz w:val="22"/>
          <w:szCs w:val="22"/>
          <w:lang w:eastAsia="zh-CN"/>
        </w:rPr>
        <w:t>he biologic</w:t>
      </w:r>
      <w:r w:rsidR="00265200">
        <w:rPr>
          <w:rFonts w:asciiTheme="minorHAnsi" w:eastAsia="SimSun" w:hAnsiTheme="minorHAnsi"/>
          <w:sz w:val="22"/>
          <w:szCs w:val="22"/>
          <w:lang w:eastAsia="zh-CN"/>
        </w:rPr>
        <w:t>al</w:t>
      </w:r>
      <w:r w:rsidR="00A2014F">
        <w:rPr>
          <w:rFonts w:asciiTheme="minorHAnsi" w:eastAsia="SimSun" w:hAnsiTheme="minorHAnsi"/>
          <w:sz w:val="22"/>
          <w:szCs w:val="22"/>
          <w:lang w:eastAsia="zh-CN"/>
        </w:rPr>
        <w:t xml:space="preserve"> material.</w:t>
      </w:r>
    </w:p>
    <w:sectPr w:rsidR="00AB32D4" w:rsidRPr="00AB32D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8F" w:rsidRDefault="00C55E8F" w:rsidP="004F5E36">
      <w:r>
        <w:separator/>
      </w:r>
    </w:p>
  </w:endnote>
  <w:endnote w:type="continuationSeparator" w:id="0">
    <w:p w:rsidR="00C55E8F" w:rsidRDefault="00C55E8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8F" w:rsidRDefault="00C55E8F" w:rsidP="004F5E36">
      <w:r>
        <w:separator/>
      </w:r>
    </w:p>
  </w:footnote>
  <w:footnote w:type="continuationSeparator" w:id="0">
    <w:p w:rsidR="00C55E8F" w:rsidRDefault="00C55E8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Nagwek"/>
    </w:pPr>
    <w:r>
      <w:rPr>
        <w:noProof/>
        <w:lang w:val="pl-PL" w:eastAsia="pl-P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pl-PL" w:eastAsia="pl-P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pl-PL" w:eastAsia="pl-P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Nagwek"/>
    </w:pPr>
  </w:p>
  <w:p w:rsidR="00704BDF" w:rsidRDefault="00704BDF">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56D7471"/>
    <w:multiLevelType w:val="hybridMultilevel"/>
    <w:tmpl w:val="CF1E2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F16345"/>
    <w:multiLevelType w:val="hybridMultilevel"/>
    <w:tmpl w:val="2B90B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541BBC"/>
    <w:multiLevelType w:val="hybridMultilevel"/>
    <w:tmpl w:val="57C22E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9"/>
  </w:num>
  <w:num w:numId="17">
    <w:abstractNumId w:val="10"/>
  </w:num>
  <w:num w:numId="18">
    <w:abstractNumId w:val="12"/>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74DA"/>
    <w:rsid w:val="0003148D"/>
    <w:rsid w:val="00062A9A"/>
    <w:rsid w:val="00083438"/>
    <w:rsid w:val="000A03B2"/>
    <w:rsid w:val="000D34BE"/>
    <w:rsid w:val="000E36F1"/>
    <w:rsid w:val="000E3A73"/>
    <w:rsid w:val="000E414A"/>
    <w:rsid w:val="0013121F"/>
    <w:rsid w:val="00134DE4"/>
    <w:rsid w:val="00150E59"/>
    <w:rsid w:val="00184AD6"/>
    <w:rsid w:val="00197145"/>
    <w:rsid w:val="001B65C1"/>
    <w:rsid w:val="001C684B"/>
    <w:rsid w:val="001D53FC"/>
    <w:rsid w:val="001F2EC7"/>
    <w:rsid w:val="002065DB"/>
    <w:rsid w:val="002447EF"/>
    <w:rsid w:val="00251550"/>
    <w:rsid w:val="00265200"/>
    <w:rsid w:val="0027221A"/>
    <w:rsid w:val="00275B61"/>
    <w:rsid w:val="002D1F12"/>
    <w:rsid w:val="003009B7"/>
    <w:rsid w:val="0030469C"/>
    <w:rsid w:val="003723D4"/>
    <w:rsid w:val="003A7D1C"/>
    <w:rsid w:val="003D01C3"/>
    <w:rsid w:val="003E34EF"/>
    <w:rsid w:val="004041EA"/>
    <w:rsid w:val="004233FA"/>
    <w:rsid w:val="0046164A"/>
    <w:rsid w:val="00462DCD"/>
    <w:rsid w:val="004D1162"/>
    <w:rsid w:val="004E4DD6"/>
    <w:rsid w:val="004F563B"/>
    <w:rsid w:val="004F5E36"/>
    <w:rsid w:val="005119A5"/>
    <w:rsid w:val="005278B7"/>
    <w:rsid w:val="005346C8"/>
    <w:rsid w:val="005350DC"/>
    <w:rsid w:val="005870A0"/>
    <w:rsid w:val="00594E9F"/>
    <w:rsid w:val="005B61E6"/>
    <w:rsid w:val="005C77E1"/>
    <w:rsid w:val="005D6A2F"/>
    <w:rsid w:val="005E1A82"/>
    <w:rsid w:val="005F0A28"/>
    <w:rsid w:val="005F0E5E"/>
    <w:rsid w:val="00620DEE"/>
    <w:rsid w:val="00625639"/>
    <w:rsid w:val="006366F8"/>
    <w:rsid w:val="0064184D"/>
    <w:rsid w:val="00646051"/>
    <w:rsid w:val="00660E3E"/>
    <w:rsid w:val="00662E74"/>
    <w:rsid w:val="006B01AC"/>
    <w:rsid w:val="006C5579"/>
    <w:rsid w:val="006C78C5"/>
    <w:rsid w:val="00704BDF"/>
    <w:rsid w:val="00736B13"/>
    <w:rsid w:val="007447F3"/>
    <w:rsid w:val="007661C8"/>
    <w:rsid w:val="007A1B74"/>
    <w:rsid w:val="007D52CD"/>
    <w:rsid w:val="007E45E5"/>
    <w:rsid w:val="00813288"/>
    <w:rsid w:val="008168FC"/>
    <w:rsid w:val="008479A2"/>
    <w:rsid w:val="0087637F"/>
    <w:rsid w:val="008A1512"/>
    <w:rsid w:val="008D0BEB"/>
    <w:rsid w:val="008E566E"/>
    <w:rsid w:val="00901EB6"/>
    <w:rsid w:val="00921D67"/>
    <w:rsid w:val="009450CE"/>
    <w:rsid w:val="0095164B"/>
    <w:rsid w:val="00956A2E"/>
    <w:rsid w:val="00996483"/>
    <w:rsid w:val="009E788A"/>
    <w:rsid w:val="00A1763D"/>
    <w:rsid w:val="00A17CEC"/>
    <w:rsid w:val="00A2014F"/>
    <w:rsid w:val="00A27EF0"/>
    <w:rsid w:val="00A71440"/>
    <w:rsid w:val="00A76EFC"/>
    <w:rsid w:val="00A97F29"/>
    <w:rsid w:val="00AB0964"/>
    <w:rsid w:val="00AB32D4"/>
    <w:rsid w:val="00AE377D"/>
    <w:rsid w:val="00B61DBF"/>
    <w:rsid w:val="00B919FA"/>
    <w:rsid w:val="00BC30C9"/>
    <w:rsid w:val="00BD69D9"/>
    <w:rsid w:val="00BE3E58"/>
    <w:rsid w:val="00C01616"/>
    <w:rsid w:val="00C0162B"/>
    <w:rsid w:val="00C02FAD"/>
    <w:rsid w:val="00C345B1"/>
    <w:rsid w:val="00C40142"/>
    <w:rsid w:val="00C55E8F"/>
    <w:rsid w:val="00C57182"/>
    <w:rsid w:val="00C655FD"/>
    <w:rsid w:val="00C94434"/>
    <w:rsid w:val="00CA1C95"/>
    <w:rsid w:val="00CA5A9C"/>
    <w:rsid w:val="00CB1EAF"/>
    <w:rsid w:val="00CC3F4B"/>
    <w:rsid w:val="00CD5FE2"/>
    <w:rsid w:val="00D02B4C"/>
    <w:rsid w:val="00D60872"/>
    <w:rsid w:val="00D84576"/>
    <w:rsid w:val="00DE0019"/>
    <w:rsid w:val="00DE264A"/>
    <w:rsid w:val="00E041E7"/>
    <w:rsid w:val="00E23CA1"/>
    <w:rsid w:val="00E409A8"/>
    <w:rsid w:val="00E47211"/>
    <w:rsid w:val="00E7209D"/>
    <w:rsid w:val="00EA0877"/>
    <w:rsid w:val="00EA50E1"/>
    <w:rsid w:val="00EE0131"/>
    <w:rsid w:val="00EF4282"/>
    <w:rsid w:val="00F25D15"/>
    <w:rsid w:val="00F30C64"/>
    <w:rsid w:val="00F8606D"/>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CF4D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CET Top_page"/>
    <w:rsid w:val="00083438"/>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paragraph" w:styleId="Akapitzlist">
    <w:name w:val="List Paragraph"/>
    <w:basedOn w:val="Normalny"/>
    <w:uiPriority w:val="34"/>
    <w:qFormat/>
    <w:locked/>
    <w:rsid w:val="00A71440"/>
    <w:pPr>
      <w:tabs>
        <w:tab w:val="clear" w:pos="7100"/>
      </w:tabs>
      <w:spacing w:after="200" w:line="276" w:lineRule="auto"/>
      <w:ind w:left="720"/>
      <w:contextualSpacing/>
      <w:jc w:val="left"/>
    </w:pPr>
    <w:rPr>
      <w:rFonts w:ascii="Cambria Math" w:eastAsia="Calibri" w:hAnsi="Cambria Math"/>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769B-FD2D-4622-B75F-5EAB0ABE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665</Words>
  <Characters>3995</Characters>
  <Application>Microsoft Office Word</Application>
  <DocSecurity>0</DocSecurity>
  <Lines>33</Lines>
  <Paragraphs>9</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wmarek</cp:lastModifiedBy>
  <cp:revision>4</cp:revision>
  <cp:lastPrinted>2015-05-12T18:31:00Z</cp:lastPrinted>
  <dcterms:created xsi:type="dcterms:W3CDTF">2019-01-15T00:33:00Z</dcterms:created>
  <dcterms:modified xsi:type="dcterms:W3CDTF">2019-01-15T11:38:00Z</dcterms:modified>
</cp:coreProperties>
</file>