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270D20" w:rsidRPr="00270D20" w:rsidRDefault="00C06F29" w:rsidP="00270D20">
      <w:pPr>
        <w:jc w:val="center"/>
        <w:rPr>
          <w:rFonts w:asciiTheme="minorHAnsi" w:hAnsiTheme="minorHAnsi"/>
          <w:b/>
          <w:bCs/>
          <w:sz w:val="28"/>
          <w:szCs w:val="28"/>
        </w:rPr>
      </w:pPr>
      <w:r w:rsidRPr="00270D20">
        <w:rPr>
          <w:rFonts w:asciiTheme="minorHAnsi" w:hAnsiTheme="minorHAnsi"/>
          <w:b/>
          <w:bCs/>
          <w:sz w:val="28"/>
          <w:szCs w:val="28"/>
        </w:rPr>
        <w:t>State Substitution</w:t>
      </w:r>
      <w:r>
        <w:rPr>
          <w:rFonts w:asciiTheme="minorHAnsi" w:hAnsiTheme="minorHAnsi"/>
          <w:b/>
          <w:bCs/>
          <w:sz w:val="28"/>
          <w:szCs w:val="28"/>
        </w:rPr>
        <w:t xml:space="preserve">: A novel method for </w:t>
      </w:r>
      <w:r w:rsidR="00270D20" w:rsidRPr="00270D20">
        <w:rPr>
          <w:rFonts w:asciiTheme="minorHAnsi" w:hAnsiTheme="minorHAnsi"/>
          <w:b/>
          <w:bCs/>
          <w:sz w:val="28"/>
          <w:szCs w:val="28"/>
        </w:rPr>
        <w:t xml:space="preserve">parameter identification of large-scale bio-chemical </w:t>
      </w:r>
      <w:r>
        <w:rPr>
          <w:rFonts w:asciiTheme="minorHAnsi" w:hAnsiTheme="minorHAnsi"/>
          <w:b/>
          <w:bCs/>
          <w:sz w:val="28"/>
          <w:szCs w:val="28"/>
        </w:rPr>
        <w:t>kinetic models</w:t>
      </w:r>
    </w:p>
    <w:p w:rsidR="00270D20" w:rsidRPr="003B45B2" w:rsidRDefault="00270D20" w:rsidP="00270D20">
      <w:pPr>
        <w:jc w:val="center"/>
        <w:rPr>
          <w:b/>
          <w:bCs/>
          <w:sz w:val="24"/>
          <w:szCs w:val="52"/>
        </w:rPr>
      </w:pPr>
    </w:p>
    <w:p w:rsidR="00270D20" w:rsidRPr="00270D20" w:rsidRDefault="00270D20" w:rsidP="00270D20">
      <w:pPr>
        <w:jc w:val="center"/>
        <w:rPr>
          <w:rFonts w:asciiTheme="minorHAnsi" w:hAnsiTheme="minorHAnsi"/>
          <w:bCs/>
          <w:sz w:val="24"/>
          <w:szCs w:val="24"/>
        </w:rPr>
      </w:pPr>
      <w:r w:rsidRPr="00270D20">
        <w:rPr>
          <w:rFonts w:asciiTheme="minorHAnsi" w:hAnsiTheme="minorHAnsi"/>
          <w:bCs/>
          <w:sz w:val="24"/>
          <w:szCs w:val="24"/>
          <w:u w:val="single"/>
        </w:rPr>
        <w:t>Paulius Rasiukas</w:t>
      </w:r>
      <w:r w:rsidRPr="00270D20">
        <w:rPr>
          <w:rFonts w:asciiTheme="minorHAnsi" w:hAnsiTheme="minorHAnsi"/>
          <w:bCs/>
          <w:sz w:val="24"/>
          <w:szCs w:val="24"/>
          <w:vertAlign w:val="superscript"/>
        </w:rPr>
        <w:t>1</w:t>
      </w:r>
      <w:r w:rsidRPr="00270D20">
        <w:rPr>
          <w:rFonts w:asciiTheme="minorHAnsi" w:hAnsiTheme="minorHAnsi"/>
          <w:bCs/>
          <w:sz w:val="24"/>
          <w:szCs w:val="24"/>
        </w:rPr>
        <w:t>, Chris O’Malley</w:t>
      </w:r>
      <w:r>
        <w:rPr>
          <w:rFonts w:asciiTheme="minorHAnsi" w:hAnsiTheme="minorHAnsi"/>
          <w:bCs/>
          <w:sz w:val="24"/>
          <w:szCs w:val="24"/>
          <w:vertAlign w:val="superscript"/>
        </w:rPr>
        <w:t>2</w:t>
      </w:r>
      <w:r w:rsidRPr="00270D20">
        <w:rPr>
          <w:rFonts w:asciiTheme="minorHAnsi" w:hAnsiTheme="minorHAnsi"/>
          <w:bCs/>
          <w:sz w:val="24"/>
          <w:szCs w:val="24"/>
        </w:rPr>
        <w:t>, Mark J. Willis</w:t>
      </w:r>
      <w:r>
        <w:rPr>
          <w:rFonts w:asciiTheme="minorHAnsi" w:hAnsiTheme="minorHAnsi"/>
          <w:bCs/>
          <w:sz w:val="24"/>
          <w:szCs w:val="24"/>
          <w:vertAlign w:val="superscript"/>
        </w:rPr>
        <w:t>3</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270D20">
        <w:rPr>
          <w:rFonts w:asciiTheme="minorHAnsi" w:eastAsia="MS PGothic" w:hAnsiTheme="minorHAnsi"/>
          <w:iCs/>
          <w:color w:val="000000"/>
          <w:sz w:val="20"/>
          <w:lang w:val="en-US"/>
        </w:rPr>
        <w:t xml:space="preserve">1 </w:t>
      </w:r>
      <w:r w:rsidR="00270D20" w:rsidRPr="00270D20">
        <w:rPr>
          <w:rFonts w:asciiTheme="minorHAnsi" w:hAnsiTheme="minorHAnsi"/>
          <w:sz w:val="20"/>
        </w:rPr>
        <w:t>School of Engineering Newcastle University, p.rasiukas@ncl.ac.uk</w:t>
      </w:r>
      <w:r w:rsidRPr="00DE0019">
        <w:rPr>
          <w:rFonts w:asciiTheme="minorHAnsi" w:eastAsia="MS PGothic" w:hAnsiTheme="minorHAnsi"/>
          <w:i/>
          <w:iCs/>
          <w:color w:val="000000"/>
          <w:sz w:val="20"/>
          <w:lang w:val="en-US"/>
        </w:rPr>
        <w:t xml:space="preserve">; </w:t>
      </w:r>
      <w:r w:rsidR="00270D20">
        <w:rPr>
          <w:rFonts w:asciiTheme="minorHAnsi" w:eastAsia="MS PGothic" w:hAnsiTheme="minorHAnsi"/>
          <w:iCs/>
          <w:color w:val="000000"/>
          <w:sz w:val="20"/>
          <w:lang w:val="en-US"/>
        </w:rPr>
        <w:t>2</w:t>
      </w:r>
      <w:r w:rsidR="009036C7">
        <w:rPr>
          <w:rFonts w:asciiTheme="minorHAnsi" w:eastAsia="MS PGothic" w:hAnsiTheme="minorHAnsi"/>
          <w:iCs/>
          <w:color w:val="000000"/>
          <w:sz w:val="20"/>
          <w:lang w:val="en-US"/>
        </w:rPr>
        <w:t xml:space="preserve"> </w:t>
      </w:r>
      <w:r w:rsidR="00270D20" w:rsidRPr="00270D20">
        <w:rPr>
          <w:rFonts w:asciiTheme="minorHAnsi" w:hAnsiTheme="minorHAnsi"/>
          <w:sz w:val="20"/>
        </w:rPr>
        <w:t xml:space="preserve">School of Engineering Newcastle University, </w:t>
      </w:r>
      <w:r w:rsidR="00270D20">
        <w:rPr>
          <w:rFonts w:asciiTheme="minorHAnsi" w:hAnsiTheme="minorHAnsi"/>
          <w:sz w:val="20"/>
        </w:rPr>
        <w:t>chris.o'malley@ncl.ac.uk</w:t>
      </w:r>
      <w:r w:rsidR="00270D20">
        <w:rPr>
          <w:rFonts w:asciiTheme="minorHAnsi" w:eastAsia="MS PGothic" w:hAnsiTheme="minorHAnsi"/>
          <w:i/>
          <w:iCs/>
          <w:color w:val="000000"/>
          <w:sz w:val="20"/>
          <w:lang w:val="en-US"/>
        </w:rPr>
        <w:t xml:space="preserve">; </w:t>
      </w:r>
      <w:r w:rsidR="00270D20">
        <w:rPr>
          <w:rFonts w:asciiTheme="minorHAnsi" w:eastAsia="MS PGothic" w:hAnsiTheme="minorHAnsi"/>
          <w:iCs/>
          <w:color w:val="000000"/>
          <w:sz w:val="20"/>
          <w:lang w:val="en-US"/>
        </w:rPr>
        <w:t>3</w:t>
      </w:r>
      <w:r w:rsidR="009036C7">
        <w:rPr>
          <w:rFonts w:asciiTheme="minorHAnsi" w:eastAsia="MS PGothic" w:hAnsiTheme="minorHAnsi"/>
          <w:iCs/>
          <w:color w:val="000000"/>
          <w:sz w:val="20"/>
          <w:lang w:val="en-US"/>
        </w:rPr>
        <w:t xml:space="preserve"> </w:t>
      </w:r>
      <w:r w:rsidR="00270D20" w:rsidRPr="00270D20">
        <w:rPr>
          <w:rFonts w:asciiTheme="minorHAnsi" w:hAnsiTheme="minorHAnsi"/>
          <w:sz w:val="20"/>
        </w:rPr>
        <w:t>School of Engineering Newcastle University,</w:t>
      </w:r>
      <w:r w:rsidR="006E1BC5">
        <w:rPr>
          <w:rFonts w:asciiTheme="minorHAnsi" w:hAnsiTheme="minorHAnsi"/>
          <w:sz w:val="20"/>
        </w:rPr>
        <w:t xml:space="preserve"> </w:t>
      </w:r>
      <w:r w:rsidR="00C06F29">
        <w:rPr>
          <w:rFonts w:asciiTheme="minorHAnsi" w:hAnsiTheme="minorHAnsi"/>
          <w:sz w:val="20"/>
        </w:rPr>
        <w:t>mark.willis</w:t>
      </w:r>
      <w:r w:rsidR="00270D20">
        <w:rPr>
          <w:rFonts w:asciiTheme="minorHAnsi" w:hAnsiTheme="minorHAnsi"/>
          <w:sz w:val="20"/>
        </w:rPr>
        <w:t>@ncl.ac.uk</w:t>
      </w:r>
    </w:p>
    <w:p w:rsidR="00DB6ED1"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063CD" w:rsidRDefault="009036C7" w:rsidP="00AB3C6C">
      <w:pPr>
        <w:pStyle w:val="AbstractBody"/>
        <w:numPr>
          <w:ilvl w:val="2"/>
          <w:numId w:val="19"/>
        </w:numPr>
        <w:rPr>
          <w:rFonts w:asciiTheme="minorHAnsi" w:hAnsiTheme="minorHAnsi"/>
        </w:rPr>
      </w:pPr>
      <w:r w:rsidRPr="00A063CD">
        <w:rPr>
          <w:rFonts w:asciiTheme="minorHAnsi" w:hAnsiTheme="minorHAnsi"/>
        </w:rPr>
        <w:t>A new method to identify</w:t>
      </w:r>
      <w:r w:rsidR="00BA315A" w:rsidRPr="00A063CD">
        <w:rPr>
          <w:rFonts w:asciiTheme="minorHAnsi" w:hAnsiTheme="minorHAnsi"/>
        </w:rPr>
        <w:t xml:space="preserve"> </w:t>
      </w:r>
      <w:r w:rsidR="006E1BC5" w:rsidRPr="00A063CD">
        <w:rPr>
          <w:rFonts w:asciiTheme="minorHAnsi" w:hAnsiTheme="minorHAnsi"/>
        </w:rPr>
        <w:t xml:space="preserve">unknown </w:t>
      </w:r>
      <w:r w:rsidR="00BA315A" w:rsidRPr="00A063CD">
        <w:rPr>
          <w:rFonts w:asciiTheme="minorHAnsi" w:hAnsiTheme="minorHAnsi"/>
        </w:rPr>
        <w:t xml:space="preserve">parameters in large scale </w:t>
      </w:r>
      <w:r w:rsidR="006E1BC5" w:rsidRPr="00A063CD">
        <w:rPr>
          <w:rFonts w:asciiTheme="minorHAnsi" w:hAnsiTheme="minorHAnsi"/>
        </w:rPr>
        <w:t>dynamic models</w:t>
      </w:r>
      <w:r w:rsidR="00BA315A" w:rsidRPr="00A063CD">
        <w:rPr>
          <w:rFonts w:asciiTheme="minorHAnsi" w:hAnsiTheme="minorHAnsi"/>
        </w:rPr>
        <w:t>.</w:t>
      </w:r>
    </w:p>
    <w:p w:rsidR="00A063CD" w:rsidRDefault="00AB3C6C" w:rsidP="009D299C">
      <w:pPr>
        <w:pStyle w:val="AbstractBody"/>
        <w:numPr>
          <w:ilvl w:val="0"/>
          <w:numId w:val="19"/>
        </w:numPr>
        <w:ind w:left="1429" w:hanging="709"/>
        <w:rPr>
          <w:rFonts w:asciiTheme="minorHAnsi" w:hAnsiTheme="minorHAnsi"/>
        </w:rPr>
      </w:pPr>
      <w:r w:rsidRPr="00A063CD">
        <w:rPr>
          <w:rFonts w:asciiTheme="minorHAnsi" w:hAnsiTheme="minorHAnsi"/>
        </w:rPr>
        <w:t>State substitution using a non-parametric model allows decoupled equations to be solved independently</w:t>
      </w:r>
      <w:r w:rsidR="00163B0F" w:rsidRPr="00A063CD">
        <w:rPr>
          <w:rFonts w:asciiTheme="minorHAnsi" w:hAnsiTheme="minorHAnsi"/>
        </w:rPr>
        <w:t>.</w:t>
      </w:r>
    </w:p>
    <w:p w:rsidR="00BA315A" w:rsidRPr="00A063CD" w:rsidRDefault="00AB3C6C" w:rsidP="009D299C">
      <w:pPr>
        <w:pStyle w:val="AbstractBody"/>
        <w:numPr>
          <w:ilvl w:val="0"/>
          <w:numId w:val="19"/>
        </w:numPr>
        <w:ind w:left="1429" w:hanging="709"/>
        <w:rPr>
          <w:rFonts w:asciiTheme="minorHAnsi" w:hAnsiTheme="minorHAnsi"/>
        </w:rPr>
      </w:pPr>
      <w:r w:rsidRPr="00A063CD">
        <w:rPr>
          <w:rFonts w:asciiTheme="minorHAnsi" w:hAnsiTheme="minorHAnsi"/>
        </w:rPr>
        <w:t>A computation</w:t>
      </w:r>
      <w:r w:rsidR="00A063CD" w:rsidRPr="00A063CD">
        <w:rPr>
          <w:rFonts w:asciiTheme="minorHAnsi" w:hAnsiTheme="minorHAnsi"/>
        </w:rPr>
        <w:t>ally</w:t>
      </w:r>
      <w:r w:rsidRPr="00A063CD">
        <w:rPr>
          <w:rFonts w:asciiTheme="minorHAnsi" w:hAnsiTheme="minorHAnsi"/>
        </w:rPr>
        <w:t xml:space="preserve"> efficient and accurate parameter identification method when compared to alternative techniques</w:t>
      </w:r>
      <w:r w:rsidR="00163B0F" w:rsidRPr="00A063CD">
        <w:rPr>
          <w:rFonts w:asciiTheme="minorHAnsi" w:hAnsiTheme="minorHAnsi"/>
        </w:rPr>
        <w:t>.</w:t>
      </w:r>
    </w:p>
    <w:p w:rsidR="00704BDF" w:rsidRPr="008D0BEB" w:rsidRDefault="00704BDF" w:rsidP="00612E83">
      <w:pPr>
        <w:snapToGrid w:val="0"/>
        <w:spacing w:before="120" w:line="24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w:t>
      </w:r>
      <w:r w:rsidR="005719FD">
        <w:rPr>
          <w:rFonts w:asciiTheme="minorHAnsi" w:eastAsia="MS PGothic" w:hAnsiTheme="minorHAnsi"/>
          <w:b/>
          <w:bCs/>
          <w:color w:val="000000"/>
          <w:sz w:val="22"/>
          <w:szCs w:val="22"/>
          <w:lang w:val="en-US"/>
        </w:rPr>
        <w:t>0</w:t>
      </w:r>
      <w:r w:rsidRPr="008D0BEB">
        <w:rPr>
          <w:rFonts w:asciiTheme="minorHAnsi" w:eastAsia="MS PGothic" w:hAnsiTheme="minorHAnsi"/>
          <w:b/>
          <w:bCs/>
          <w:color w:val="000000"/>
          <w:sz w:val="22"/>
          <w:szCs w:val="22"/>
          <w:lang w:val="en-US"/>
        </w:rPr>
        <w:t xml:space="preserve"> Introduction</w:t>
      </w:r>
    </w:p>
    <w:p w:rsidR="00A90AE3" w:rsidRDefault="00EA02BB" w:rsidP="00612E83">
      <w:pPr>
        <w:spacing w:line="240" w:lineRule="auto"/>
        <w:jc w:val="left"/>
        <w:rPr>
          <w:rFonts w:asciiTheme="minorHAnsi" w:hAnsiTheme="minorHAnsi"/>
          <w:sz w:val="22"/>
          <w:szCs w:val="22"/>
        </w:rPr>
      </w:pPr>
      <w:r w:rsidRPr="00EA02BB">
        <w:rPr>
          <w:rFonts w:asciiTheme="minorHAnsi" w:hAnsiTheme="minorHAnsi" w:cstheme="minorHAnsi"/>
          <w:sz w:val="22"/>
          <w:szCs w:val="22"/>
        </w:rPr>
        <w:t xml:space="preserve">The ability to identify the parameters of models of complex large-scale (bio) chemical systems is critical in order to develop an understanding of a system as well as to use the model as a basis for process control or process optimization. Established methods of parameter identification normally simultaneously solve the entire set of nonlinear ordinary differential equations (ODEs) that describe the system to determine the model parameters. </w:t>
      </w:r>
      <w:r>
        <w:rPr>
          <w:rFonts w:asciiTheme="minorHAnsi" w:hAnsiTheme="minorHAnsi" w:cstheme="minorHAnsi"/>
          <w:sz w:val="22"/>
          <w:szCs w:val="22"/>
        </w:rPr>
        <w:t>Generally, the</w:t>
      </w:r>
      <w:r w:rsidRPr="00EA02BB">
        <w:rPr>
          <w:rFonts w:asciiTheme="minorHAnsi" w:hAnsiTheme="minorHAnsi" w:cstheme="minorHAnsi"/>
          <w:sz w:val="22"/>
          <w:szCs w:val="22"/>
        </w:rPr>
        <w:t xml:space="preserve"> ODEs are </w:t>
      </w:r>
      <w:r w:rsidR="00612E83">
        <w:rPr>
          <w:rFonts w:asciiTheme="minorHAnsi" w:hAnsiTheme="minorHAnsi" w:cstheme="minorHAnsi"/>
          <w:sz w:val="22"/>
          <w:szCs w:val="22"/>
        </w:rPr>
        <w:t xml:space="preserve">numerically </w:t>
      </w:r>
      <w:r w:rsidRPr="00EA02BB">
        <w:rPr>
          <w:rFonts w:asciiTheme="minorHAnsi" w:hAnsiTheme="minorHAnsi" w:cstheme="minorHAnsi"/>
          <w:sz w:val="22"/>
          <w:szCs w:val="22"/>
        </w:rPr>
        <w:t xml:space="preserve">integrated and </w:t>
      </w:r>
      <w:r>
        <w:rPr>
          <w:rFonts w:asciiTheme="minorHAnsi" w:hAnsiTheme="minorHAnsi" w:cstheme="minorHAnsi"/>
          <w:sz w:val="22"/>
          <w:szCs w:val="22"/>
        </w:rPr>
        <w:t xml:space="preserve">the model parameters obtained using an </w:t>
      </w:r>
      <w:r w:rsidRPr="00EA02BB">
        <w:rPr>
          <w:rFonts w:asciiTheme="minorHAnsi" w:hAnsiTheme="minorHAnsi" w:cstheme="minorHAnsi"/>
          <w:sz w:val="22"/>
          <w:szCs w:val="22"/>
        </w:rPr>
        <w:t xml:space="preserve">optimisation </w:t>
      </w:r>
      <w:r>
        <w:rPr>
          <w:rFonts w:asciiTheme="minorHAnsi" w:hAnsiTheme="minorHAnsi" w:cstheme="minorHAnsi"/>
          <w:sz w:val="22"/>
          <w:szCs w:val="22"/>
        </w:rPr>
        <w:t>algorithm that minimises the difference between the</w:t>
      </w:r>
      <w:r w:rsidRPr="00EA02BB">
        <w:rPr>
          <w:rFonts w:asciiTheme="minorHAnsi" w:hAnsiTheme="minorHAnsi" w:cstheme="minorHAnsi"/>
          <w:sz w:val="22"/>
          <w:szCs w:val="22"/>
        </w:rPr>
        <w:t xml:space="preserve"> model prediction</w:t>
      </w:r>
      <w:r>
        <w:rPr>
          <w:rFonts w:asciiTheme="minorHAnsi" w:hAnsiTheme="minorHAnsi" w:cstheme="minorHAnsi"/>
          <w:sz w:val="22"/>
          <w:szCs w:val="22"/>
        </w:rPr>
        <w:t>s</w:t>
      </w:r>
      <w:r w:rsidRPr="00EA02BB">
        <w:rPr>
          <w:rFonts w:asciiTheme="minorHAnsi" w:hAnsiTheme="minorHAnsi" w:cstheme="minorHAnsi"/>
          <w:sz w:val="22"/>
          <w:szCs w:val="22"/>
        </w:rPr>
        <w:t xml:space="preserve"> and </w:t>
      </w:r>
      <w:r>
        <w:rPr>
          <w:rFonts w:asciiTheme="minorHAnsi" w:hAnsiTheme="minorHAnsi" w:cstheme="minorHAnsi"/>
          <w:sz w:val="22"/>
          <w:szCs w:val="22"/>
        </w:rPr>
        <w:t xml:space="preserve">the </w:t>
      </w:r>
      <w:r w:rsidRPr="00EA02BB">
        <w:rPr>
          <w:rFonts w:asciiTheme="minorHAnsi" w:hAnsiTheme="minorHAnsi" w:cstheme="minorHAnsi"/>
          <w:sz w:val="22"/>
          <w:szCs w:val="22"/>
        </w:rPr>
        <w:t xml:space="preserve">measured </w:t>
      </w:r>
      <w:r>
        <w:rPr>
          <w:rFonts w:asciiTheme="minorHAnsi" w:hAnsiTheme="minorHAnsi" w:cstheme="minorHAnsi"/>
          <w:sz w:val="22"/>
          <w:szCs w:val="22"/>
        </w:rPr>
        <w:t xml:space="preserve">process </w:t>
      </w:r>
      <w:r w:rsidRPr="00EA02BB">
        <w:rPr>
          <w:rFonts w:asciiTheme="minorHAnsi" w:hAnsiTheme="minorHAnsi" w:cstheme="minorHAnsi"/>
          <w:sz w:val="22"/>
          <w:szCs w:val="22"/>
        </w:rPr>
        <w:t>data</w:t>
      </w:r>
      <w:r>
        <w:rPr>
          <w:rFonts w:asciiTheme="minorHAnsi" w:hAnsiTheme="minorHAnsi" w:cstheme="minorHAnsi"/>
          <w:sz w:val="22"/>
          <w:szCs w:val="22"/>
        </w:rPr>
        <w:t>. However, this is known to be a non-trivial task, often requiring significant solution times and being prone to sub-optimal parameter identification.</w:t>
      </w:r>
      <w:r w:rsidR="00595710">
        <w:rPr>
          <w:rFonts w:asciiTheme="minorHAnsi" w:hAnsiTheme="minorHAnsi" w:cstheme="minorHAnsi"/>
          <w:sz w:val="22"/>
          <w:szCs w:val="22"/>
        </w:rPr>
        <w:t xml:space="preserve"> </w:t>
      </w:r>
      <w:r w:rsidRPr="00D9385A">
        <w:rPr>
          <w:rFonts w:asciiTheme="minorHAnsi" w:hAnsiTheme="minorHAnsi"/>
          <w:sz w:val="22"/>
          <w:szCs w:val="22"/>
        </w:rPr>
        <w:t xml:space="preserve">In this contribution we propose a new method for the identification </w:t>
      </w:r>
      <w:r>
        <w:rPr>
          <w:rFonts w:asciiTheme="minorHAnsi" w:hAnsiTheme="minorHAnsi"/>
          <w:sz w:val="22"/>
          <w:szCs w:val="22"/>
        </w:rPr>
        <w:t xml:space="preserve">of unknown </w:t>
      </w:r>
      <w:r w:rsidRPr="00D9385A">
        <w:rPr>
          <w:rFonts w:asciiTheme="minorHAnsi" w:hAnsiTheme="minorHAnsi"/>
          <w:sz w:val="22"/>
          <w:szCs w:val="22"/>
        </w:rPr>
        <w:t>parameter</w:t>
      </w:r>
      <w:r>
        <w:rPr>
          <w:rFonts w:asciiTheme="minorHAnsi" w:hAnsiTheme="minorHAnsi"/>
          <w:sz w:val="22"/>
          <w:szCs w:val="22"/>
        </w:rPr>
        <w:t>s</w:t>
      </w:r>
      <w:r w:rsidRPr="00D9385A">
        <w:rPr>
          <w:rFonts w:asciiTheme="minorHAnsi" w:hAnsiTheme="minorHAnsi"/>
          <w:sz w:val="22"/>
          <w:szCs w:val="22"/>
        </w:rPr>
        <w:t xml:space="preserve"> of large scale </w:t>
      </w:r>
      <w:r>
        <w:rPr>
          <w:rFonts w:asciiTheme="minorHAnsi" w:hAnsiTheme="minorHAnsi"/>
          <w:sz w:val="22"/>
          <w:szCs w:val="22"/>
        </w:rPr>
        <w:t xml:space="preserve">(bio)chemical kinetic </w:t>
      </w:r>
      <w:r w:rsidRPr="00D9385A">
        <w:rPr>
          <w:rFonts w:asciiTheme="minorHAnsi" w:hAnsiTheme="minorHAnsi"/>
          <w:sz w:val="22"/>
          <w:szCs w:val="22"/>
        </w:rPr>
        <w:t>models.</w:t>
      </w:r>
    </w:p>
    <w:p w:rsidR="00552ACB" w:rsidRPr="00552ACB" w:rsidRDefault="00552ACB" w:rsidP="00612E83">
      <w:pPr>
        <w:spacing w:before="120" w:line="240" w:lineRule="auto"/>
        <w:rPr>
          <w:rFonts w:asciiTheme="minorHAnsi" w:hAnsiTheme="minorHAnsi"/>
          <w:b/>
          <w:sz w:val="22"/>
          <w:szCs w:val="22"/>
        </w:rPr>
      </w:pPr>
      <w:r w:rsidRPr="00552ACB">
        <w:rPr>
          <w:rFonts w:asciiTheme="minorHAnsi" w:hAnsiTheme="minorHAnsi"/>
          <w:b/>
          <w:sz w:val="22"/>
          <w:szCs w:val="22"/>
        </w:rPr>
        <w:t>2.0 Methods</w:t>
      </w:r>
    </w:p>
    <w:p w:rsidR="00D9385A" w:rsidRDefault="00612E83" w:rsidP="00612E83">
      <w:pPr>
        <w:spacing w:line="240" w:lineRule="auto"/>
        <w:jc w:val="left"/>
        <w:rPr>
          <w:rFonts w:asciiTheme="minorHAnsi" w:hAnsiTheme="minorHAnsi"/>
          <w:sz w:val="22"/>
          <w:szCs w:val="22"/>
        </w:rPr>
      </w:pPr>
      <w:r>
        <w:rPr>
          <w:rFonts w:asciiTheme="minorHAnsi" w:hAnsiTheme="minorHAnsi"/>
          <w:sz w:val="22"/>
          <w:szCs w:val="22"/>
        </w:rPr>
        <w:t>We decouple the</w:t>
      </w:r>
      <w:r w:rsidR="009148CF">
        <w:rPr>
          <w:rFonts w:asciiTheme="minorHAnsi" w:hAnsiTheme="minorHAnsi"/>
          <w:sz w:val="22"/>
          <w:szCs w:val="22"/>
        </w:rPr>
        <w:t xml:space="preserve"> set of ordinary differential equations</w:t>
      </w:r>
      <w:r w:rsidR="00DA5F86">
        <w:rPr>
          <w:rFonts w:asciiTheme="minorHAnsi" w:hAnsiTheme="minorHAnsi"/>
          <w:sz w:val="22"/>
          <w:szCs w:val="22"/>
        </w:rPr>
        <w:t xml:space="preserve"> (ODEs)</w:t>
      </w:r>
      <w:r w:rsidR="009148CF">
        <w:rPr>
          <w:rFonts w:asciiTheme="minorHAnsi" w:hAnsiTheme="minorHAnsi"/>
          <w:sz w:val="22"/>
          <w:szCs w:val="22"/>
        </w:rPr>
        <w:t xml:space="preserve"> describing kinetic phenomena</w:t>
      </w:r>
      <w:r w:rsidR="00D9385A" w:rsidRPr="00D9385A">
        <w:rPr>
          <w:rFonts w:asciiTheme="minorHAnsi" w:hAnsiTheme="minorHAnsi"/>
          <w:sz w:val="22"/>
          <w:szCs w:val="22"/>
        </w:rPr>
        <w:t xml:space="preserve"> into separate sub-systems, whose </w:t>
      </w:r>
      <w:r w:rsidR="009148CF">
        <w:rPr>
          <w:rFonts w:asciiTheme="minorHAnsi" w:hAnsiTheme="minorHAnsi"/>
          <w:sz w:val="22"/>
          <w:szCs w:val="22"/>
        </w:rPr>
        <w:t xml:space="preserve">unknown model </w:t>
      </w:r>
      <w:r w:rsidR="00D9385A" w:rsidRPr="00D9385A">
        <w:rPr>
          <w:rFonts w:asciiTheme="minorHAnsi" w:hAnsiTheme="minorHAnsi"/>
          <w:sz w:val="22"/>
          <w:szCs w:val="22"/>
        </w:rPr>
        <w:t>parameters can be identified separately</w:t>
      </w:r>
      <w:r w:rsidR="009148CF">
        <w:rPr>
          <w:rFonts w:asciiTheme="minorHAnsi" w:hAnsiTheme="minorHAnsi"/>
          <w:sz w:val="22"/>
          <w:szCs w:val="22"/>
        </w:rPr>
        <w:t xml:space="preserve">. </w:t>
      </w:r>
      <w:r w:rsidR="00DA5F86">
        <w:rPr>
          <w:rFonts w:asciiTheme="minorHAnsi" w:hAnsiTheme="minorHAnsi"/>
          <w:sz w:val="22"/>
          <w:szCs w:val="22"/>
        </w:rPr>
        <w:t>E</w:t>
      </w:r>
      <w:r w:rsidR="009148CF">
        <w:rPr>
          <w:rFonts w:asciiTheme="minorHAnsi" w:hAnsiTheme="minorHAnsi"/>
          <w:sz w:val="22"/>
          <w:szCs w:val="22"/>
        </w:rPr>
        <w:t xml:space="preserve">ach </w:t>
      </w:r>
      <w:r w:rsidR="00DA5F86">
        <w:rPr>
          <w:rFonts w:asciiTheme="minorHAnsi" w:hAnsiTheme="minorHAnsi"/>
          <w:sz w:val="22"/>
          <w:szCs w:val="22"/>
        </w:rPr>
        <w:t xml:space="preserve">ODE is considered </w:t>
      </w:r>
      <w:r w:rsidR="009148CF">
        <w:rPr>
          <w:rFonts w:asciiTheme="minorHAnsi" w:hAnsiTheme="minorHAnsi"/>
          <w:sz w:val="22"/>
          <w:szCs w:val="22"/>
        </w:rPr>
        <w:t xml:space="preserve">a separate </w:t>
      </w:r>
      <w:r w:rsidR="00FE0280">
        <w:rPr>
          <w:rFonts w:asciiTheme="minorHAnsi" w:hAnsiTheme="minorHAnsi"/>
          <w:sz w:val="22"/>
          <w:szCs w:val="22"/>
        </w:rPr>
        <w:t>sub-system</w:t>
      </w:r>
      <w:r w:rsidR="009148CF">
        <w:rPr>
          <w:rFonts w:asciiTheme="minorHAnsi" w:hAnsiTheme="minorHAnsi"/>
          <w:sz w:val="22"/>
          <w:szCs w:val="22"/>
        </w:rPr>
        <w:t xml:space="preserve"> and </w:t>
      </w:r>
      <w:r w:rsidR="009148CF" w:rsidRPr="00D9385A">
        <w:rPr>
          <w:rFonts w:asciiTheme="minorHAnsi" w:hAnsiTheme="minorHAnsi"/>
          <w:sz w:val="22"/>
          <w:szCs w:val="22"/>
        </w:rPr>
        <w:t>state substitution</w:t>
      </w:r>
      <w:r w:rsidR="00595710">
        <w:rPr>
          <w:rFonts w:asciiTheme="minorHAnsi" w:hAnsiTheme="minorHAnsi"/>
          <w:sz w:val="22"/>
          <w:szCs w:val="22"/>
        </w:rPr>
        <w:t xml:space="preserve"> </w:t>
      </w:r>
      <w:r w:rsidR="00DA5F86">
        <w:rPr>
          <w:rFonts w:asciiTheme="minorHAnsi" w:hAnsiTheme="minorHAnsi"/>
          <w:sz w:val="22"/>
          <w:szCs w:val="22"/>
        </w:rPr>
        <w:t xml:space="preserve">is used </w:t>
      </w:r>
      <w:r w:rsidR="00FE0280">
        <w:rPr>
          <w:rFonts w:asciiTheme="minorHAnsi" w:hAnsiTheme="minorHAnsi"/>
          <w:sz w:val="22"/>
          <w:szCs w:val="22"/>
        </w:rPr>
        <w:t xml:space="preserve">to replace </w:t>
      </w:r>
      <w:r w:rsidR="0042302F">
        <w:rPr>
          <w:rFonts w:asciiTheme="minorHAnsi" w:hAnsiTheme="minorHAnsi"/>
          <w:sz w:val="22"/>
          <w:szCs w:val="22"/>
        </w:rPr>
        <w:t xml:space="preserve">any </w:t>
      </w:r>
      <w:r w:rsidR="00FE0280" w:rsidRPr="00D9385A">
        <w:rPr>
          <w:rFonts w:asciiTheme="minorHAnsi" w:hAnsiTheme="minorHAnsi"/>
          <w:sz w:val="22"/>
          <w:szCs w:val="22"/>
        </w:rPr>
        <w:t xml:space="preserve">coupled </w:t>
      </w:r>
      <w:r w:rsidR="00DA5F86">
        <w:rPr>
          <w:rFonts w:asciiTheme="minorHAnsi" w:hAnsiTheme="minorHAnsi"/>
          <w:sz w:val="22"/>
          <w:szCs w:val="22"/>
        </w:rPr>
        <w:t xml:space="preserve">model </w:t>
      </w:r>
      <w:r w:rsidR="00FE0280" w:rsidRPr="00D9385A">
        <w:rPr>
          <w:rFonts w:asciiTheme="minorHAnsi" w:hAnsiTheme="minorHAnsi"/>
          <w:sz w:val="22"/>
          <w:szCs w:val="22"/>
        </w:rPr>
        <w:t>components</w:t>
      </w:r>
      <w:r w:rsidR="0042302F">
        <w:rPr>
          <w:rFonts w:asciiTheme="minorHAnsi" w:hAnsiTheme="minorHAnsi"/>
          <w:sz w:val="22"/>
          <w:szCs w:val="22"/>
        </w:rPr>
        <w:t xml:space="preserve">, i.e. </w:t>
      </w:r>
      <w:r w:rsidR="00DA5F86">
        <w:rPr>
          <w:rFonts w:asciiTheme="minorHAnsi" w:hAnsiTheme="minorHAnsi"/>
          <w:sz w:val="22"/>
          <w:szCs w:val="22"/>
        </w:rPr>
        <w:t>the additional states</w:t>
      </w:r>
      <w:r w:rsidR="0042302F">
        <w:rPr>
          <w:rFonts w:asciiTheme="minorHAnsi" w:hAnsiTheme="minorHAnsi"/>
          <w:sz w:val="22"/>
          <w:szCs w:val="22"/>
        </w:rPr>
        <w:t xml:space="preserve"> that would normally be obtained as a result of </w:t>
      </w:r>
      <w:r>
        <w:rPr>
          <w:rFonts w:asciiTheme="minorHAnsi" w:hAnsiTheme="minorHAnsi"/>
          <w:sz w:val="22"/>
          <w:szCs w:val="22"/>
        </w:rPr>
        <w:t xml:space="preserve">the numerical </w:t>
      </w:r>
      <w:r w:rsidR="0042302F">
        <w:rPr>
          <w:rFonts w:asciiTheme="minorHAnsi" w:hAnsiTheme="minorHAnsi"/>
          <w:sz w:val="22"/>
          <w:szCs w:val="22"/>
        </w:rPr>
        <w:t>integration of the entire system model</w:t>
      </w:r>
      <w:r w:rsidR="00FE0280">
        <w:rPr>
          <w:rFonts w:asciiTheme="minorHAnsi" w:hAnsiTheme="minorHAnsi"/>
          <w:sz w:val="22"/>
          <w:szCs w:val="22"/>
        </w:rPr>
        <w:t>.</w:t>
      </w:r>
      <w:r w:rsidR="00595710">
        <w:rPr>
          <w:rFonts w:asciiTheme="minorHAnsi" w:hAnsiTheme="minorHAnsi"/>
          <w:sz w:val="22"/>
          <w:szCs w:val="22"/>
        </w:rPr>
        <w:t xml:space="preserve"> </w:t>
      </w:r>
      <w:r w:rsidR="00414C08">
        <w:rPr>
          <w:rFonts w:asciiTheme="minorHAnsi" w:hAnsiTheme="minorHAnsi"/>
          <w:sz w:val="22"/>
          <w:szCs w:val="22"/>
        </w:rPr>
        <w:t xml:space="preserve">The state substitution method we employ </w:t>
      </w:r>
      <w:r w:rsidR="00A013E4">
        <w:rPr>
          <w:rFonts w:asciiTheme="minorHAnsi" w:hAnsiTheme="minorHAnsi"/>
          <w:sz w:val="22"/>
          <w:szCs w:val="22"/>
        </w:rPr>
        <w:t>relies</w:t>
      </w:r>
      <w:r w:rsidR="00414C08">
        <w:rPr>
          <w:rFonts w:asciiTheme="minorHAnsi" w:hAnsiTheme="minorHAnsi"/>
          <w:sz w:val="22"/>
          <w:szCs w:val="22"/>
        </w:rPr>
        <w:t xml:space="preserve"> on the use of measured state variables that are regressed against time using a suitable non-parametric model, e.g. polynomial, spline, neural network. The nonparametric model is then used to replace the states of any of the coupled components of each ODE.</w:t>
      </w:r>
      <w:r w:rsidR="00595710">
        <w:rPr>
          <w:rFonts w:asciiTheme="minorHAnsi" w:hAnsiTheme="minorHAnsi"/>
          <w:sz w:val="22"/>
          <w:szCs w:val="22"/>
        </w:rPr>
        <w:t xml:space="preserve"> </w:t>
      </w:r>
      <w:r w:rsidR="0042302F" w:rsidRPr="00D9385A">
        <w:rPr>
          <w:rFonts w:asciiTheme="minorHAnsi" w:hAnsiTheme="minorHAnsi"/>
          <w:sz w:val="22"/>
          <w:szCs w:val="22"/>
        </w:rPr>
        <w:t xml:space="preserve">This </w:t>
      </w:r>
      <w:r>
        <w:rPr>
          <w:rFonts w:asciiTheme="minorHAnsi" w:hAnsiTheme="minorHAnsi"/>
          <w:sz w:val="22"/>
          <w:szCs w:val="22"/>
        </w:rPr>
        <w:t>allows numerical integration of</w:t>
      </w:r>
      <w:r w:rsidR="0042302F" w:rsidRPr="00D9385A">
        <w:rPr>
          <w:rFonts w:asciiTheme="minorHAnsi" w:hAnsiTheme="minorHAnsi"/>
          <w:sz w:val="22"/>
          <w:szCs w:val="22"/>
        </w:rPr>
        <w:t xml:space="preserve"> each </w:t>
      </w:r>
      <w:r w:rsidR="00DA5F86">
        <w:rPr>
          <w:rFonts w:asciiTheme="minorHAnsi" w:hAnsiTheme="minorHAnsi"/>
          <w:sz w:val="22"/>
          <w:szCs w:val="22"/>
        </w:rPr>
        <w:t>ODE</w:t>
      </w:r>
      <w:r w:rsidR="00EA00E0">
        <w:rPr>
          <w:rFonts w:asciiTheme="minorHAnsi" w:hAnsiTheme="minorHAnsi"/>
          <w:sz w:val="22"/>
          <w:szCs w:val="22"/>
        </w:rPr>
        <w:t xml:space="preserve"> separately and </w:t>
      </w:r>
      <w:r>
        <w:rPr>
          <w:rFonts w:asciiTheme="minorHAnsi" w:hAnsiTheme="minorHAnsi"/>
          <w:sz w:val="22"/>
          <w:szCs w:val="22"/>
        </w:rPr>
        <w:t xml:space="preserve">the </w:t>
      </w:r>
      <w:r w:rsidR="00EA00E0">
        <w:rPr>
          <w:rFonts w:asciiTheme="minorHAnsi" w:hAnsiTheme="minorHAnsi"/>
          <w:sz w:val="22"/>
          <w:szCs w:val="22"/>
        </w:rPr>
        <w:t>use</w:t>
      </w:r>
      <w:r>
        <w:rPr>
          <w:rFonts w:asciiTheme="minorHAnsi" w:hAnsiTheme="minorHAnsi"/>
          <w:sz w:val="22"/>
          <w:szCs w:val="22"/>
        </w:rPr>
        <w:t xml:space="preserve"> of</w:t>
      </w:r>
      <w:r w:rsidR="0042302F" w:rsidRPr="00D9385A">
        <w:rPr>
          <w:rFonts w:asciiTheme="minorHAnsi" w:hAnsiTheme="minorHAnsi"/>
          <w:sz w:val="22"/>
          <w:szCs w:val="22"/>
        </w:rPr>
        <w:t xml:space="preserve"> traditional parameter identification techniques to identify </w:t>
      </w:r>
      <w:r w:rsidR="00DA5F86">
        <w:rPr>
          <w:rFonts w:asciiTheme="minorHAnsi" w:hAnsiTheme="minorHAnsi"/>
          <w:sz w:val="22"/>
          <w:szCs w:val="22"/>
        </w:rPr>
        <w:t xml:space="preserve">any </w:t>
      </w:r>
      <w:r w:rsidR="0042302F">
        <w:rPr>
          <w:rFonts w:asciiTheme="minorHAnsi" w:hAnsiTheme="minorHAnsi"/>
          <w:sz w:val="22"/>
          <w:szCs w:val="22"/>
        </w:rPr>
        <w:t xml:space="preserve">unknown </w:t>
      </w:r>
      <w:r w:rsidR="0042302F" w:rsidRPr="00D9385A">
        <w:rPr>
          <w:rFonts w:asciiTheme="minorHAnsi" w:hAnsiTheme="minorHAnsi"/>
          <w:sz w:val="22"/>
          <w:szCs w:val="22"/>
        </w:rPr>
        <w:t>parameters of each sub-model.</w:t>
      </w:r>
      <w:r w:rsidR="00552ACB">
        <w:rPr>
          <w:rFonts w:asciiTheme="minorHAnsi" w:hAnsiTheme="minorHAnsi"/>
          <w:sz w:val="22"/>
          <w:szCs w:val="22"/>
        </w:rPr>
        <w:t xml:space="preserve">  In a final stage of our method, we then integrate the entire set of ODEs using a </w:t>
      </w:r>
      <w:r w:rsidR="00D9385A" w:rsidRPr="00D9385A">
        <w:rPr>
          <w:rFonts w:asciiTheme="minorHAnsi" w:hAnsiTheme="minorHAnsi"/>
          <w:sz w:val="22"/>
          <w:szCs w:val="22"/>
        </w:rPr>
        <w:t xml:space="preserve">global </w:t>
      </w:r>
      <w:r w:rsidR="00552ACB">
        <w:rPr>
          <w:rFonts w:asciiTheme="minorHAnsi" w:hAnsiTheme="minorHAnsi"/>
          <w:sz w:val="22"/>
          <w:szCs w:val="22"/>
        </w:rPr>
        <w:t xml:space="preserve">optimisation algorithm using the numerical values of the model parameters obtained from the optimisation of each sub-system as the initial guess. </w:t>
      </w:r>
      <w:r w:rsidR="00471F34">
        <w:rPr>
          <w:rFonts w:asciiTheme="minorHAnsi" w:hAnsiTheme="minorHAnsi"/>
          <w:sz w:val="22"/>
          <w:szCs w:val="22"/>
        </w:rPr>
        <w:t>T</w:t>
      </w:r>
      <w:r w:rsidR="00552ACB">
        <w:rPr>
          <w:rFonts w:asciiTheme="minorHAnsi" w:hAnsiTheme="minorHAnsi"/>
          <w:sz w:val="22"/>
          <w:szCs w:val="22"/>
        </w:rPr>
        <w:t>his not only</w:t>
      </w:r>
      <w:r w:rsidR="00595710">
        <w:rPr>
          <w:rFonts w:asciiTheme="minorHAnsi" w:hAnsiTheme="minorHAnsi"/>
          <w:sz w:val="22"/>
          <w:szCs w:val="22"/>
        </w:rPr>
        <w:t xml:space="preserve"> </w:t>
      </w:r>
      <w:r w:rsidR="00552ACB" w:rsidRPr="00D9385A">
        <w:rPr>
          <w:rFonts w:asciiTheme="minorHAnsi" w:hAnsiTheme="minorHAnsi"/>
          <w:sz w:val="22"/>
          <w:szCs w:val="22"/>
        </w:rPr>
        <w:t>reduces computational time significantly compared to curren</w:t>
      </w:r>
      <w:r w:rsidR="00552ACB">
        <w:rPr>
          <w:rFonts w:asciiTheme="minorHAnsi" w:hAnsiTheme="minorHAnsi"/>
          <w:sz w:val="22"/>
          <w:szCs w:val="22"/>
        </w:rPr>
        <w:t>t simultaneous solution methods it ensures statistical optimality of the final parameter values.</w:t>
      </w:r>
    </w:p>
    <w:p w:rsidR="00A266A6" w:rsidRDefault="00A90AE3" w:rsidP="005719FD">
      <w:pPr>
        <w:snapToGrid w:val="0"/>
        <w:spacing w:before="120" w:line="240" w:lineRule="auto"/>
        <w:jc w:val="left"/>
        <w:rPr>
          <w:rFonts w:asciiTheme="minorHAnsi" w:hAnsiTheme="minorHAnsi"/>
          <w:sz w:val="22"/>
          <w:szCs w:val="22"/>
        </w:rPr>
      </w:pPr>
      <w:r w:rsidRPr="00E7755E">
        <w:rPr>
          <w:rFonts w:asciiTheme="minorHAnsi" w:hAnsiTheme="minorHAnsi"/>
          <w:sz w:val="22"/>
          <w:szCs w:val="22"/>
        </w:rPr>
        <w:t>To demonstrate the method</w:t>
      </w:r>
      <w:r>
        <w:rPr>
          <w:rFonts w:asciiTheme="minorHAnsi" w:hAnsiTheme="minorHAnsi"/>
          <w:sz w:val="22"/>
          <w:szCs w:val="22"/>
        </w:rPr>
        <w:t>,</w:t>
      </w:r>
      <w:r w:rsidRPr="00E7755E">
        <w:rPr>
          <w:rFonts w:asciiTheme="minorHAnsi" w:hAnsiTheme="minorHAnsi"/>
          <w:sz w:val="22"/>
          <w:szCs w:val="22"/>
        </w:rPr>
        <w:t xml:space="preserve"> it is applied to a biochemical process model described in [1]</w:t>
      </w:r>
      <w:r>
        <w:rPr>
          <w:rFonts w:asciiTheme="minorHAnsi" w:hAnsiTheme="minorHAnsi"/>
          <w:sz w:val="22"/>
          <w:szCs w:val="22"/>
        </w:rPr>
        <w:t xml:space="preserve">, and compared with </w:t>
      </w:r>
      <w:r w:rsidR="00471F34">
        <w:rPr>
          <w:rFonts w:asciiTheme="minorHAnsi" w:hAnsiTheme="minorHAnsi"/>
          <w:sz w:val="22"/>
          <w:szCs w:val="22"/>
        </w:rPr>
        <w:t xml:space="preserve">a </w:t>
      </w:r>
      <w:r>
        <w:rPr>
          <w:rFonts w:asciiTheme="minorHAnsi" w:hAnsiTheme="minorHAnsi"/>
          <w:sz w:val="22"/>
          <w:szCs w:val="22"/>
        </w:rPr>
        <w:t>Latin hypercube induced multi-s</w:t>
      </w:r>
      <w:r w:rsidR="00595710">
        <w:rPr>
          <w:rFonts w:asciiTheme="minorHAnsi" w:hAnsiTheme="minorHAnsi"/>
          <w:sz w:val="22"/>
          <w:szCs w:val="22"/>
        </w:rPr>
        <w:t>tart</w:t>
      </w:r>
      <w:r>
        <w:rPr>
          <w:rFonts w:asciiTheme="minorHAnsi" w:hAnsiTheme="minorHAnsi"/>
          <w:sz w:val="22"/>
          <w:szCs w:val="22"/>
        </w:rPr>
        <w:t xml:space="preserve"> method, which has been reported to be an efficient method for model calibration in systems biology models [2,3]. </w:t>
      </w:r>
      <w:r w:rsidR="00A266A6">
        <w:rPr>
          <w:rFonts w:asciiTheme="minorHAnsi" w:hAnsiTheme="minorHAnsi"/>
          <w:sz w:val="22"/>
          <w:szCs w:val="22"/>
        </w:rPr>
        <w:t>The model is shown below where it may be observed that there are 15 unknown kinetic parameters</w:t>
      </w:r>
      <w:r w:rsidR="00595710">
        <w:rPr>
          <w:rFonts w:asciiTheme="minorHAnsi" w:hAnsiTheme="minorHAnsi"/>
          <w:sz w:val="22"/>
          <w:szCs w:val="22"/>
        </w:rPr>
        <w:t xml:space="preserve">, </w:t>
      </w:r>
      <m:oMath>
        <m:r>
          <w:rPr>
            <w:rFonts w:ascii="Cambria Math" w:hAnsi="Cambria Math"/>
            <w:sz w:val="22"/>
            <w:szCs w:val="22"/>
          </w:rPr>
          <m:t>p1,…,p16</m:t>
        </m:r>
      </m:oMath>
      <w:r w:rsidR="00595710">
        <w:rPr>
          <w:rFonts w:asciiTheme="minorHAnsi" w:hAnsiTheme="minorHAnsi"/>
          <w:sz w:val="22"/>
          <w:szCs w:val="22"/>
        </w:rPr>
        <w:t xml:space="preserve">, </w:t>
      </w:r>
      <w:r w:rsidR="00E01BD8">
        <w:rPr>
          <w:rFonts w:asciiTheme="minorHAnsi" w:hAnsiTheme="minorHAnsi"/>
          <w:sz w:val="22"/>
          <w:szCs w:val="22"/>
        </w:rPr>
        <w:t xml:space="preserve">and </w:t>
      </w:r>
      <w:r w:rsidR="00595710">
        <w:rPr>
          <w:rFonts w:asciiTheme="minorHAnsi" w:hAnsiTheme="minorHAnsi"/>
          <w:sz w:val="22"/>
          <w:szCs w:val="22"/>
        </w:rPr>
        <w:t>each</w:t>
      </w:r>
      <w:r w:rsidR="00E01BD8">
        <w:rPr>
          <w:rFonts w:asciiTheme="minorHAnsi" w:hAnsiTheme="minorHAnsi"/>
          <w:sz w:val="22"/>
          <w:szCs w:val="22"/>
        </w:rPr>
        <w:t xml:space="preserve"> state </w:t>
      </w:r>
      <m:oMath>
        <m:r>
          <w:rPr>
            <w:rFonts w:ascii="Cambria Math" w:hAnsi="Cambria Math"/>
            <w:sz w:val="22"/>
            <w:szCs w:val="22"/>
          </w:rPr>
          <m:t>x1,…,x6</m:t>
        </m:r>
      </m:oMath>
      <w:r w:rsidR="00595710">
        <w:rPr>
          <w:rFonts w:asciiTheme="minorHAnsi" w:hAnsiTheme="minorHAnsi"/>
          <w:sz w:val="22"/>
          <w:szCs w:val="22"/>
        </w:rPr>
        <w:t>, is</w:t>
      </w:r>
      <w:r w:rsidR="00E01BD8">
        <w:rPr>
          <w:rFonts w:asciiTheme="minorHAnsi" w:hAnsiTheme="minorHAnsi"/>
          <w:sz w:val="22"/>
          <w:szCs w:val="22"/>
        </w:rPr>
        <w:t xml:space="preserve"> assumed measured,</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111"/>
      </w:tblGrid>
      <w:tr w:rsidR="00A266A6" w:rsidTr="00E01BD8">
        <w:tc>
          <w:tcPr>
            <w:tcW w:w="4815" w:type="dxa"/>
          </w:tcPr>
          <w:p w:rsidR="00A266A6" w:rsidRDefault="00A266A6" w:rsidP="00612E83">
            <w:pPr>
              <w:snapToGrid w:val="0"/>
              <w:spacing w:line="240" w:lineRule="auto"/>
              <w:rPr>
                <w:rFonts w:asciiTheme="minorHAnsi" w:hAnsiTheme="minorHAnsi"/>
              </w:rPr>
            </w:pPr>
          </w:p>
          <w:p w:rsidR="00A266A6" w:rsidRPr="00A266A6" w:rsidRDefault="00740CB5" w:rsidP="00612E83">
            <w:pPr>
              <w:snapToGrid w:val="0"/>
              <w:spacing w:line="240" w:lineRule="auto"/>
              <w:rPr>
                <w:rFonts w:asciiTheme="minorHAnsi" w:hAnsiTheme="minorHAnsi"/>
                <w:sz w:val="22"/>
                <w:szCs w:val="22"/>
              </w:rPr>
            </w:pPr>
            <m:oMathPara>
              <m:oMathParaPr>
                <m:jc m:val="center"/>
              </m:oMathParaPr>
              <m:oMath>
                <m:f>
                  <m:fPr>
                    <m:ctrlPr>
                      <w:rPr>
                        <w:rFonts w:ascii="Cambria Math" w:hAnsi="Cambria Math"/>
                        <w:i/>
                      </w:rPr>
                    </m:ctrlPr>
                  </m:fPr>
                  <m:num>
                    <m:r>
                      <w:rPr>
                        <w:rFonts w:ascii="Cambria Math" w:hAnsi="Cambria Math"/>
                      </w:rPr>
                      <m:t>d</m:t>
                    </m:r>
                  </m:num>
                  <m:den>
                    <m:r>
                      <w:rPr>
                        <w:rFonts w:ascii="Cambria Math" w:hAnsi="Cambria Math"/>
                      </w:rPr>
                      <m:t>dt</m:t>
                    </m:r>
                  </m:den>
                </m:f>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x1</m:t>
                          </m:r>
                          <m:ctrlPr>
                            <w:rPr>
                              <w:rFonts w:ascii="Cambria Math" w:eastAsia="Cambria Math" w:hAnsi="Cambria Math" w:cs="Cambria Math"/>
                              <w:i/>
                            </w:rPr>
                          </m:ctrlPr>
                        </m:e>
                      </m:mr>
                      <m:mr>
                        <m:e>
                          <m:r>
                            <w:rPr>
                              <w:rFonts w:ascii="Cambria Math" w:eastAsia="Cambria Math" w:hAnsi="Cambria Math" w:cs="Cambria Math"/>
                            </w:rPr>
                            <m:t>x2</m:t>
                          </m:r>
                          <m:ctrlPr>
                            <w:rPr>
                              <w:rFonts w:ascii="Cambria Math" w:eastAsia="Cambria Math" w:hAnsi="Cambria Math" w:cs="Cambria Math"/>
                              <w:i/>
                            </w:rPr>
                          </m:ctrlPr>
                        </m:e>
                      </m:mr>
                      <m:mr>
                        <m:e>
                          <m:r>
                            <w:rPr>
                              <w:rFonts w:ascii="Cambria Math" w:eastAsia="Cambria Math" w:hAnsi="Cambria Math" w:cs="Cambria Math"/>
                            </w:rPr>
                            <m:t>x3</m:t>
                          </m:r>
                          <m:ctrlPr>
                            <w:rPr>
                              <w:rFonts w:ascii="Cambria Math" w:eastAsia="Cambria Math" w:hAnsi="Cambria Math" w:cs="Cambria Math"/>
                              <w:i/>
                            </w:rPr>
                          </m:ctrlPr>
                        </m:e>
                      </m:mr>
                      <m:mr>
                        <m:e>
                          <m:r>
                            <w:rPr>
                              <w:rFonts w:ascii="Cambria Math" w:eastAsia="Cambria Math" w:hAnsi="Cambria Math" w:cs="Cambria Math"/>
                            </w:rPr>
                            <m:t>x4</m:t>
                          </m:r>
                          <m:ctrlPr>
                            <w:rPr>
                              <w:rFonts w:ascii="Cambria Math" w:eastAsia="Cambria Math" w:hAnsi="Cambria Math" w:cs="Cambria Math"/>
                              <w:i/>
                            </w:rPr>
                          </m:ctrlPr>
                        </m:e>
                      </m:mr>
                      <m:mr>
                        <m:e>
                          <m:r>
                            <w:rPr>
                              <w:rFonts w:ascii="Cambria Math" w:eastAsia="Cambria Math" w:hAnsi="Cambria Math" w:cs="Cambria Math"/>
                            </w:rPr>
                            <m:t>x5</m:t>
                          </m:r>
                        </m:e>
                      </m:mr>
                      <m:mr>
                        <m:e>
                          <m:r>
                            <w:rPr>
                              <w:rFonts w:ascii="Cambria Math" w:hAnsi="Cambria Math"/>
                            </w:rPr>
                            <m:t>x6</m:t>
                          </m:r>
                        </m:e>
                      </m:mr>
                    </m:m>
                  </m:e>
                </m:d>
                <m:r>
                  <w:rPr>
                    <w:rFonts w:ascii="Cambria Math" w:hAnsi="Cambria Math"/>
                  </w:rPr>
                  <m:t xml:space="preserve"> = </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-1/p8</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p9/p8</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p9</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-1/p12</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p13/p12</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f1</m:t>
                          </m:r>
                          <m:ctrlPr>
                            <w:rPr>
                              <w:rFonts w:ascii="Cambria Math" w:eastAsia="Cambria Math" w:hAnsi="Cambria Math" w:cs="Cambria Math"/>
                              <w:i/>
                            </w:rPr>
                          </m:ctrlPr>
                        </m:e>
                      </m:mr>
                      <m:mr>
                        <m:e>
                          <m:r>
                            <w:rPr>
                              <w:rFonts w:ascii="Cambria Math" w:eastAsia="Cambria Math" w:hAnsi="Cambria Math" w:cs="Cambria Math"/>
                            </w:rPr>
                            <m:t>f2</m:t>
                          </m:r>
                          <m:ctrlPr>
                            <w:rPr>
                              <w:rFonts w:ascii="Cambria Math" w:eastAsia="Cambria Math" w:hAnsi="Cambria Math" w:cs="Cambria Math"/>
                              <w:i/>
                            </w:rPr>
                          </m:ctrlPr>
                        </m:e>
                      </m:mr>
                      <m:mr>
                        <m:e>
                          <m:r>
                            <w:rPr>
                              <w:rFonts w:ascii="Cambria Math" w:eastAsia="Cambria Math" w:hAnsi="Cambria Math" w:cs="Cambria Math"/>
                            </w:rPr>
                            <m:t>f3</m:t>
                          </m:r>
                        </m:e>
                      </m:mr>
                      <m:mr>
                        <m:e>
                          <m:r>
                            <w:rPr>
                              <w:rFonts w:ascii="Cambria Math" w:hAnsi="Cambria Math"/>
                            </w:rPr>
                            <m:t>f4</m:t>
                          </m:r>
                        </m:e>
                      </m:mr>
                    </m:m>
                  </m:e>
                </m:d>
              </m:oMath>
            </m:oMathPara>
          </w:p>
        </w:tc>
        <w:tc>
          <w:tcPr>
            <w:tcW w:w="4111" w:type="dxa"/>
          </w:tcPr>
          <w:p w:rsidR="00A266A6" w:rsidRPr="00A266A6" w:rsidRDefault="00740CB5" w:rsidP="00612E83">
            <w:pPr>
              <w:spacing w:line="240" w:lineRule="auto"/>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 </m:t>
                </m:r>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x1 , i=1,4</m:t>
                </m:r>
              </m:oMath>
            </m:oMathPara>
          </w:p>
          <w:p w:rsidR="00A266A6" w:rsidRPr="00A266A6" w:rsidRDefault="00740CB5" w:rsidP="00612E83">
            <w:pPr>
              <w:spacing w:line="240" w:lineRule="auto"/>
              <w:rPr>
                <w:rFonts w:eastAsiaTheme="minorEastAsia"/>
              </w:rPr>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 p1</m:t>
                </m:r>
                <m:f>
                  <m:fPr>
                    <m:ctrlPr>
                      <w:rPr>
                        <w:rFonts w:ascii="Cambria Math" w:hAnsi="Cambria Math"/>
                        <w:i/>
                      </w:rPr>
                    </m:ctrlPr>
                  </m:fPr>
                  <m:num>
                    <m:r>
                      <w:rPr>
                        <w:rFonts w:ascii="Cambria Math" w:hAnsi="Cambria Math"/>
                      </w:rPr>
                      <m:t>x2</m:t>
                    </m:r>
                  </m:num>
                  <m:den>
                    <m:r>
                      <w:rPr>
                        <w:rFonts w:ascii="Cambria Math" w:hAnsi="Cambria Math"/>
                      </w:rPr>
                      <m:t>(p2+x2)</m:t>
                    </m:r>
                  </m:den>
                </m:f>
                <m:f>
                  <m:fPr>
                    <m:ctrlPr>
                      <w:rPr>
                        <w:rFonts w:ascii="Cambria Math" w:hAnsi="Cambria Math"/>
                        <w:i/>
                      </w:rPr>
                    </m:ctrlPr>
                  </m:fPr>
                  <m:num>
                    <m:r>
                      <w:rPr>
                        <w:rFonts w:ascii="Cambria Math" w:hAnsi="Cambria Math"/>
                      </w:rPr>
                      <m:t>x4</m:t>
                    </m:r>
                  </m:num>
                  <m:den>
                    <m:r>
                      <w:rPr>
                        <w:rFonts w:ascii="Cambria Math" w:hAnsi="Cambria Math"/>
                      </w:rPr>
                      <m:t>(p3+x4)</m:t>
                    </m:r>
                  </m:den>
                </m:f>
              </m:oMath>
            </m:oMathPara>
          </w:p>
          <w:p w:rsidR="00A266A6" w:rsidRPr="00A266A6" w:rsidRDefault="00740CB5" w:rsidP="00612E83">
            <w:pPr>
              <w:spacing w:line="240" w:lineRule="auto"/>
              <w:rPr>
                <w:rFonts w:eastAsiaTheme="minorEastAsia"/>
              </w:rPr>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 xml:space="preserve"> = p4</m:t>
                </m:r>
                <m:f>
                  <m:fPr>
                    <m:ctrlPr>
                      <w:rPr>
                        <w:rFonts w:ascii="Cambria Math" w:hAnsi="Cambria Math"/>
                        <w:i/>
                      </w:rPr>
                    </m:ctrlPr>
                  </m:fPr>
                  <m:num>
                    <m:r>
                      <w:rPr>
                        <w:rFonts w:ascii="Cambria Math" w:hAnsi="Cambria Math"/>
                      </w:rPr>
                      <m:t>1</m:t>
                    </m:r>
                  </m:num>
                  <m:den>
                    <m:r>
                      <w:rPr>
                        <w:rFonts w:ascii="Cambria Math" w:hAnsi="Cambria Math"/>
                      </w:rPr>
                      <m:t>(p1-p5x3)</m:t>
                    </m:r>
                  </m:den>
                </m:f>
                <m:f>
                  <m:fPr>
                    <m:ctrlPr>
                      <w:rPr>
                        <w:rFonts w:ascii="Cambria Math" w:hAnsi="Cambria Math"/>
                        <w:i/>
                      </w:rPr>
                    </m:ctrlPr>
                  </m:fPr>
                  <m:num>
                    <m:r>
                      <w:rPr>
                        <w:rFonts w:ascii="Cambria Math" w:hAnsi="Cambria Math"/>
                      </w:rPr>
                      <m:t>1</m:t>
                    </m:r>
                  </m:num>
                  <m:den>
                    <m:r>
                      <w:rPr>
                        <w:rFonts w:ascii="Cambria Math" w:hAnsi="Cambria Math"/>
                      </w:rPr>
                      <m:t>(p1-p6x5)</m:t>
                    </m:r>
                  </m:den>
                </m:f>
                <m:f>
                  <m:fPr>
                    <m:ctrlPr>
                      <w:rPr>
                        <w:rFonts w:ascii="Cambria Math" w:hAnsi="Cambria Math"/>
                        <w:i/>
                      </w:rPr>
                    </m:ctrlPr>
                  </m:fPr>
                  <m:num>
                    <m:r>
                      <w:rPr>
                        <w:rFonts w:ascii="Cambria Math" w:hAnsi="Cambria Math"/>
                      </w:rPr>
                      <m:t>p7</m:t>
                    </m:r>
                  </m:num>
                  <m:den>
                    <m:d>
                      <m:dPr>
                        <m:ctrlPr>
                          <w:rPr>
                            <w:rFonts w:ascii="Cambria Math" w:hAnsi="Cambria Math"/>
                            <w:i/>
                          </w:rPr>
                        </m:ctrlPr>
                      </m:dPr>
                      <m:e>
                        <m:r>
                          <w:rPr>
                            <w:rFonts w:ascii="Cambria Math" w:hAnsi="Cambria Math"/>
                          </w:rPr>
                          <m:t>p7+x4</m:t>
                        </m:r>
                      </m:e>
                    </m:d>
                  </m:den>
                </m:f>
              </m:oMath>
            </m:oMathPara>
          </w:p>
          <w:p w:rsidR="00A266A6" w:rsidRPr="00A266A6" w:rsidRDefault="00740CB5" w:rsidP="00612E83">
            <w:pPr>
              <w:spacing w:line="240" w:lineRule="auto"/>
              <w:rPr>
                <w:rFonts w:eastAsiaTheme="minorEastAsia"/>
              </w:rPr>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3</m:t>
                    </m:r>
                  </m:sub>
                </m:sSub>
                <m:r>
                  <w:rPr>
                    <w:rFonts w:ascii="Cambria Math" w:hAnsi="Cambria Math"/>
                  </w:rPr>
                  <m:t xml:space="preserve"> = p10</m:t>
                </m:r>
                <m:f>
                  <m:fPr>
                    <m:ctrlPr>
                      <w:rPr>
                        <w:rFonts w:ascii="Cambria Math" w:hAnsi="Cambria Math"/>
                        <w:i/>
                      </w:rPr>
                    </m:ctrlPr>
                  </m:fPr>
                  <m:num>
                    <m:r>
                      <w:rPr>
                        <w:rFonts w:ascii="Cambria Math" w:hAnsi="Cambria Math"/>
                      </w:rPr>
                      <m:t>x2</m:t>
                    </m:r>
                  </m:num>
                  <m:den>
                    <m:r>
                      <w:rPr>
                        <w:rFonts w:ascii="Cambria Math" w:hAnsi="Cambria Math"/>
                      </w:rPr>
                      <m:t>(p11+x2)</m:t>
                    </m:r>
                  </m:den>
                </m:f>
              </m:oMath>
            </m:oMathPara>
          </w:p>
          <w:p w:rsidR="00A266A6" w:rsidRPr="00A266A6" w:rsidRDefault="00740CB5" w:rsidP="00612E83">
            <w:pPr>
              <w:spacing w:line="240" w:lineRule="auto"/>
              <w:rPr>
                <w:rFonts w:asciiTheme="minorHAnsi" w:hAnsiTheme="minorHAnsi"/>
                <w:sz w:val="22"/>
                <w:szCs w:val="22"/>
              </w:rPr>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4</m:t>
                    </m:r>
                  </m:sub>
                </m:sSub>
                <m:r>
                  <w:rPr>
                    <w:rFonts w:ascii="Cambria Math" w:hAnsi="Cambria Math"/>
                  </w:rPr>
                  <m:t xml:space="preserve"> = p14 +p15</m:t>
                </m:r>
                <m:f>
                  <m:fPr>
                    <m:ctrlPr>
                      <w:rPr>
                        <w:rFonts w:ascii="Cambria Math" w:hAnsi="Cambria Math"/>
                        <w:i/>
                      </w:rPr>
                    </m:ctrlPr>
                  </m:fPr>
                  <m:num>
                    <m:r>
                      <w:rPr>
                        <w:rFonts w:ascii="Cambria Math" w:hAnsi="Cambria Math"/>
                      </w:rPr>
                      <m:t>u1</m:t>
                    </m:r>
                  </m:num>
                  <m:den>
                    <m:r>
                      <w:rPr>
                        <w:rFonts w:ascii="Cambria Math" w:hAnsi="Cambria Math"/>
                      </w:rPr>
                      <m:t>p16 +u1</m:t>
                    </m:r>
                  </m:den>
                </m:f>
              </m:oMath>
            </m:oMathPara>
          </w:p>
        </w:tc>
      </w:tr>
    </w:tbl>
    <w:p w:rsidR="00A90AE3" w:rsidRDefault="00A90AE3" w:rsidP="00471F34">
      <w:pPr>
        <w:snapToGrid w:val="0"/>
        <w:spacing w:line="240" w:lineRule="auto"/>
        <w:jc w:val="left"/>
        <w:rPr>
          <w:rFonts w:asciiTheme="minorHAnsi" w:hAnsiTheme="minorHAnsi"/>
          <w:sz w:val="22"/>
          <w:szCs w:val="22"/>
        </w:rPr>
      </w:pPr>
      <w:r>
        <w:rPr>
          <w:rFonts w:asciiTheme="minorHAnsi" w:hAnsiTheme="minorHAnsi"/>
          <w:sz w:val="22"/>
          <w:szCs w:val="22"/>
        </w:rPr>
        <w:t xml:space="preserve">In the results that follow, the non-parametric model used for state substitution was a cubic spline and each decoupled ODE was integrated using the MATLAB function </w:t>
      </w:r>
      <w:r w:rsidRPr="00A41B9B">
        <w:rPr>
          <w:rFonts w:asciiTheme="minorHAnsi" w:hAnsiTheme="minorHAnsi"/>
          <w:i/>
          <w:sz w:val="22"/>
          <w:szCs w:val="22"/>
        </w:rPr>
        <w:t>ode45</w:t>
      </w:r>
      <w:r>
        <w:rPr>
          <w:rFonts w:asciiTheme="minorHAnsi" w:hAnsiTheme="minorHAnsi"/>
          <w:sz w:val="22"/>
          <w:szCs w:val="22"/>
        </w:rPr>
        <w:t xml:space="preserve">. The optimisation algorithm used to determine the unknown model parameters was the MATLAB function </w:t>
      </w:r>
      <w:r w:rsidRPr="00A41B9B">
        <w:rPr>
          <w:rFonts w:asciiTheme="minorHAnsi" w:hAnsiTheme="minorHAnsi"/>
          <w:i/>
          <w:sz w:val="22"/>
          <w:szCs w:val="22"/>
        </w:rPr>
        <w:t>lsqnonlin</w:t>
      </w:r>
      <w:r>
        <w:rPr>
          <w:rFonts w:asciiTheme="minorHAnsi" w:hAnsiTheme="minorHAnsi"/>
          <w:sz w:val="22"/>
          <w:szCs w:val="22"/>
        </w:rPr>
        <w:t xml:space="preserve"> via repeated integration each decoupled sub-componen</w:t>
      </w:r>
      <w:r w:rsidR="009036C7">
        <w:rPr>
          <w:rFonts w:asciiTheme="minorHAnsi" w:hAnsiTheme="minorHAnsi"/>
          <w:sz w:val="22"/>
          <w:szCs w:val="22"/>
        </w:rPr>
        <w:t xml:space="preserve">t of the overall kinetic model. Simultaneous </w:t>
      </w:r>
      <w:r>
        <w:rPr>
          <w:rFonts w:asciiTheme="minorHAnsi" w:hAnsiTheme="minorHAnsi"/>
          <w:sz w:val="22"/>
          <w:szCs w:val="22"/>
        </w:rPr>
        <w:t>optimisation of the full kinetic model used MATLAB’s genetic algorithm routine.</w:t>
      </w:r>
    </w:p>
    <w:p w:rsidR="00704BDF" w:rsidRPr="008D0BEB" w:rsidRDefault="00704BDF" w:rsidP="00471F34">
      <w:pPr>
        <w:snapToGrid w:val="0"/>
        <w:spacing w:before="120"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w:t>
      </w:r>
      <w:r w:rsidR="005719FD">
        <w:rPr>
          <w:rFonts w:asciiTheme="minorHAnsi" w:eastAsia="MS PGothic" w:hAnsiTheme="minorHAnsi"/>
          <w:b/>
          <w:bCs/>
          <w:color w:val="000000"/>
          <w:sz w:val="22"/>
          <w:szCs w:val="22"/>
          <w:lang w:val="en-US"/>
        </w:rPr>
        <w:t>0</w:t>
      </w:r>
      <w:r w:rsidRPr="008D0BEB">
        <w:rPr>
          <w:rFonts w:asciiTheme="minorHAnsi" w:eastAsia="MS PGothic" w:hAnsiTheme="minorHAnsi"/>
          <w:b/>
          <w:bCs/>
          <w:color w:val="000000"/>
          <w:sz w:val="22"/>
          <w:szCs w:val="22"/>
          <w:lang w:val="en-US"/>
        </w:rPr>
        <w:t xml:space="preserve"> Results and discussion</w:t>
      </w:r>
    </w:p>
    <w:p w:rsidR="00704BDF" w:rsidRDefault="00E01BD8" w:rsidP="00471F34">
      <w:pPr>
        <w:snapToGrid w:val="0"/>
        <w:spacing w:after="120" w:line="240" w:lineRule="auto"/>
        <w:jc w:val="left"/>
        <w:rPr>
          <w:rFonts w:asciiTheme="minorHAnsi" w:hAnsiTheme="minorHAnsi"/>
          <w:sz w:val="22"/>
          <w:szCs w:val="22"/>
        </w:rPr>
      </w:pPr>
      <w:r>
        <w:rPr>
          <w:rFonts w:asciiTheme="minorHAnsi" w:hAnsiTheme="minorHAnsi"/>
          <w:sz w:val="22"/>
          <w:szCs w:val="22"/>
        </w:rPr>
        <w:t>A significant number of comparative studies have been made via adjustment of the number of data measurements assumed available and the level of measurement error (measurement noise)</w:t>
      </w:r>
      <w:r w:rsidR="00A063CD">
        <w:rPr>
          <w:rFonts w:asciiTheme="minorHAnsi" w:hAnsiTheme="minorHAnsi"/>
          <w:sz w:val="22"/>
          <w:szCs w:val="22"/>
        </w:rPr>
        <w:t>.</w:t>
      </w:r>
      <w:r w:rsidR="00632149">
        <w:rPr>
          <w:rFonts w:asciiTheme="minorHAnsi" w:hAnsiTheme="minorHAnsi"/>
          <w:sz w:val="22"/>
          <w:szCs w:val="22"/>
        </w:rPr>
        <w:t xml:space="preserve"> Table 1 indicates a typical scenario comparing the estimated parameter values to the actual (known) model parameters.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489"/>
        <w:gridCol w:w="465"/>
        <w:gridCol w:w="465"/>
        <w:gridCol w:w="489"/>
        <w:gridCol w:w="489"/>
        <w:gridCol w:w="489"/>
        <w:gridCol w:w="536"/>
        <w:gridCol w:w="489"/>
        <w:gridCol w:w="465"/>
        <w:gridCol w:w="516"/>
        <w:gridCol w:w="516"/>
        <w:gridCol w:w="536"/>
        <w:gridCol w:w="516"/>
        <w:gridCol w:w="516"/>
        <w:gridCol w:w="536"/>
        <w:gridCol w:w="516"/>
      </w:tblGrid>
      <w:tr w:rsidR="00AB4971" w:rsidTr="00595710">
        <w:tc>
          <w:tcPr>
            <w:tcW w:w="0" w:type="auto"/>
            <w:tcBorders>
              <w:bottom w:val="single" w:sz="4" w:space="0" w:color="auto"/>
              <w:right w:val="single" w:sz="4" w:space="0" w:color="auto"/>
            </w:tcBorders>
          </w:tcPr>
          <w:p w:rsidR="00AB4971" w:rsidRPr="00AB4971" w:rsidRDefault="00AB4971" w:rsidP="00612E83">
            <w:pPr>
              <w:snapToGrid w:val="0"/>
              <w:spacing w:line="240" w:lineRule="auto"/>
              <w:jc w:val="center"/>
              <w:rPr>
                <w:rFonts w:asciiTheme="minorHAnsi" w:eastAsia="MS PGothic" w:hAnsiTheme="minorHAnsi"/>
                <w:b/>
                <w:color w:val="000000"/>
                <w:szCs w:val="18"/>
                <w:lang w:val="en-US"/>
              </w:rPr>
            </w:pPr>
            <w:r w:rsidRPr="00AB4971">
              <w:rPr>
                <w:rFonts w:asciiTheme="minorHAnsi" w:eastAsia="MS PGothic" w:hAnsiTheme="minorHAnsi"/>
                <w:b/>
                <w:color w:val="000000"/>
                <w:szCs w:val="18"/>
                <w:lang w:val="en-US"/>
              </w:rPr>
              <w:t>Name</w:t>
            </w:r>
          </w:p>
        </w:tc>
        <w:tc>
          <w:tcPr>
            <w:tcW w:w="0" w:type="auto"/>
            <w:tcBorders>
              <w:left w:val="single" w:sz="4" w:space="0" w:color="auto"/>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p1</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p2</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p3</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p4</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p5</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p6</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p7</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p8</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p9</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p10</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p11</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p12</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p13</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p14</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Theme="minorHAnsi" w:eastAsia="MS PGothic" w:hAnsiTheme="minorHAnsi"/>
                <w:color w:val="000000"/>
                <w:szCs w:val="18"/>
                <w:lang w:val="en-US"/>
              </w:rPr>
            </w:pPr>
            <m:oMathPara>
              <m:oMath>
                <m:r>
                  <w:rPr>
                    <w:rFonts w:ascii="Cambria Math" w:hAnsi="Cambria Math"/>
                    <w:szCs w:val="18"/>
                  </w:rPr>
                  <m:t>p15</m:t>
                </m:r>
              </m:oMath>
            </m:oMathPara>
          </w:p>
        </w:tc>
        <w:tc>
          <w:tcPr>
            <w:tcW w:w="0" w:type="auto"/>
            <w:tcBorders>
              <w:bottom w:val="single" w:sz="4" w:space="0" w:color="auto"/>
            </w:tcBorders>
          </w:tcPr>
          <w:p w:rsidR="00AB4971" w:rsidRPr="00612E83" w:rsidRDefault="00612E83" w:rsidP="00612E83">
            <w:pPr>
              <w:snapToGrid w:val="0"/>
              <w:spacing w:line="240" w:lineRule="auto"/>
              <w:jc w:val="center"/>
              <w:rPr>
                <w:rFonts w:ascii="Calibri" w:hAnsi="Calibri"/>
                <w:szCs w:val="18"/>
              </w:rPr>
            </w:pPr>
            <m:oMathPara>
              <m:oMath>
                <m:r>
                  <w:rPr>
                    <w:rFonts w:ascii="Cambria Math" w:hAnsi="Cambria Math"/>
                    <w:szCs w:val="18"/>
                  </w:rPr>
                  <m:t>p16</m:t>
                </m:r>
              </m:oMath>
            </m:oMathPara>
          </w:p>
        </w:tc>
      </w:tr>
      <w:tr w:rsidR="00612E83" w:rsidTr="00595710">
        <w:tc>
          <w:tcPr>
            <w:tcW w:w="0" w:type="auto"/>
            <w:tcBorders>
              <w:top w:val="single" w:sz="4" w:space="0" w:color="auto"/>
              <w:right w:val="single" w:sz="4" w:space="0" w:color="auto"/>
            </w:tcBorders>
          </w:tcPr>
          <w:p w:rsidR="00AB4971" w:rsidRPr="007106B0" w:rsidRDefault="00AB4971" w:rsidP="00612E83">
            <w:pPr>
              <w:snapToGrid w:val="0"/>
              <w:spacing w:line="240" w:lineRule="auto"/>
              <w:jc w:val="center"/>
              <w:rPr>
                <w:rFonts w:asciiTheme="minorHAnsi" w:eastAsia="MS PGothic" w:hAnsiTheme="minorHAnsi"/>
                <w:color w:val="000000"/>
                <w:sz w:val="14"/>
                <w:szCs w:val="14"/>
                <w:lang w:val="en-US"/>
              </w:rPr>
            </w:pPr>
            <w:r w:rsidRPr="007106B0">
              <w:rPr>
                <w:rFonts w:asciiTheme="minorHAnsi" w:eastAsia="MS PGothic" w:hAnsiTheme="minorHAnsi"/>
                <w:color w:val="000000"/>
                <w:sz w:val="14"/>
                <w:szCs w:val="14"/>
                <w:lang w:val="en-US"/>
              </w:rPr>
              <w:t>(1)</w:t>
            </w:r>
          </w:p>
        </w:tc>
        <w:tc>
          <w:tcPr>
            <w:tcW w:w="0" w:type="auto"/>
            <w:tcBorders>
              <w:top w:val="single" w:sz="4" w:space="0" w:color="auto"/>
              <w:left w:val="single" w:sz="4" w:space="0" w:color="auto"/>
            </w:tcBorders>
          </w:tcPr>
          <w:p w:rsidR="00AB4971" w:rsidRPr="007106B0" w:rsidRDefault="00AB4971" w:rsidP="00612E83">
            <w:pPr>
              <w:spacing w:line="240" w:lineRule="auto"/>
              <w:rPr>
                <w:sz w:val="14"/>
                <w:szCs w:val="14"/>
              </w:rPr>
            </w:pPr>
            <w:r w:rsidRPr="007106B0">
              <w:rPr>
                <w:sz w:val="14"/>
                <w:szCs w:val="14"/>
              </w:rPr>
              <w:t>1.09</w:t>
            </w:r>
          </w:p>
        </w:tc>
        <w:tc>
          <w:tcPr>
            <w:tcW w:w="0" w:type="auto"/>
            <w:tcBorders>
              <w:top w:val="single" w:sz="4" w:space="0" w:color="auto"/>
            </w:tcBorders>
          </w:tcPr>
          <w:p w:rsidR="00AB4971" w:rsidRPr="007106B0" w:rsidRDefault="00AB4971" w:rsidP="00612E83">
            <w:pPr>
              <w:spacing w:line="240" w:lineRule="auto"/>
              <w:rPr>
                <w:sz w:val="14"/>
                <w:szCs w:val="14"/>
              </w:rPr>
            </w:pPr>
            <w:r w:rsidRPr="007106B0">
              <w:rPr>
                <w:sz w:val="14"/>
                <w:szCs w:val="14"/>
              </w:rPr>
              <w:t>1.1</w:t>
            </w:r>
          </w:p>
        </w:tc>
        <w:tc>
          <w:tcPr>
            <w:tcW w:w="0" w:type="auto"/>
            <w:tcBorders>
              <w:top w:val="single" w:sz="4" w:space="0" w:color="auto"/>
            </w:tcBorders>
          </w:tcPr>
          <w:p w:rsidR="00AB4971" w:rsidRPr="007106B0" w:rsidRDefault="00AB4971" w:rsidP="00612E83">
            <w:pPr>
              <w:spacing w:line="240" w:lineRule="auto"/>
              <w:rPr>
                <w:sz w:val="14"/>
                <w:szCs w:val="14"/>
              </w:rPr>
            </w:pPr>
            <w:r w:rsidRPr="007106B0">
              <w:rPr>
                <w:sz w:val="14"/>
                <w:szCs w:val="14"/>
              </w:rPr>
              <w:t>0.3</w:t>
            </w:r>
          </w:p>
        </w:tc>
        <w:tc>
          <w:tcPr>
            <w:tcW w:w="0" w:type="auto"/>
            <w:tcBorders>
              <w:top w:val="single" w:sz="4" w:space="0" w:color="auto"/>
            </w:tcBorders>
          </w:tcPr>
          <w:p w:rsidR="00AB4971" w:rsidRPr="007106B0" w:rsidRDefault="00AB4971" w:rsidP="00612E83">
            <w:pPr>
              <w:spacing w:line="240" w:lineRule="auto"/>
              <w:rPr>
                <w:sz w:val="14"/>
                <w:szCs w:val="14"/>
              </w:rPr>
            </w:pPr>
            <w:r w:rsidRPr="007106B0">
              <w:rPr>
                <w:sz w:val="14"/>
                <w:szCs w:val="14"/>
              </w:rPr>
              <w:t>0.09</w:t>
            </w:r>
          </w:p>
        </w:tc>
        <w:tc>
          <w:tcPr>
            <w:tcW w:w="0" w:type="auto"/>
            <w:tcBorders>
              <w:top w:val="single" w:sz="4" w:space="0" w:color="auto"/>
            </w:tcBorders>
          </w:tcPr>
          <w:p w:rsidR="00AB4971" w:rsidRPr="007106B0" w:rsidRDefault="007106B0" w:rsidP="00612E83">
            <w:pPr>
              <w:spacing w:line="240" w:lineRule="auto"/>
              <w:rPr>
                <w:sz w:val="14"/>
                <w:szCs w:val="14"/>
              </w:rPr>
            </w:pPr>
            <w:r w:rsidRPr="007106B0">
              <w:rPr>
                <w:sz w:val="14"/>
                <w:szCs w:val="14"/>
              </w:rPr>
              <w:t>0.01</w:t>
            </w:r>
          </w:p>
        </w:tc>
        <w:tc>
          <w:tcPr>
            <w:tcW w:w="0" w:type="auto"/>
            <w:tcBorders>
              <w:top w:val="single" w:sz="4" w:space="0" w:color="auto"/>
            </w:tcBorders>
          </w:tcPr>
          <w:p w:rsidR="00AB4971" w:rsidRPr="007106B0" w:rsidRDefault="007106B0" w:rsidP="00612E83">
            <w:pPr>
              <w:spacing w:line="240" w:lineRule="auto"/>
              <w:rPr>
                <w:sz w:val="14"/>
                <w:szCs w:val="14"/>
              </w:rPr>
            </w:pPr>
            <w:r w:rsidRPr="007106B0">
              <w:rPr>
                <w:sz w:val="14"/>
                <w:szCs w:val="14"/>
              </w:rPr>
              <w:t>0.06</w:t>
            </w:r>
          </w:p>
        </w:tc>
        <w:tc>
          <w:tcPr>
            <w:tcW w:w="0" w:type="auto"/>
            <w:tcBorders>
              <w:top w:val="single" w:sz="4" w:space="0" w:color="auto"/>
            </w:tcBorders>
          </w:tcPr>
          <w:p w:rsidR="00AB4971" w:rsidRPr="007106B0" w:rsidRDefault="007106B0" w:rsidP="00612E83">
            <w:pPr>
              <w:spacing w:line="240" w:lineRule="auto"/>
              <w:rPr>
                <w:sz w:val="14"/>
                <w:szCs w:val="14"/>
              </w:rPr>
            </w:pPr>
            <w:r w:rsidRPr="007106B0">
              <w:rPr>
                <w:sz w:val="14"/>
                <w:szCs w:val="14"/>
              </w:rPr>
              <w:t>0.02</w:t>
            </w:r>
          </w:p>
        </w:tc>
        <w:tc>
          <w:tcPr>
            <w:tcW w:w="0" w:type="auto"/>
            <w:tcBorders>
              <w:top w:val="single" w:sz="4" w:space="0" w:color="auto"/>
            </w:tcBorders>
          </w:tcPr>
          <w:p w:rsidR="00AB4971" w:rsidRPr="007106B0" w:rsidRDefault="007106B0" w:rsidP="00612E83">
            <w:pPr>
              <w:spacing w:line="240" w:lineRule="auto"/>
              <w:rPr>
                <w:sz w:val="14"/>
                <w:szCs w:val="14"/>
              </w:rPr>
            </w:pPr>
            <w:r w:rsidRPr="007106B0">
              <w:rPr>
                <w:sz w:val="14"/>
                <w:szCs w:val="14"/>
              </w:rPr>
              <w:t>0.1</w:t>
            </w:r>
            <w:r w:rsidR="00B81675">
              <w:rPr>
                <w:sz w:val="14"/>
                <w:szCs w:val="14"/>
              </w:rPr>
              <w:t>1</w:t>
            </w:r>
          </w:p>
        </w:tc>
        <w:tc>
          <w:tcPr>
            <w:tcW w:w="0" w:type="auto"/>
            <w:tcBorders>
              <w:top w:val="single" w:sz="4" w:space="0" w:color="auto"/>
            </w:tcBorders>
          </w:tcPr>
          <w:p w:rsidR="00AB4971" w:rsidRPr="007106B0" w:rsidRDefault="007106B0" w:rsidP="00612E83">
            <w:pPr>
              <w:spacing w:line="240" w:lineRule="auto"/>
              <w:rPr>
                <w:sz w:val="14"/>
                <w:szCs w:val="14"/>
              </w:rPr>
            </w:pPr>
            <w:r>
              <w:rPr>
                <w:sz w:val="14"/>
                <w:szCs w:val="14"/>
              </w:rPr>
              <w:t>1.8</w:t>
            </w:r>
          </w:p>
        </w:tc>
        <w:tc>
          <w:tcPr>
            <w:tcW w:w="0" w:type="auto"/>
            <w:tcBorders>
              <w:top w:val="single" w:sz="4" w:space="0" w:color="auto"/>
            </w:tcBorders>
          </w:tcPr>
          <w:p w:rsidR="00AB4971" w:rsidRPr="007106B0" w:rsidRDefault="007106B0" w:rsidP="00612E83">
            <w:pPr>
              <w:spacing w:line="240" w:lineRule="auto"/>
              <w:rPr>
                <w:sz w:val="14"/>
                <w:szCs w:val="14"/>
              </w:rPr>
            </w:pPr>
            <w:r>
              <w:rPr>
                <w:sz w:val="14"/>
                <w:szCs w:val="14"/>
              </w:rPr>
              <w:t>1.7</w:t>
            </w:r>
          </w:p>
        </w:tc>
        <w:tc>
          <w:tcPr>
            <w:tcW w:w="0" w:type="auto"/>
            <w:tcBorders>
              <w:top w:val="single" w:sz="4" w:space="0" w:color="auto"/>
            </w:tcBorders>
          </w:tcPr>
          <w:p w:rsidR="00AB4971" w:rsidRPr="007106B0" w:rsidRDefault="007106B0" w:rsidP="00612E83">
            <w:pPr>
              <w:spacing w:line="240" w:lineRule="auto"/>
              <w:rPr>
                <w:sz w:val="14"/>
                <w:szCs w:val="14"/>
              </w:rPr>
            </w:pPr>
            <w:r>
              <w:rPr>
                <w:sz w:val="14"/>
                <w:szCs w:val="14"/>
              </w:rPr>
              <w:t>19</w:t>
            </w:r>
          </w:p>
        </w:tc>
        <w:tc>
          <w:tcPr>
            <w:tcW w:w="0" w:type="auto"/>
            <w:tcBorders>
              <w:top w:val="single" w:sz="4" w:space="0" w:color="auto"/>
            </w:tcBorders>
          </w:tcPr>
          <w:p w:rsidR="00AB4971" w:rsidRPr="007106B0" w:rsidRDefault="007106B0" w:rsidP="00612E83">
            <w:pPr>
              <w:spacing w:line="240" w:lineRule="auto"/>
              <w:rPr>
                <w:sz w:val="14"/>
                <w:szCs w:val="14"/>
              </w:rPr>
            </w:pPr>
            <w:r>
              <w:rPr>
                <w:sz w:val="14"/>
                <w:szCs w:val="14"/>
              </w:rPr>
              <w:t>0.38</w:t>
            </w:r>
          </w:p>
        </w:tc>
        <w:tc>
          <w:tcPr>
            <w:tcW w:w="0" w:type="auto"/>
            <w:tcBorders>
              <w:top w:val="single" w:sz="4" w:space="0" w:color="auto"/>
            </w:tcBorders>
          </w:tcPr>
          <w:p w:rsidR="00AB4971" w:rsidRPr="007106B0" w:rsidRDefault="007106B0" w:rsidP="00612E83">
            <w:pPr>
              <w:spacing w:line="240" w:lineRule="auto"/>
              <w:rPr>
                <w:sz w:val="14"/>
                <w:szCs w:val="14"/>
              </w:rPr>
            </w:pPr>
            <w:r>
              <w:rPr>
                <w:sz w:val="14"/>
                <w:szCs w:val="14"/>
              </w:rPr>
              <w:t>0.85</w:t>
            </w:r>
          </w:p>
        </w:tc>
        <w:tc>
          <w:tcPr>
            <w:tcW w:w="0" w:type="auto"/>
            <w:tcBorders>
              <w:top w:val="single" w:sz="4" w:space="0" w:color="auto"/>
            </w:tcBorders>
          </w:tcPr>
          <w:p w:rsidR="00AB4971" w:rsidRPr="007106B0" w:rsidRDefault="007106B0" w:rsidP="00612E83">
            <w:pPr>
              <w:spacing w:line="240" w:lineRule="auto"/>
              <w:rPr>
                <w:sz w:val="14"/>
                <w:szCs w:val="14"/>
              </w:rPr>
            </w:pPr>
            <w:r>
              <w:rPr>
                <w:sz w:val="14"/>
                <w:szCs w:val="14"/>
              </w:rPr>
              <w:t>3.5</w:t>
            </w:r>
          </w:p>
        </w:tc>
        <w:tc>
          <w:tcPr>
            <w:tcW w:w="0" w:type="auto"/>
            <w:tcBorders>
              <w:top w:val="single" w:sz="4" w:space="0" w:color="auto"/>
            </w:tcBorders>
          </w:tcPr>
          <w:p w:rsidR="00AB4971" w:rsidRPr="007106B0" w:rsidRDefault="007106B0" w:rsidP="00612E83">
            <w:pPr>
              <w:spacing w:line="240" w:lineRule="auto"/>
              <w:rPr>
                <w:sz w:val="14"/>
                <w:szCs w:val="14"/>
              </w:rPr>
            </w:pPr>
            <w:r>
              <w:rPr>
                <w:sz w:val="14"/>
                <w:szCs w:val="14"/>
              </w:rPr>
              <w:t>25.7</w:t>
            </w:r>
          </w:p>
        </w:tc>
        <w:tc>
          <w:tcPr>
            <w:tcW w:w="0" w:type="auto"/>
            <w:tcBorders>
              <w:top w:val="single" w:sz="4" w:space="0" w:color="auto"/>
            </w:tcBorders>
          </w:tcPr>
          <w:p w:rsidR="00AB4971" w:rsidRPr="007106B0" w:rsidRDefault="007106B0" w:rsidP="00612E83">
            <w:pPr>
              <w:spacing w:line="240" w:lineRule="auto"/>
              <w:rPr>
                <w:sz w:val="14"/>
                <w:szCs w:val="14"/>
              </w:rPr>
            </w:pPr>
            <w:r>
              <w:rPr>
                <w:sz w:val="14"/>
                <w:szCs w:val="14"/>
              </w:rPr>
              <w:t>0.02</w:t>
            </w:r>
          </w:p>
        </w:tc>
      </w:tr>
      <w:tr w:rsidR="00AB4971" w:rsidTr="00595710">
        <w:tc>
          <w:tcPr>
            <w:tcW w:w="0" w:type="auto"/>
            <w:tcBorders>
              <w:right w:val="single" w:sz="4" w:space="0" w:color="auto"/>
            </w:tcBorders>
          </w:tcPr>
          <w:p w:rsidR="00AB4971" w:rsidRPr="007106B0" w:rsidRDefault="00AB4971" w:rsidP="00612E83">
            <w:pPr>
              <w:snapToGrid w:val="0"/>
              <w:spacing w:line="240" w:lineRule="auto"/>
              <w:jc w:val="center"/>
              <w:rPr>
                <w:rFonts w:asciiTheme="minorHAnsi" w:eastAsia="MS PGothic" w:hAnsiTheme="minorHAnsi"/>
                <w:color w:val="000000"/>
                <w:sz w:val="14"/>
                <w:szCs w:val="14"/>
                <w:lang w:val="en-US"/>
              </w:rPr>
            </w:pPr>
            <w:r w:rsidRPr="007106B0">
              <w:rPr>
                <w:rFonts w:asciiTheme="minorHAnsi" w:eastAsia="MS PGothic" w:hAnsiTheme="minorHAnsi"/>
                <w:color w:val="000000"/>
                <w:sz w:val="14"/>
                <w:szCs w:val="14"/>
                <w:lang w:val="en-US"/>
              </w:rPr>
              <w:t>(2)</w:t>
            </w:r>
          </w:p>
        </w:tc>
        <w:tc>
          <w:tcPr>
            <w:tcW w:w="0" w:type="auto"/>
            <w:tcBorders>
              <w:left w:val="single" w:sz="4" w:space="0" w:color="auto"/>
            </w:tcBorders>
          </w:tcPr>
          <w:p w:rsidR="00AB4971" w:rsidRPr="007106B0" w:rsidRDefault="00AB4971" w:rsidP="00612E83">
            <w:pPr>
              <w:snapToGrid w:val="0"/>
              <w:spacing w:line="240" w:lineRule="auto"/>
              <w:jc w:val="center"/>
              <w:rPr>
                <w:rFonts w:asciiTheme="minorHAnsi" w:eastAsia="MS PGothic" w:hAnsiTheme="minorHAnsi"/>
                <w:color w:val="000000"/>
                <w:sz w:val="14"/>
                <w:szCs w:val="14"/>
                <w:lang w:val="en-US"/>
              </w:rPr>
            </w:pPr>
            <w:r w:rsidRPr="007106B0">
              <w:rPr>
                <w:rFonts w:asciiTheme="minorHAnsi" w:eastAsia="MS PGothic" w:hAnsiTheme="minorHAnsi"/>
                <w:color w:val="000000"/>
                <w:sz w:val="14"/>
                <w:szCs w:val="14"/>
                <w:lang w:val="en-US"/>
              </w:rPr>
              <w:t>1.09</w:t>
            </w:r>
          </w:p>
        </w:tc>
        <w:tc>
          <w:tcPr>
            <w:tcW w:w="0" w:type="auto"/>
          </w:tcPr>
          <w:p w:rsidR="00AB4971" w:rsidRPr="007106B0" w:rsidRDefault="00AB4971" w:rsidP="00612E83">
            <w:pPr>
              <w:snapToGrid w:val="0"/>
              <w:spacing w:line="240" w:lineRule="auto"/>
              <w:jc w:val="center"/>
              <w:rPr>
                <w:rFonts w:asciiTheme="minorHAnsi" w:eastAsia="MS PGothic" w:hAnsiTheme="minorHAnsi"/>
                <w:color w:val="000000"/>
                <w:sz w:val="14"/>
                <w:szCs w:val="14"/>
                <w:lang w:val="en-US"/>
              </w:rPr>
            </w:pPr>
            <w:r w:rsidRPr="007106B0">
              <w:rPr>
                <w:rFonts w:asciiTheme="minorHAnsi" w:eastAsia="MS PGothic" w:hAnsiTheme="minorHAnsi"/>
                <w:color w:val="000000"/>
                <w:sz w:val="14"/>
                <w:szCs w:val="14"/>
                <w:lang w:val="en-US"/>
              </w:rPr>
              <w:t>1.06</w:t>
            </w:r>
          </w:p>
        </w:tc>
        <w:tc>
          <w:tcPr>
            <w:tcW w:w="0" w:type="auto"/>
          </w:tcPr>
          <w:p w:rsidR="00AB4971" w:rsidRPr="007106B0" w:rsidRDefault="00AB4971" w:rsidP="00612E83">
            <w:pPr>
              <w:snapToGrid w:val="0"/>
              <w:spacing w:line="240" w:lineRule="auto"/>
              <w:jc w:val="center"/>
              <w:rPr>
                <w:rFonts w:asciiTheme="minorHAnsi" w:eastAsia="MS PGothic" w:hAnsiTheme="minorHAnsi"/>
                <w:color w:val="000000"/>
                <w:sz w:val="14"/>
                <w:szCs w:val="14"/>
                <w:lang w:val="en-US"/>
              </w:rPr>
            </w:pPr>
            <w:r w:rsidRPr="007106B0">
              <w:rPr>
                <w:rFonts w:asciiTheme="minorHAnsi" w:eastAsia="MS PGothic" w:hAnsiTheme="minorHAnsi"/>
                <w:color w:val="000000"/>
                <w:sz w:val="14"/>
                <w:szCs w:val="14"/>
                <w:lang w:val="en-US"/>
              </w:rPr>
              <w:t>0.2</w:t>
            </w:r>
            <w:r w:rsidR="00B81675">
              <w:rPr>
                <w:rFonts w:asciiTheme="minorHAnsi" w:eastAsia="MS PGothic" w:hAnsiTheme="minorHAnsi"/>
                <w:color w:val="000000"/>
                <w:sz w:val="14"/>
                <w:szCs w:val="14"/>
                <w:lang w:val="en-US"/>
              </w:rPr>
              <w:t>4</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0.05</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0.03</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0.40</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0.12</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1.82</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4.07</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53.9</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0.41</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0.86</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2.92</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26.80</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0.02</w:t>
            </w:r>
          </w:p>
        </w:tc>
      </w:tr>
      <w:tr w:rsidR="00AB4971" w:rsidTr="00595710">
        <w:tc>
          <w:tcPr>
            <w:tcW w:w="0" w:type="auto"/>
            <w:tcBorders>
              <w:right w:val="single" w:sz="4" w:space="0" w:color="auto"/>
            </w:tcBorders>
          </w:tcPr>
          <w:p w:rsidR="00AB4971" w:rsidRPr="007106B0" w:rsidRDefault="00AB4971" w:rsidP="00612E83">
            <w:pPr>
              <w:snapToGrid w:val="0"/>
              <w:spacing w:line="240" w:lineRule="auto"/>
              <w:jc w:val="center"/>
              <w:rPr>
                <w:rFonts w:asciiTheme="minorHAnsi" w:eastAsia="MS PGothic" w:hAnsiTheme="minorHAnsi"/>
                <w:color w:val="000000"/>
                <w:sz w:val="14"/>
                <w:szCs w:val="14"/>
                <w:lang w:val="en-US"/>
              </w:rPr>
            </w:pPr>
            <w:r w:rsidRPr="007106B0">
              <w:rPr>
                <w:rFonts w:asciiTheme="minorHAnsi" w:eastAsia="MS PGothic" w:hAnsiTheme="minorHAnsi"/>
                <w:color w:val="000000"/>
                <w:sz w:val="14"/>
                <w:szCs w:val="14"/>
                <w:lang w:val="en-US"/>
              </w:rPr>
              <w:t>(3)</w:t>
            </w:r>
          </w:p>
        </w:tc>
        <w:tc>
          <w:tcPr>
            <w:tcW w:w="0" w:type="auto"/>
            <w:tcBorders>
              <w:left w:val="single" w:sz="4" w:space="0" w:color="auto"/>
            </w:tcBorders>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1.12</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0.91</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0.27</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0.11</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0.01</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0.50</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0.12</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1.83</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0.79</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1.94</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0.405</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0.82</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2.87</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25.73</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0.01</w:t>
            </w:r>
          </w:p>
        </w:tc>
      </w:tr>
      <w:tr w:rsidR="00AB4971" w:rsidTr="00595710">
        <w:tc>
          <w:tcPr>
            <w:tcW w:w="0" w:type="auto"/>
            <w:tcBorders>
              <w:right w:val="single" w:sz="4" w:space="0" w:color="auto"/>
            </w:tcBorders>
          </w:tcPr>
          <w:p w:rsidR="00AB4971" w:rsidRPr="007106B0" w:rsidRDefault="00AB4971" w:rsidP="00612E83">
            <w:pPr>
              <w:snapToGrid w:val="0"/>
              <w:spacing w:line="240" w:lineRule="auto"/>
              <w:jc w:val="center"/>
              <w:rPr>
                <w:rFonts w:asciiTheme="minorHAnsi" w:eastAsia="MS PGothic" w:hAnsiTheme="minorHAnsi"/>
                <w:color w:val="000000"/>
                <w:sz w:val="14"/>
                <w:szCs w:val="14"/>
                <w:lang w:val="en-US"/>
              </w:rPr>
            </w:pPr>
            <w:r w:rsidRPr="007106B0">
              <w:rPr>
                <w:rFonts w:asciiTheme="minorHAnsi" w:eastAsia="MS PGothic" w:hAnsiTheme="minorHAnsi"/>
                <w:color w:val="000000"/>
                <w:sz w:val="14"/>
                <w:szCs w:val="14"/>
                <w:lang w:val="en-US"/>
              </w:rPr>
              <w:t>(4)</w:t>
            </w:r>
          </w:p>
        </w:tc>
        <w:tc>
          <w:tcPr>
            <w:tcW w:w="0" w:type="auto"/>
            <w:tcBorders>
              <w:left w:val="single" w:sz="4" w:space="0" w:color="auto"/>
            </w:tcBorders>
          </w:tcPr>
          <w:p w:rsidR="00AB4971" w:rsidRPr="007106B0" w:rsidRDefault="007106B0"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4.31</w:t>
            </w:r>
          </w:p>
        </w:tc>
        <w:tc>
          <w:tcPr>
            <w:tcW w:w="0" w:type="auto"/>
          </w:tcPr>
          <w:p w:rsidR="00AB4971" w:rsidRPr="007106B0" w:rsidRDefault="007106B0"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0.01</w:t>
            </w:r>
          </w:p>
        </w:tc>
        <w:tc>
          <w:tcPr>
            <w:tcW w:w="0" w:type="auto"/>
          </w:tcPr>
          <w:p w:rsidR="00AB4971" w:rsidRPr="007106B0" w:rsidRDefault="007106B0"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7.93</w:t>
            </w:r>
          </w:p>
        </w:tc>
        <w:tc>
          <w:tcPr>
            <w:tcW w:w="0" w:type="auto"/>
          </w:tcPr>
          <w:p w:rsidR="00AB4971" w:rsidRPr="007106B0" w:rsidRDefault="007106B0"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4.05</w:t>
            </w:r>
          </w:p>
        </w:tc>
        <w:tc>
          <w:tcPr>
            <w:tcW w:w="0" w:type="auto"/>
          </w:tcPr>
          <w:p w:rsidR="00AB4971" w:rsidRPr="007106B0" w:rsidRDefault="007106B0"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0.10</w:t>
            </w:r>
          </w:p>
        </w:tc>
        <w:tc>
          <w:tcPr>
            <w:tcW w:w="0" w:type="auto"/>
          </w:tcPr>
          <w:p w:rsidR="00AB4971" w:rsidRPr="007106B0" w:rsidRDefault="007106B0"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0.80</w:t>
            </w:r>
          </w:p>
        </w:tc>
        <w:tc>
          <w:tcPr>
            <w:tcW w:w="0" w:type="auto"/>
          </w:tcPr>
          <w:p w:rsidR="00AB4971" w:rsidRPr="007106B0" w:rsidRDefault="007106B0"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286.8</w:t>
            </w:r>
          </w:p>
        </w:tc>
        <w:tc>
          <w:tcPr>
            <w:tcW w:w="0" w:type="auto"/>
          </w:tcPr>
          <w:p w:rsidR="00AB4971" w:rsidRPr="007106B0" w:rsidRDefault="007106B0"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0.34</w:t>
            </w:r>
          </w:p>
        </w:tc>
        <w:tc>
          <w:tcPr>
            <w:tcW w:w="0" w:type="auto"/>
          </w:tcPr>
          <w:p w:rsidR="00AB4971" w:rsidRPr="007106B0" w:rsidRDefault="007106B0"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1.85</w:t>
            </w:r>
          </w:p>
        </w:tc>
        <w:tc>
          <w:tcPr>
            <w:tcW w:w="0" w:type="auto"/>
          </w:tcPr>
          <w:p w:rsidR="00AB4971" w:rsidRPr="007106B0" w:rsidRDefault="007106B0"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18.5</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60.1</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0.68</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0.49</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3.86</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19.45</w:t>
            </w:r>
          </w:p>
        </w:tc>
        <w:tc>
          <w:tcPr>
            <w:tcW w:w="0" w:type="auto"/>
          </w:tcPr>
          <w:p w:rsidR="00AB4971" w:rsidRPr="007106B0" w:rsidRDefault="00B81675" w:rsidP="00612E83">
            <w:pPr>
              <w:snapToGrid w:val="0"/>
              <w:spacing w:line="240" w:lineRule="auto"/>
              <w:jc w:val="center"/>
              <w:rPr>
                <w:rFonts w:asciiTheme="minorHAnsi" w:eastAsia="MS PGothic" w:hAnsiTheme="minorHAnsi"/>
                <w:color w:val="000000"/>
                <w:sz w:val="14"/>
                <w:szCs w:val="14"/>
                <w:lang w:val="en-US"/>
              </w:rPr>
            </w:pPr>
            <w:r>
              <w:rPr>
                <w:rFonts w:asciiTheme="minorHAnsi" w:eastAsia="MS PGothic" w:hAnsiTheme="minorHAnsi"/>
                <w:color w:val="000000"/>
                <w:sz w:val="14"/>
                <w:szCs w:val="14"/>
                <w:lang w:val="en-US"/>
              </w:rPr>
              <w:t>0.01</w:t>
            </w:r>
          </w:p>
        </w:tc>
      </w:tr>
    </w:tbl>
    <w:p w:rsidR="00807EA3" w:rsidRPr="00222003" w:rsidRDefault="00AB4971" w:rsidP="00612E83">
      <w:pPr>
        <w:snapToGrid w:val="0"/>
        <w:spacing w:line="240" w:lineRule="auto"/>
        <w:jc w:val="left"/>
        <w:rPr>
          <w:rFonts w:asciiTheme="minorHAnsi" w:eastAsia="MS PGothic" w:hAnsiTheme="minorHAnsi"/>
          <w:color w:val="000000"/>
          <w:szCs w:val="18"/>
          <w:lang w:val="en-US"/>
        </w:rPr>
      </w:pPr>
      <w:r w:rsidRPr="00B81675">
        <w:rPr>
          <w:rFonts w:asciiTheme="minorHAnsi" w:eastAsia="MS PGothic" w:hAnsiTheme="minorHAnsi"/>
          <w:b/>
          <w:color w:val="000000"/>
          <w:szCs w:val="18"/>
          <w:lang w:val="en-US"/>
        </w:rPr>
        <w:t xml:space="preserve">Table 1. </w:t>
      </w:r>
      <w:r w:rsidRPr="00B81675">
        <w:rPr>
          <w:rFonts w:asciiTheme="minorHAnsi" w:eastAsia="MS PGothic" w:hAnsiTheme="minorHAnsi"/>
          <w:color w:val="000000"/>
          <w:sz w:val="16"/>
          <w:szCs w:val="16"/>
          <w:lang w:val="en-US"/>
        </w:rPr>
        <w:t xml:space="preserve">Parameter estimates obtained assuming, </w:t>
      </w:r>
      <m:oMath>
        <m:r>
          <w:rPr>
            <w:rFonts w:ascii="Cambria Math" w:hAnsi="Cambria Math"/>
            <w:sz w:val="16"/>
            <w:szCs w:val="16"/>
          </w:rPr>
          <m:t>x1,…,x6</m:t>
        </m:r>
      </m:oMath>
      <w:r w:rsidRPr="00B81675">
        <w:rPr>
          <w:rFonts w:asciiTheme="minorHAnsi" w:hAnsiTheme="minorHAnsi"/>
          <w:sz w:val="16"/>
          <w:szCs w:val="16"/>
        </w:rPr>
        <w:t>, are measured every 0.3 h (total number of mea</w:t>
      </w:r>
      <w:r w:rsidR="007106B0" w:rsidRPr="00B81675">
        <w:rPr>
          <w:rFonts w:asciiTheme="minorHAnsi" w:hAnsiTheme="minorHAnsi"/>
          <w:sz w:val="16"/>
          <w:szCs w:val="16"/>
        </w:rPr>
        <w:t>surements of each state being 12</w:t>
      </w:r>
      <w:r w:rsidRPr="00B81675">
        <w:rPr>
          <w:rFonts w:asciiTheme="minorHAnsi" w:hAnsiTheme="minorHAnsi"/>
          <w:sz w:val="16"/>
          <w:szCs w:val="16"/>
        </w:rPr>
        <w:t>)</w:t>
      </w:r>
      <w:r w:rsidRPr="00B81675">
        <w:rPr>
          <w:rFonts w:asciiTheme="minorHAnsi" w:eastAsia="MS PGothic" w:hAnsiTheme="minorHAnsi"/>
          <w:color w:val="000000"/>
          <w:sz w:val="16"/>
          <w:szCs w:val="16"/>
          <w:lang w:val="en-US"/>
        </w:rPr>
        <w:t xml:space="preserve"> with a measurement error of 10% (assumed to be white noise). In the table, (1) Actual values, (2) S</w:t>
      </w:r>
      <w:r w:rsidR="00595710">
        <w:rPr>
          <w:rFonts w:asciiTheme="minorHAnsi" w:eastAsia="MS PGothic" w:hAnsiTheme="minorHAnsi"/>
          <w:color w:val="000000"/>
          <w:sz w:val="16"/>
          <w:szCs w:val="16"/>
          <w:lang w:val="en-US"/>
        </w:rPr>
        <w:t>tate – substitution, (3) Multi-s</w:t>
      </w:r>
      <w:r w:rsidRPr="00B81675">
        <w:rPr>
          <w:rFonts w:asciiTheme="minorHAnsi" w:eastAsia="MS PGothic" w:hAnsiTheme="minorHAnsi"/>
          <w:color w:val="000000"/>
          <w:sz w:val="16"/>
          <w:szCs w:val="16"/>
          <w:lang w:val="en-US"/>
        </w:rPr>
        <w:t>tart with Latin Hypercube experimental design (4) Simultaneous solution and optimization of the full model.</w:t>
      </w:r>
    </w:p>
    <w:p w:rsidR="00B81675" w:rsidRPr="00DE391F" w:rsidRDefault="00DE391F" w:rsidP="00A94376">
      <w:pPr>
        <w:snapToGrid w:val="0"/>
        <w:spacing w:before="120" w:line="240" w:lineRule="auto"/>
        <w:jc w:val="left"/>
        <w:rPr>
          <w:rFonts w:asciiTheme="minorHAnsi" w:eastAsia="MS PGothic" w:hAnsiTheme="minorHAnsi"/>
          <w:bCs/>
          <w:color w:val="000000"/>
          <w:sz w:val="22"/>
          <w:szCs w:val="22"/>
          <w:lang w:val="en-US"/>
        </w:rPr>
      </w:pPr>
      <w:r w:rsidRPr="00DE391F">
        <w:rPr>
          <w:rFonts w:asciiTheme="minorHAnsi" w:eastAsia="MS PGothic" w:hAnsiTheme="minorHAnsi"/>
          <w:bCs/>
          <w:color w:val="000000"/>
          <w:sz w:val="22"/>
          <w:szCs w:val="22"/>
          <w:lang w:val="en-US"/>
        </w:rPr>
        <w:t xml:space="preserve">It may be observed that the parameter estimates obtained using the state-substitution method (2) and the use of a multi-start strategy with </w:t>
      </w:r>
      <w:r w:rsidRPr="00DE391F">
        <w:rPr>
          <w:rFonts w:asciiTheme="minorHAnsi" w:eastAsia="MS PGothic" w:hAnsiTheme="minorHAnsi"/>
          <w:color w:val="000000"/>
          <w:sz w:val="22"/>
          <w:szCs w:val="22"/>
          <w:lang w:val="en-US"/>
        </w:rPr>
        <w:t xml:space="preserve">Latin Hypercube experimental design to obtain the initial parameter values of each run of the algorithm </w:t>
      </w:r>
      <w:r w:rsidR="009036C7">
        <w:rPr>
          <w:rFonts w:asciiTheme="minorHAnsi" w:eastAsia="MS PGothic" w:hAnsiTheme="minorHAnsi"/>
          <w:color w:val="000000"/>
          <w:sz w:val="22"/>
          <w:szCs w:val="22"/>
          <w:lang w:val="en-US"/>
        </w:rPr>
        <w:t xml:space="preserve">(3) </w:t>
      </w:r>
      <w:r w:rsidRPr="00DE391F">
        <w:rPr>
          <w:rFonts w:asciiTheme="minorHAnsi" w:eastAsia="MS PGothic" w:hAnsiTheme="minorHAnsi"/>
          <w:color w:val="000000"/>
          <w:sz w:val="22"/>
          <w:szCs w:val="22"/>
          <w:lang w:val="en-US"/>
        </w:rPr>
        <w:t xml:space="preserve">are of comparable accuracy and are generally significantly superior to that of the simultaneous solution (4). </w:t>
      </w:r>
      <w:r w:rsidRPr="00DE391F">
        <w:rPr>
          <w:rFonts w:asciiTheme="minorHAnsi" w:hAnsiTheme="minorHAnsi" w:cstheme="minorHAnsi"/>
          <w:sz w:val="22"/>
          <w:szCs w:val="22"/>
        </w:rPr>
        <w:t>While algorithm run-time will be machine dependent</w:t>
      </w:r>
      <w:r w:rsidR="00A94376">
        <w:rPr>
          <w:rFonts w:asciiTheme="minorHAnsi" w:hAnsiTheme="minorHAnsi" w:cstheme="minorHAnsi"/>
          <w:sz w:val="22"/>
          <w:szCs w:val="22"/>
        </w:rPr>
        <w:t>,</w:t>
      </w:r>
      <w:r w:rsidRPr="00DE391F">
        <w:rPr>
          <w:rFonts w:asciiTheme="minorHAnsi" w:hAnsiTheme="minorHAnsi" w:cstheme="minorHAnsi"/>
          <w:sz w:val="22"/>
          <w:szCs w:val="22"/>
        </w:rPr>
        <w:t xml:space="preserve"> as an indication of the typical performance of the methods;</w:t>
      </w:r>
      <w:r w:rsidRPr="00DE391F">
        <w:rPr>
          <w:rFonts w:asciiTheme="minorHAnsi" w:eastAsia="MS PGothic" w:hAnsiTheme="minorHAnsi"/>
          <w:color w:val="000000"/>
          <w:sz w:val="22"/>
          <w:szCs w:val="22"/>
          <w:lang w:val="en-US"/>
        </w:rPr>
        <w:t xml:space="preserve"> the </w:t>
      </w:r>
      <w:r w:rsidRPr="00DE391F">
        <w:rPr>
          <w:rFonts w:asciiTheme="minorHAnsi" w:eastAsia="MS PGothic" w:hAnsiTheme="minorHAnsi"/>
          <w:bCs/>
          <w:color w:val="000000"/>
          <w:sz w:val="22"/>
          <w:szCs w:val="22"/>
          <w:lang w:val="en-US"/>
        </w:rPr>
        <w:t>state-</w:t>
      </w:r>
      <w:r w:rsidR="00114399" w:rsidRPr="00DE391F">
        <w:rPr>
          <w:rFonts w:asciiTheme="minorHAnsi" w:eastAsia="MS PGothic" w:hAnsiTheme="minorHAnsi"/>
          <w:bCs/>
          <w:color w:val="000000"/>
          <w:sz w:val="22"/>
          <w:szCs w:val="22"/>
          <w:lang w:val="en-US"/>
        </w:rPr>
        <w:t>substitution method</w:t>
      </w:r>
      <w:r w:rsidRPr="00DE391F">
        <w:rPr>
          <w:rFonts w:asciiTheme="minorHAnsi" w:eastAsia="MS PGothic" w:hAnsiTheme="minorHAnsi"/>
          <w:bCs/>
          <w:color w:val="000000"/>
          <w:sz w:val="22"/>
          <w:szCs w:val="22"/>
          <w:lang w:val="en-US"/>
        </w:rPr>
        <w:t xml:space="preserve"> </w:t>
      </w:r>
      <w:r w:rsidR="00114399" w:rsidRPr="00DE391F">
        <w:rPr>
          <w:rFonts w:asciiTheme="minorHAnsi" w:eastAsia="MS PGothic" w:hAnsiTheme="minorHAnsi"/>
          <w:bCs/>
          <w:color w:val="000000"/>
          <w:sz w:val="22"/>
          <w:szCs w:val="22"/>
          <w:lang w:val="en-US"/>
        </w:rPr>
        <w:t>(2) took 2371s to fi</w:t>
      </w:r>
      <w:r w:rsidRPr="00DE391F">
        <w:rPr>
          <w:rFonts w:asciiTheme="minorHAnsi" w:eastAsia="MS PGothic" w:hAnsiTheme="minorHAnsi"/>
          <w:bCs/>
          <w:color w:val="000000"/>
          <w:sz w:val="22"/>
          <w:szCs w:val="22"/>
          <w:lang w:val="en-US"/>
        </w:rPr>
        <w:t>nd a solution, where</w:t>
      </w:r>
      <w:r w:rsidR="00114399" w:rsidRPr="00DE391F">
        <w:rPr>
          <w:rFonts w:asciiTheme="minorHAnsi" w:eastAsia="MS PGothic" w:hAnsiTheme="minorHAnsi"/>
          <w:bCs/>
          <w:color w:val="000000"/>
          <w:sz w:val="22"/>
          <w:szCs w:val="22"/>
          <w:lang w:val="en-US"/>
        </w:rPr>
        <w:t xml:space="preserve">as </w:t>
      </w:r>
      <w:r w:rsidRPr="00DE391F">
        <w:rPr>
          <w:rFonts w:asciiTheme="minorHAnsi" w:eastAsia="MS PGothic" w:hAnsiTheme="minorHAnsi"/>
          <w:bCs/>
          <w:color w:val="000000"/>
          <w:sz w:val="22"/>
          <w:szCs w:val="22"/>
          <w:lang w:val="en-US"/>
        </w:rPr>
        <w:t>the multi-s</w:t>
      </w:r>
      <w:r w:rsidR="00114399" w:rsidRPr="00DE391F">
        <w:rPr>
          <w:rFonts w:asciiTheme="minorHAnsi" w:eastAsia="MS PGothic" w:hAnsiTheme="minorHAnsi"/>
          <w:bCs/>
          <w:color w:val="000000"/>
          <w:sz w:val="22"/>
          <w:szCs w:val="22"/>
          <w:lang w:val="en-US"/>
        </w:rPr>
        <w:t>tart method</w:t>
      </w:r>
      <w:r w:rsidRPr="00DE391F">
        <w:rPr>
          <w:rFonts w:asciiTheme="minorHAnsi" w:eastAsia="MS PGothic" w:hAnsiTheme="minorHAnsi"/>
          <w:bCs/>
          <w:color w:val="000000"/>
          <w:sz w:val="22"/>
          <w:szCs w:val="22"/>
          <w:lang w:val="en-US"/>
        </w:rPr>
        <w:t xml:space="preserve"> </w:t>
      </w:r>
      <w:r w:rsidR="00114399" w:rsidRPr="00DE391F">
        <w:rPr>
          <w:rFonts w:asciiTheme="minorHAnsi" w:eastAsia="MS PGothic" w:hAnsiTheme="minorHAnsi"/>
          <w:bCs/>
          <w:color w:val="000000"/>
          <w:sz w:val="22"/>
          <w:szCs w:val="22"/>
          <w:lang w:val="en-US"/>
        </w:rPr>
        <w:t>(3) took 5778s to find a solution</w:t>
      </w:r>
      <w:r w:rsidRPr="00DE391F">
        <w:rPr>
          <w:rFonts w:asciiTheme="minorHAnsi" w:eastAsia="MS PGothic" w:hAnsiTheme="minorHAnsi"/>
          <w:bCs/>
          <w:color w:val="000000"/>
          <w:sz w:val="22"/>
          <w:szCs w:val="22"/>
          <w:lang w:val="en-US"/>
        </w:rPr>
        <w:t xml:space="preserve"> while the </w:t>
      </w:r>
      <w:r w:rsidRPr="00DE391F">
        <w:rPr>
          <w:rFonts w:asciiTheme="minorHAnsi" w:eastAsia="MS PGothic" w:hAnsiTheme="minorHAnsi"/>
          <w:color w:val="000000"/>
          <w:sz w:val="22"/>
          <w:szCs w:val="22"/>
          <w:lang w:val="en-US"/>
        </w:rPr>
        <w:t>simultaneous solution (4) ran for</w:t>
      </w:r>
      <w:r w:rsidR="00114399" w:rsidRPr="00DE391F">
        <w:rPr>
          <w:rFonts w:asciiTheme="minorHAnsi" w:eastAsia="MS PGothic" w:hAnsiTheme="minorHAnsi"/>
          <w:bCs/>
          <w:color w:val="000000"/>
          <w:sz w:val="22"/>
          <w:szCs w:val="22"/>
          <w:lang w:val="en-US"/>
        </w:rPr>
        <w:t xml:space="preserve"> 255h and </w:t>
      </w:r>
      <w:r w:rsidRPr="00DE391F">
        <w:rPr>
          <w:rFonts w:asciiTheme="minorHAnsi" w:eastAsia="MS PGothic" w:hAnsiTheme="minorHAnsi"/>
          <w:bCs/>
          <w:color w:val="000000"/>
          <w:sz w:val="22"/>
          <w:szCs w:val="22"/>
          <w:lang w:val="en-US"/>
        </w:rPr>
        <w:t xml:space="preserve">was </w:t>
      </w:r>
      <w:r w:rsidR="00114399" w:rsidRPr="00DE391F">
        <w:rPr>
          <w:rFonts w:asciiTheme="minorHAnsi" w:eastAsia="MS PGothic" w:hAnsiTheme="minorHAnsi"/>
          <w:bCs/>
          <w:color w:val="000000"/>
          <w:sz w:val="22"/>
          <w:szCs w:val="22"/>
          <w:lang w:val="en-US"/>
        </w:rPr>
        <w:t xml:space="preserve">still not able to converge to reasonable solution. </w:t>
      </w:r>
    </w:p>
    <w:p w:rsidR="00704BDF" w:rsidRPr="007656F9" w:rsidRDefault="00704BDF" w:rsidP="00A94376">
      <w:pPr>
        <w:snapToGrid w:val="0"/>
        <w:spacing w:before="120" w:line="240" w:lineRule="auto"/>
        <w:rPr>
          <w:rFonts w:asciiTheme="minorHAnsi" w:eastAsia="MS PGothic" w:hAnsiTheme="minorHAnsi"/>
          <w:color w:val="000000"/>
          <w:sz w:val="22"/>
          <w:szCs w:val="22"/>
          <w:lang w:eastAsia="ko-KR"/>
        </w:rPr>
      </w:pPr>
      <w:r w:rsidRPr="008D0BEB">
        <w:rPr>
          <w:rFonts w:asciiTheme="minorHAnsi" w:eastAsia="MS PGothic" w:hAnsiTheme="minorHAnsi"/>
          <w:b/>
          <w:bCs/>
          <w:color w:val="000000"/>
          <w:sz w:val="22"/>
          <w:szCs w:val="22"/>
          <w:lang w:val="en-US"/>
        </w:rPr>
        <w:t>4.</w:t>
      </w:r>
      <w:r w:rsidR="005719FD">
        <w:rPr>
          <w:rFonts w:asciiTheme="minorHAnsi" w:eastAsia="MS PGothic" w:hAnsiTheme="minorHAnsi"/>
          <w:b/>
          <w:bCs/>
          <w:color w:val="000000"/>
          <w:sz w:val="22"/>
          <w:szCs w:val="22"/>
          <w:lang w:val="en-US"/>
        </w:rPr>
        <w:t>0</w:t>
      </w:r>
      <w:r w:rsidRPr="008D0BEB">
        <w:rPr>
          <w:rFonts w:asciiTheme="minorHAnsi" w:eastAsia="MS PGothic" w:hAnsiTheme="minorHAnsi"/>
          <w:b/>
          <w:bCs/>
          <w:color w:val="000000"/>
          <w:sz w:val="22"/>
          <w:szCs w:val="22"/>
          <w:lang w:val="en-US"/>
        </w:rPr>
        <w:t xml:space="preserve"> Conclusion</w:t>
      </w:r>
      <w:r w:rsidRPr="008D0BEB">
        <w:rPr>
          <w:rFonts w:asciiTheme="minorHAnsi" w:eastAsia="MS PGothic" w:hAnsiTheme="minorHAnsi"/>
          <w:b/>
          <w:bCs/>
          <w:color w:val="000000"/>
          <w:sz w:val="22"/>
          <w:szCs w:val="22"/>
          <w:lang w:val="en-US" w:eastAsia="ko-KR"/>
        </w:rPr>
        <w:t>s</w:t>
      </w:r>
    </w:p>
    <w:p w:rsidR="00704BDF" w:rsidRDefault="00A94376" w:rsidP="00A94376">
      <w:pPr>
        <w:snapToGrid w:val="0"/>
        <w:spacing w:line="240" w:lineRule="auto"/>
        <w:jc w:val="left"/>
        <w:rPr>
          <w:rFonts w:asciiTheme="minorHAnsi" w:eastAsia="MS PGothic" w:hAnsiTheme="minorHAnsi"/>
          <w:color w:val="000000"/>
          <w:sz w:val="22"/>
          <w:szCs w:val="22"/>
          <w:lang w:val="en-US"/>
        </w:rPr>
      </w:pPr>
      <w:r>
        <w:rPr>
          <w:rFonts w:asciiTheme="minorHAnsi" w:hAnsiTheme="minorHAnsi"/>
          <w:sz w:val="22"/>
          <w:szCs w:val="22"/>
        </w:rPr>
        <w:t>A</w:t>
      </w:r>
      <w:r w:rsidRPr="00D9385A">
        <w:rPr>
          <w:rFonts w:asciiTheme="minorHAnsi" w:hAnsiTheme="minorHAnsi"/>
          <w:sz w:val="22"/>
          <w:szCs w:val="22"/>
        </w:rPr>
        <w:t xml:space="preserve"> new method for the identification </w:t>
      </w:r>
      <w:r>
        <w:rPr>
          <w:rFonts w:asciiTheme="minorHAnsi" w:hAnsiTheme="minorHAnsi"/>
          <w:sz w:val="22"/>
          <w:szCs w:val="22"/>
        </w:rPr>
        <w:t xml:space="preserve">of unknown </w:t>
      </w:r>
      <w:r w:rsidRPr="00D9385A">
        <w:rPr>
          <w:rFonts w:asciiTheme="minorHAnsi" w:hAnsiTheme="minorHAnsi"/>
          <w:sz w:val="22"/>
          <w:szCs w:val="22"/>
        </w:rPr>
        <w:t>parameter</w:t>
      </w:r>
      <w:r>
        <w:rPr>
          <w:rFonts w:asciiTheme="minorHAnsi" w:hAnsiTheme="minorHAnsi"/>
          <w:sz w:val="22"/>
          <w:szCs w:val="22"/>
        </w:rPr>
        <w:t>s</w:t>
      </w:r>
      <w:r w:rsidRPr="00D9385A">
        <w:rPr>
          <w:rFonts w:asciiTheme="minorHAnsi" w:hAnsiTheme="minorHAnsi"/>
          <w:sz w:val="22"/>
          <w:szCs w:val="22"/>
        </w:rPr>
        <w:t xml:space="preserve"> of large scale </w:t>
      </w:r>
      <w:r>
        <w:rPr>
          <w:rFonts w:asciiTheme="minorHAnsi" w:hAnsiTheme="minorHAnsi"/>
          <w:sz w:val="22"/>
          <w:szCs w:val="22"/>
        </w:rPr>
        <w:t xml:space="preserve">(bio)chemical kinetic </w:t>
      </w:r>
      <w:r w:rsidRPr="00D9385A">
        <w:rPr>
          <w:rFonts w:asciiTheme="minorHAnsi" w:hAnsiTheme="minorHAnsi"/>
          <w:sz w:val="22"/>
          <w:szCs w:val="22"/>
        </w:rPr>
        <w:t>models</w:t>
      </w:r>
      <w:r>
        <w:rPr>
          <w:rFonts w:asciiTheme="minorHAnsi" w:hAnsiTheme="minorHAnsi"/>
          <w:sz w:val="22"/>
          <w:szCs w:val="22"/>
        </w:rPr>
        <w:t xml:space="preserve"> was been proposed</w:t>
      </w:r>
      <w:r w:rsidRPr="00D9385A">
        <w:rPr>
          <w:rFonts w:asciiTheme="minorHAnsi" w:hAnsiTheme="minorHAnsi"/>
          <w:sz w:val="22"/>
          <w:szCs w:val="22"/>
        </w:rPr>
        <w:t>.</w:t>
      </w:r>
      <w:r>
        <w:rPr>
          <w:rFonts w:asciiTheme="minorHAnsi" w:hAnsiTheme="minorHAnsi"/>
          <w:sz w:val="22"/>
          <w:szCs w:val="22"/>
        </w:rPr>
        <w:t xml:space="preserve"> For</w:t>
      </w:r>
      <w:r w:rsidR="009036C7">
        <w:rPr>
          <w:rFonts w:asciiTheme="minorHAnsi" w:hAnsiTheme="minorHAnsi"/>
          <w:sz w:val="22"/>
          <w:szCs w:val="22"/>
        </w:rPr>
        <w:t xml:space="preserve"> the example given, this </w:t>
      </w:r>
      <w:r>
        <w:rPr>
          <w:rFonts w:asciiTheme="minorHAnsi" w:hAnsiTheme="minorHAnsi"/>
          <w:sz w:val="22"/>
          <w:szCs w:val="22"/>
        </w:rPr>
        <w:t xml:space="preserve">provided </w:t>
      </w:r>
      <w:r w:rsidR="009036C7">
        <w:rPr>
          <w:rFonts w:asciiTheme="minorHAnsi" w:hAnsiTheme="minorHAnsi"/>
          <w:sz w:val="22"/>
          <w:szCs w:val="22"/>
        </w:rPr>
        <w:t xml:space="preserve">a </w:t>
      </w:r>
      <w:r>
        <w:rPr>
          <w:rFonts w:asciiTheme="minorHAnsi" w:hAnsiTheme="minorHAnsi"/>
          <w:sz w:val="22"/>
          <w:szCs w:val="22"/>
        </w:rPr>
        <w:t xml:space="preserve">fast and reliable parameter </w:t>
      </w:r>
      <w:r w:rsidR="009036C7" w:rsidRPr="00451B43">
        <w:rPr>
          <w:rFonts w:asciiTheme="minorHAnsi" w:hAnsiTheme="minorHAnsi"/>
          <w:sz w:val="22"/>
          <w:szCs w:val="22"/>
        </w:rPr>
        <w:t>estimation procedure.</w:t>
      </w:r>
      <w:r w:rsidRPr="00451B43">
        <w:rPr>
          <w:rFonts w:asciiTheme="minorHAnsi" w:hAnsiTheme="minorHAnsi"/>
          <w:sz w:val="22"/>
          <w:szCs w:val="22"/>
        </w:rPr>
        <w:t xml:space="preserve"> The full paper will present a more detailed assessment of the method using additional bench-mark models [4]. Furthermore, we will use Monte</w:t>
      </w:r>
      <w:r>
        <w:rPr>
          <w:rFonts w:asciiTheme="minorHAnsi" w:hAnsiTheme="minorHAnsi"/>
          <w:sz w:val="22"/>
          <w:szCs w:val="22"/>
        </w:rPr>
        <w:t xml:space="preserve"> Carlo simulation to provide a statistical perspective on our run-time results and parameter estimates and assess the impact that unmeasured species states </w:t>
      </w:r>
      <w:r w:rsidR="009036C7">
        <w:rPr>
          <w:rFonts w:asciiTheme="minorHAnsi" w:hAnsiTheme="minorHAnsi"/>
          <w:sz w:val="22"/>
          <w:szCs w:val="22"/>
        </w:rPr>
        <w:t>have</w:t>
      </w:r>
      <w:r>
        <w:rPr>
          <w:rFonts w:asciiTheme="minorHAnsi" w:hAnsiTheme="minorHAnsi"/>
          <w:sz w:val="22"/>
          <w:szCs w:val="22"/>
        </w:rPr>
        <w:t xml:space="preserve"> on the identification procedure. </w:t>
      </w:r>
    </w:p>
    <w:p w:rsidR="003D47E6" w:rsidRDefault="00704BDF" w:rsidP="00A94376">
      <w:pPr>
        <w:snapToGrid w:val="0"/>
        <w:spacing w:before="120" w:line="24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rsidR="003D47E6" w:rsidRDefault="003D47E6" w:rsidP="00A94376">
      <w:pPr>
        <w:snapToGrid w:val="0"/>
        <w:spacing w:line="40" w:lineRule="atLeast"/>
        <w:rPr>
          <w:rFonts w:ascii="Calibri" w:hAnsi="Calibri"/>
          <w:szCs w:val="18"/>
        </w:rPr>
      </w:pPr>
      <w:r w:rsidRPr="003D47E6">
        <w:rPr>
          <w:rFonts w:ascii="Calibri" w:eastAsia="MS PGothic" w:hAnsi="Calibri"/>
          <w:bCs/>
          <w:color w:val="000000"/>
          <w:szCs w:val="18"/>
          <w:lang w:val="en-US"/>
        </w:rPr>
        <w:t>[1]</w:t>
      </w:r>
      <w:r w:rsidR="009D299C">
        <w:rPr>
          <w:rFonts w:ascii="Calibri" w:eastAsia="MS PGothic" w:hAnsi="Calibri"/>
          <w:bCs/>
          <w:color w:val="000000"/>
          <w:szCs w:val="18"/>
          <w:lang w:val="en-US"/>
        </w:rPr>
        <w:t xml:space="preserve"> </w:t>
      </w:r>
      <w:proofErr w:type="spellStart"/>
      <w:r w:rsidRPr="003D47E6">
        <w:rPr>
          <w:rFonts w:ascii="Calibri" w:hAnsi="Calibri"/>
          <w:szCs w:val="18"/>
        </w:rPr>
        <w:t>Saraiva</w:t>
      </w:r>
      <w:proofErr w:type="spellEnd"/>
      <w:r w:rsidRPr="003D47E6">
        <w:rPr>
          <w:rFonts w:ascii="Calibri" w:hAnsi="Calibri"/>
          <w:szCs w:val="18"/>
        </w:rPr>
        <w:t xml:space="preserve">, I., </w:t>
      </w:r>
      <w:proofErr w:type="spellStart"/>
      <w:r w:rsidRPr="003D47E6">
        <w:rPr>
          <w:rFonts w:ascii="Calibri" w:hAnsi="Calibri"/>
          <w:szCs w:val="18"/>
        </w:rPr>
        <w:t>VandeWouwer</w:t>
      </w:r>
      <w:proofErr w:type="spellEnd"/>
      <w:r w:rsidRPr="003D47E6">
        <w:rPr>
          <w:rFonts w:ascii="Calibri" w:hAnsi="Calibri"/>
          <w:szCs w:val="18"/>
        </w:rPr>
        <w:t xml:space="preserve">, A. and </w:t>
      </w:r>
      <w:proofErr w:type="spellStart"/>
      <w:r w:rsidRPr="003D47E6">
        <w:rPr>
          <w:rFonts w:ascii="Calibri" w:hAnsi="Calibri"/>
          <w:szCs w:val="18"/>
        </w:rPr>
        <w:t>Hantson</w:t>
      </w:r>
      <w:proofErr w:type="spellEnd"/>
      <w:r w:rsidRPr="003D47E6">
        <w:rPr>
          <w:rFonts w:ascii="Calibri" w:hAnsi="Calibri"/>
          <w:szCs w:val="18"/>
        </w:rPr>
        <w:t xml:space="preserve">, A.L. (2015) 'Parameter identification of a dynamic model of CHO cell cultures: an experimental case study', </w:t>
      </w:r>
      <w:r w:rsidRPr="003D47E6">
        <w:rPr>
          <w:rFonts w:ascii="Calibri" w:hAnsi="Calibri"/>
          <w:i/>
          <w:szCs w:val="18"/>
        </w:rPr>
        <w:t xml:space="preserve">Bioprocess </w:t>
      </w:r>
      <w:proofErr w:type="spellStart"/>
      <w:r w:rsidRPr="003D47E6">
        <w:rPr>
          <w:rFonts w:ascii="Calibri" w:hAnsi="Calibri"/>
          <w:i/>
          <w:szCs w:val="18"/>
        </w:rPr>
        <w:t>BiosystEng</w:t>
      </w:r>
      <w:proofErr w:type="spellEnd"/>
      <w:r w:rsidRPr="003D47E6">
        <w:rPr>
          <w:rFonts w:ascii="Calibri" w:hAnsi="Calibri"/>
          <w:szCs w:val="18"/>
        </w:rPr>
        <w:t>, 38(11), pp. 2231-48.</w:t>
      </w:r>
    </w:p>
    <w:p w:rsidR="00DB6ED1" w:rsidRDefault="003D47E6" w:rsidP="00DB6ED1">
      <w:pPr>
        <w:pStyle w:val="EndNoteBibliography"/>
        <w:spacing w:after="0" w:line="40" w:lineRule="atLeast"/>
        <w:jc w:val="both"/>
        <w:rPr>
          <w:rFonts w:ascii="Calibri" w:hAnsi="Calibri"/>
          <w:sz w:val="18"/>
          <w:szCs w:val="18"/>
        </w:rPr>
      </w:pPr>
      <w:r w:rsidRPr="00DB6ED1">
        <w:rPr>
          <w:rFonts w:ascii="Calibri" w:hAnsi="Calibri"/>
          <w:sz w:val="18"/>
          <w:szCs w:val="18"/>
        </w:rPr>
        <w:t xml:space="preserve">[2] Raue, A., Schilling, </w:t>
      </w:r>
      <w:r w:rsidR="00AE7B75">
        <w:rPr>
          <w:rFonts w:ascii="Calibri" w:hAnsi="Calibri"/>
          <w:sz w:val="18"/>
          <w:szCs w:val="18"/>
        </w:rPr>
        <w:t>M., Bachmann, J.,  A.L.</w:t>
      </w:r>
      <w:r w:rsidRPr="00DB6ED1">
        <w:rPr>
          <w:rFonts w:ascii="Calibri" w:hAnsi="Calibri"/>
          <w:sz w:val="18"/>
          <w:szCs w:val="18"/>
        </w:rPr>
        <w:t xml:space="preserve"> (2013) 'Lessons learned from quantitative dynamical modeling in systems biology', </w:t>
      </w:r>
      <w:r w:rsidRPr="00DB6ED1">
        <w:rPr>
          <w:rFonts w:ascii="Calibri" w:hAnsi="Calibri"/>
          <w:i/>
          <w:sz w:val="18"/>
          <w:szCs w:val="18"/>
        </w:rPr>
        <w:t>PLoS One</w:t>
      </w:r>
      <w:r w:rsidRPr="00DB6ED1">
        <w:rPr>
          <w:rFonts w:ascii="Calibri" w:hAnsi="Calibri"/>
          <w:sz w:val="18"/>
          <w:szCs w:val="18"/>
        </w:rPr>
        <w:t>, 8(9), p. e74335.</w:t>
      </w:r>
    </w:p>
    <w:p w:rsidR="00704BDF" w:rsidRDefault="00DB6ED1" w:rsidP="00222003">
      <w:pPr>
        <w:pStyle w:val="EndNoteBibliography"/>
        <w:spacing w:after="0" w:line="40" w:lineRule="atLeast"/>
        <w:jc w:val="both"/>
        <w:rPr>
          <w:rFonts w:ascii="Calibri" w:hAnsi="Calibri"/>
          <w:sz w:val="18"/>
          <w:szCs w:val="18"/>
        </w:rPr>
      </w:pPr>
      <w:r w:rsidRPr="00DB6ED1">
        <w:rPr>
          <w:rFonts w:ascii="Calibri" w:eastAsia="MS PGothic" w:hAnsi="Calibri"/>
          <w:bCs/>
          <w:color w:val="000000"/>
          <w:sz w:val="18"/>
          <w:szCs w:val="18"/>
        </w:rPr>
        <w:t xml:space="preserve">[3] </w:t>
      </w:r>
      <w:r w:rsidRPr="00DB6ED1">
        <w:rPr>
          <w:rFonts w:ascii="Calibri" w:hAnsi="Calibri"/>
          <w:sz w:val="18"/>
          <w:szCs w:val="18"/>
        </w:rPr>
        <w:t xml:space="preserve">Degasperi, A., Fey, D. and Kholodenko, B.N. (2017) 'Performance of objective functions and optimisation procedures for parameter estimation in system biology models', </w:t>
      </w:r>
      <w:r w:rsidRPr="00DB6ED1">
        <w:rPr>
          <w:rFonts w:ascii="Calibri" w:hAnsi="Calibri"/>
          <w:i/>
          <w:sz w:val="18"/>
          <w:szCs w:val="18"/>
        </w:rPr>
        <w:t>NPJ Syst Biol Appl</w:t>
      </w:r>
      <w:r w:rsidR="00222003">
        <w:rPr>
          <w:rFonts w:ascii="Calibri" w:hAnsi="Calibri"/>
          <w:sz w:val="18"/>
          <w:szCs w:val="18"/>
        </w:rPr>
        <w:t>, 3, p. 20.</w:t>
      </w:r>
    </w:p>
    <w:p w:rsidR="00451B43" w:rsidRPr="00222003" w:rsidRDefault="00AE7B75" w:rsidP="00222003">
      <w:pPr>
        <w:pStyle w:val="EndNoteBibliography"/>
        <w:spacing w:after="0" w:line="40" w:lineRule="atLeast"/>
        <w:jc w:val="both"/>
        <w:rPr>
          <w:rFonts w:ascii="Calibri" w:hAnsi="Calibri"/>
          <w:sz w:val="18"/>
          <w:szCs w:val="18"/>
        </w:rPr>
      </w:pPr>
      <w:r>
        <w:rPr>
          <w:rFonts w:ascii="Calibri" w:hAnsi="Calibri"/>
          <w:sz w:val="18"/>
          <w:szCs w:val="18"/>
        </w:rPr>
        <w:t>[4] Hass</w:t>
      </w:r>
      <w:r w:rsidR="00451B43">
        <w:rPr>
          <w:rFonts w:ascii="Calibri" w:hAnsi="Calibri"/>
          <w:sz w:val="18"/>
          <w:szCs w:val="18"/>
        </w:rPr>
        <w:t xml:space="preserve">, H., </w:t>
      </w:r>
      <w:r>
        <w:rPr>
          <w:rFonts w:ascii="Calibri" w:hAnsi="Calibri"/>
          <w:sz w:val="18"/>
          <w:szCs w:val="18"/>
        </w:rPr>
        <w:t xml:space="preserve">Loos, C., Alvarez, E.R., A.L. (2019) ‘Benchmark problems for dynamic modeling of Intracellular processes’ Bioinformatics. </w:t>
      </w:r>
    </w:p>
    <w:sectPr w:rsidR="00451B43" w:rsidRPr="0022200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CB5" w:rsidRDefault="00740CB5" w:rsidP="004F5E36">
      <w:r>
        <w:separator/>
      </w:r>
    </w:p>
  </w:endnote>
  <w:endnote w:type="continuationSeparator" w:id="0">
    <w:p w:rsidR="00740CB5" w:rsidRDefault="00740CB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CB5" w:rsidRDefault="00740CB5" w:rsidP="004F5E36">
      <w:r>
        <w:separator/>
      </w:r>
    </w:p>
  </w:footnote>
  <w:footnote w:type="continuationSeparator" w:id="0">
    <w:p w:rsidR="00740CB5" w:rsidRDefault="00740CB5"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EC59CE">
    <w:pPr>
      <w:pStyle w:val="Header"/>
    </w:pPr>
    <w:r>
      <w:rPr>
        <w:noProof/>
        <w:lang w:eastAsia="en-GB"/>
      </w:rPr>
      <mc:AlternateContent>
        <mc:Choice Requires="wps">
          <w:drawing>
            <wp:anchor distT="4294967294" distB="4294967294" distL="114300" distR="114300" simplePos="0" relativeHeight="251666432" behindDoc="0" locked="0" layoutInCell="1" allowOverlap="1">
              <wp:simplePos x="0" y="0"/>
              <wp:positionH relativeFrom="column">
                <wp:posOffset>19050</wp:posOffset>
              </wp:positionH>
              <wp:positionV relativeFrom="paragraph">
                <wp:posOffset>799464</wp:posOffset>
              </wp:positionV>
              <wp:extent cx="5581650" cy="0"/>
              <wp:effectExtent l="38100" t="38100" r="57150" b="7620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20065C" id="Connettore 1 8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" strokecolor="#7030a0" strokeweight="2pt">
              <v:shadow on="t" color="black" opacity="24903f" origin=",.5" offset="0,.55556mm"/>
              <o:lock v:ext="edit" shapetype="f"/>
            </v:line>
          </w:pict>
        </mc:Fallback>
      </mc:AlternateContent>
    </w:r>
    <w:r w:rsidR="004D1162">
      <w:rPr>
        <w:noProof/>
        <w:lang w:eastAsia="en-GB"/>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EC59CE">
    <w:pPr>
      <w:pStyle w:val="Header"/>
    </w:pPr>
    <w:r>
      <w:rPr>
        <w:noProof/>
        <w:lang w:eastAsia="en-GB"/>
      </w:rPr>
      <mc:AlternateContent>
        <mc:Choice Requires="wps">
          <w:drawing>
            <wp:anchor distT="4294967294" distB="4294967294" distL="114300" distR="114300" simplePos="0" relativeHeight="251660288" behindDoc="0" locked="0" layoutInCell="1" allowOverlap="1">
              <wp:simplePos x="0" y="0"/>
              <wp:positionH relativeFrom="column">
                <wp:posOffset>128270</wp:posOffset>
              </wp:positionH>
              <wp:positionV relativeFrom="paragraph">
                <wp:posOffset>76199</wp:posOffset>
              </wp:positionV>
              <wp:extent cx="5581650" cy="0"/>
              <wp:effectExtent l="38100" t="38100" r="57150" b="7620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99F2FB" id="Connettore 1 1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" strokecolor="#7030a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7B04D90"/>
    <w:lvl w:ilvl="0">
      <w:numFmt w:val="none"/>
      <w:pStyle w:val="ListNumber5"/>
      <w:lvlText w:val=""/>
      <w:lvlJc w:val="left"/>
      <w:pPr>
        <w:tabs>
          <w:tab w:val="num" w:pos="360"/>
        </w:tabs>
      </w:pPr>
    </w:lvl>
  </w:abstractNum>
  <w:abstractNum w:abstractNumId="1" w15:restartNumberingAfterBreak="0">
    <w:nsid w:val="FFFFFF7D"/>
    <w:multiLevelType w:val="singleLevel"/>
    <w:tmpl w:val="65EC884E"/>
    <w:lvl w:ilvl="0">
      <w:numFmt w:val="decimal"/>
      <w:pStyle w:val="ListNumber4"/>
      <w:lvlText w:val=""/>
      <w:lvlJc w:val="left"/>
    </w:lvl>
  </w:abstractNum>
  <w:abstractNum w:abstractNumId="2" w15:restartNumberingAfterBreak="0">
    <w:nsid w:val="FFFFFF7E"/>
    <w:multiLevelType w:val="singleLevel"/>
    <w:tmpl w:val="408CBE96"/>
    <w:lvl w:ilvl="0">
      <w:numFmt w:val="decimal"/>
      <w:pStyle w:val="ListNumber3"/>
      <w:lvlText w:val=""/>
      <w:lvlJc w:val="left"/>
    </w:lvl>
  </w:abstractNum>
  <w:abstractNum w:abstractNumId="3" w15:restartNumberingAfterBreak="0">
    <w:nsid w:val="FFFFFF7F"/>
    <w:multiLevelType w:val="singleLevel"/>
    <w:tmpl w:val="CFC0B388"/>
    <w:lvl w:ilvl="0">
      <w:numFmt w:val="decimal"/>
      <w:pStyle w:val="ListNumber2"/>
      <w:lvlText w:val=""/>
      <w:lvlJc w:val="left"/>
    </w:lvl>
  </w:abstractNum>
  <w:abstractNum w:abstractNumId="4" w15:restartNumberingAfterBreak="0">
    <w:nsid w:val="FFFFFF80"/>
    <w:multiLevelType w:val="singleLevel"/>
    <w:tmpl w:val="CA34EB48"/>
    <w:lvl w:ilvl="0">
      <w:numFmt w:val="decimal"/>
      <w:pStyle w:val="ListBullet5"/>
      <w:lvlText w:val=""/>
      <w:lvlJc w:val="left"/>
    </w:lvl>
  </w:abstractNum>
  <w:abstractNum w:abstractNumId="5" w15:restartNumberingAfterBreak="0">
    <w:nsid w:val="FFFFFF81"/>
    <w:multiLevelType w:val="singleLevel"/>
    <w:tmpl w:val="485C6BD6"/>
    <w:lvl w:ilvl="0">
      <w:numFmt w:val="decimal"/>
      <w:pStyle w:val="ListBullet4"/>
      <w:lvlText w:val=""/>
      <w:lvlJc w:val="left"/>
    </w:lvl>
  </w:abstractNum>
  <w:abstractNum w:abstractNumId="6" w15:restartNumberingAfterBreak="0">
    <w:nsid w:val="FFFFFF82"/>
    <w:multiLevelType w:val="singleLevel"/>
    <w:tmpl w:val="587A9968"/>
    <w:lvl w:ilvl="0">
      <w:numFmt w:val="decimal"/>
      <w:pStyle w:val="ListBullet3"/>
      <w:lvlText w:val=""/>
      <w:lvlJc w:val="left"/>
    </w:lvl>
  </w:abstractNum>
  <w:abstractNum w:abstractNumId="7" w15:restartNumberingAfterBreak="0">
    <w:nsid w:val="FFFFFF83"/>
    <w:multiLevelType w:val="singleLevel"/>
    <w:tmpl w:val="9ED27934"/>
    <w:lvl w:ilvl="0">
      <w:numFmt w:val="decimal"/>
      <w:pStyle w:val="ListBullet2"/>
      <w:lvlText w:val=""/>
      <w:lvlJc w:val="left"/>
    </w:lvl>
  </w:abstractNum>
  <w:abstractNum w:abstractNumId="8" w15:restartNumberingAfterBreak="0">
    <w:nsid w:val="FFFFFF88"/>
    <w:multiLevelType w:val="singleLevel"/>
    <w:tmpl w:val="95F4206A"/>
    <w:lvl w:ilvl="0">
      <w:numFmt w:val="decimal"/>
      <w:pStyle w:val="ListNumber"/>
      <w:lvlText w:val=""/>
      <w:lvlJc w:val="left"/>
    </w:lvl>
  </w:abstractNum>
  <w:abstractNum w:abstractNumId="9" w15:restartNumberingAfterBreak="0">
    <w:nsid w:val="FFFFFF89"/>
    <w:multiLevelType w:val="singleLevel"/>
    <w:tmpl w:val="206ACE1A"/>
    <w:lvl w:ilvl="0">
      <w:numFmt w:val="decimal"/>
      <w:pStyle w:val="ListBullet"/>
      <w:lvlText w:val=""/>
      <w:lvlJc w:val="left"/>
    </w:lvl>
  </w:abstractNum>
  <w:abstractNum w:abstractNumId="10" w15:restartNumberingAfterBreak="0">
    <w:nsid w:val="025351FD"/>
    <w:multiLevelType w:val="hybridMultilevel"/>
    <w:tmpl w:val="BDE2FAFE"/>
    <w:lvl w:ilvl="0" w:tplc="08090001">
      <w:start w:val="1"/>
      <w:numFmt w:val="bullet"/>
      <w:lvlText w:val=""/>
      <w:lvlJc w:val="left"/>
      <w:rPr>
        <w:rFonts w:ascii="Symbol" w:hAnsi="Symbol" w:hint="default"/>
      </w:rPr>
    </w:lvl>
    <w:lvl w:ilvl="1" w:tplc="04090003">
      <w:numFmt w:val="decimal"/>
      <w:lvlText w:val=""/>
      <w:lvlJc w:val="left"/>
    </w:lvl>
    <w:lvl w:ilvl="2" w:tplc="08090001">
      <w:start w:val="1"/>
      <w:numFmt w:val="bullet"/>
      <w:lvlText w:val=""/>
      <w:lvlJc w:val="left"/>
      <w:rPr>
        <w:rFonts w:ascii="Symbol" w:hAnsi="Symbol" w:hint="default"/>
      </w:rPr>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07D77DAC"/>
    <w:multiLevelType w:val="hybridMultilevel"/>
    <w:tmpl w:val="BA9C7924"/>
    <w:lvl w:ilvl="0" w:tplc="F81E504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2438217E"/>
    <w:multiLevelType w:val="multilevel"/>
    <w:tmpl w:val="0784B0C2"/>
    <w:lvl w:ilvl="0">
      <w:numFmt w:val="decimal"/>
      <w:lvlText w:val=""/>
      <w:lvlJc w:val="left"/>
    </w:lvl>
    <w:lvl w:ilvl="1">
      <w:numFmt w:val="decimal"/>
      <w:pStyle w:val="CETHeading1"/>
      <w:lvlText w:val=""/>
      <w:lvlJc w:val="left"/>
    </w:lvl>
    <w:lvl w:ilvl="2">
      <w:numFmt w:val="decimal"/>
      <w:pStyle w:val="CETheadingx"/>
      <w:lvlText w:val=""/>
      <w:lvlJc w:val="left"/>
    </w:lvl>
    <w:lvl w:ilvl="3">
      <w:numFmt w:val="decimal"/>
      <w:pStyle w:val="TableSimple1"/>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1E0394"/>
    <w:multiLevelType w:val="hybridMultilevel"/>
    <w:tmpl w:val="ED14CA0C"/>
    <w:lvl w:ilvl="0" w:tplc="B13489D8">
      <w:numFmt w:val="decimal"/>
      <w:pStyle w:val="CETnumberingbullets"/>
      <w:lvlText w:val=""/>
      <w:lvlJc w:val="left"/>
    </w:lvl>
    <w:lvl w:ilvl="1" w:tplc="04100003">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14" w15:restartNumberingAfterBreak="0">
    <w:nsid w:val="53A5377D"/>
    <w:multiLevelType w:val="hybridMultilevel"/>
    <w:tmpl w:val="DA325204"/>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5" w15:restartNumberingAfterBreak="0">
    <w:nsid w:val="56205803"/>
    <w:multiLevelType w:val="multilevel"/>
    <w:tmpl w:val="444C89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D311D0"/>
    <w:multiLevelType w:val="hybridMultilevel"/>
    <w:tmpl w:val="F198FF08"/>
    <w:lvl w:ilvl="0" w:tplc="62EA088C">
      <w:numFmt w:val="decimal"/>
      <w:pStyle w:val="CETnumbering1"/>
      <w:lvlText w:val=""/>
      <w:lvlJc w:val="left"/>
    </w:lvl>
    <w:lvl w:ilvl="1" w:tplc="04100019">
      <w:numFmt w:val="decimal"/>
      <w:lvlText w:val=""/>
      <w:lvlJc w:val="left"/>
    </w:lvl>
    <w:lvl w:ilvl="2" w:tplc="0410001B">
      <w:numFmt w:val="decimal"/>
      <w:lvlText w:val=""/>
      <w:lvlJc w:val="left"/>
    </w:lvl>
    <w:lvl w:ilvl="3" w:tplc="0410000F">
      <w:numFmt w:val="decimal"/>
      <w:lvlText w:val=""/>
      <w:lvlJc w:val="left"/>
    </w:lvl>
    <w:lvl w:ilvl="4" w:tplc="04100019">
      <w:numFmt w:val="decimal"/>
      <w:lvlText w:val=""/>
      <w:lvlJc w:val="left"/>
    </w:lvl>
    <w:lvl w:ilvl="5" w:tplc="0410001B">
      <w:numFmt w:val="decimal"/>
      <w:lvlText w:val=""/>
      <w:lvlJc w:val="left"/>
    </w:lvl>
    <w:lvl w:ilvl="6" w:tplc="0410000F">
      <w:numFmt w:val="decimal"/>
      <w:lvlText w:val=""/>
      <w:lvlJc w:val="left"/>
    </w:lvl>
    <w:lvl w:ilvl="7" w:tplc="04100019">
      <w:numFmt w:val="decimal"/>
      <w:lvlText w:val=""/>
      <w:lvlJc w:val="left"/>
    </w:lvl>
    <w:lvl w:ilvl="8" w:tplc="0410001B">
      <w:numFmt w:val="decimal"/>
      <w:lvlText w:val=""/>
      <w:lvlJc w:val="left"/>
    </w:lvl>
  </w:abstractNum>
  <w:abstractNum w:abstractNumId="17" w15:restartNumberingAfterBreak="0">
    <w:nsid w:val="6865266D"/>
    <w:multiLevelType w:val="hybridMultilevel"/>
    <w:tmpl w:val="7AB4E1CE"/>
    <w:lvl w:ilvl="0" w:tplc="33FE03FA">
      <w:numFmt w:val="decimal"/>
      <w:pStyle w:val="CETnumberinga"/>
      <w:lvlText w:val=""/>
      <w:lvlJc w:val="left"/>
    </w:lvl>
    <w:lvl w:ilvl="1" w:tplc="04100003">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18" w15:restartNumberingAfterBreak="0">
    <w:nsid w:val="790A4DF9"/>
    <w:multiLevelType w:val="hybridMultilevel"/>
    <w:tmpl w:val="3322FC2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7"/>
  </w:num>
  <w:num w:numId="16">
    <w:abstractNumId w:val="18"/>
  </w:num>
  <w:num w:numId="17">
    <w:abstractNumId w:val="11"/>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4613"/>
    <w:rsid w:val="0003148D"/>
    <w:rsid w:val="00062A9A"/>
    <w:rsid w:val="00063547"/>
    <w:rsid w:val="000A03B2"/>
    <w:rsid w:val="000A231C"/>
    <w:rsid w:val="000D34BE"/>
    <w:rsid w:val="000E36F1"/>
    <w:rsid w:val="000E3A73"/>
    <w:rsid w:val="000E414A"/>
    <w:rsid w:val="00114399"/>
    <w:rsid w:val="0013121F"/>
    <w:rsid w:val="00134DE4"/>
    <w:rsid w:val="00150E59"/>
    <w:rsid w:val="00163B0F"/>
    <w:rsid w:val="00175422"/>
    <w:rsid w:val="00184AD6"/>
    <w:rsid w:val="001B32D1"/>
    <w:rsid w:val="001B38B2"/>
    <w:rsid w:val="001B65C1"/>
    <w:rsid w:val="001C684B"/>
    <w:rsid w:val="001D53FC"/>
    <w:rsid w:val="001F2EC7"/>
    <w:rsid w:val="002065DB"/>
    <w:rsid w:val="00222003"/>
    <w:rsid w:val="002447EF"/>
    <w:rsid w:val="00251550"/>
    <w:rsid w:val="00270D20"/>
    <w:rsid w:val="0027221A"/>
    <w:rsid w:val="00275B61"/>
    <w:rsid w:val="002D1F12"/>
    <w:rsid w:val="003009B7"/>
    <w:rsid w:val="0030469C"/>
    <w:rsid w:val="003723D4"/>
    <w:rsid w:val="003A7D1C"/>
    <w:rsid w:val="003D47E6"/>
    <w:rsid w:val="003E69F8"/>
    <w:rsid w:val="00414C08"/>
    <w:rsid w:val="0042302F"/>
    <w:rsid w:val="00436292"/>
    <w:rsid w:val="00436740"/>
    <w:rsid w:val="00443140"/>
    <w:rsid w:val="00451B43"/>
    <w:rsid w:val="0046164A"/>
    <w:rsid w:val="00462DCD"/>
    <w:rsid w:val="00471F34"/>
    <w:rsid w:val="004D1162"/>
    <w:rsid w:val="004E041C"/>
    <w:rsid w:val="004E3377"/>
    <w:rsid w:val="004E4DD6"/>
    <w:rsid w:val="004F563B"/>
    <w:rsid w:val="004F5E36"/>
    <w:rsid w:val="005119A5"/>
    <w:rsid w:val="005278B7"/>
    <w:rsid w:val="005346C8"/>
    <w:rsid w:val="0054200D"/>
    <w:rsid w:val="00550497"/>
    <w:rsid w:val="00552ACB"/>
    <w:rsid w:val="005719FD"/>
    <w:rsid w:val="00594E9F"/>
    <w:rsid w:val="00595710"/>
    <w:rsid w:val="005B61E6"/>
    <w:rsid w:val="005C77E1"/>
    <w:rsid w:val="005D6A2F"/>
    <w:rsid w:val="005E1A82"/>
    <w:rsid w:val="005F0A28"/>
    <w:rsid w:val="005F0E5E"/>
    <w:rsid w:val="00612E83"/>
    <w:rsid w:val="00620DEE"/>
    <w:rsid w:val="00625639"/>
    <w:rsid w:val="00632149"/>
    <w:rsid w:val="006366F8"/>
    <w:rsid w:val="0064184D"/>
    <w:rsid w:val="00660E3E"/>
    <w:rsid w:val="00662E74"/>
    <w:rsid w:val="006B01AC"/>
    <w:rsid w:val="006C5579"/>
    <w:rsid w:val="006E1BC5"/>
    <w:rsid w:val="00704BDF"/>
    <w:rsid w:val="007106B0"/>
    <w:rsid w:val="0072200D"/>
    <w:rsid w:val="00736B13"/>
    <w:rsid w:val="00740CB5"/>
    <w:rsid w:val="007447F3"/>
    <w:rsid w:val="007656F9"/>
    <w:rsid w:val="007661C8"/>
    <w:rsid w:val="00791A8F"/>
    <w:rsid w:val="007D52CD"/>
    <w:rsid w:val="007E3BF5"/>
    <w:rsid w:val="00807EA3"/>
    <w:rsid w:val="00813288"/>
    <w:rsid w:val="008168FC"/>
    <w:rsid w:val="008479A2"/>
    <w:rsid w:val="0087637F"/>
    <w:rsid w:val="00881423"/>
    <w:rsid w:val="008A1512"/>
    <w:rsid w:val="008A3AFC"/>
    <w:rsid w:val="008D0BEB"/>
    <w:rsid w:val="008E0093"/>
    <w:rsid w:val="008E566E"/>
    <w:rsid w:val="00901EB6"/>
    <w:rsid w:val="009036C7"/>
    <w:rsid w:val="009148CF"/>
    <w:rsid w:val="009450CE"/>
    <w:rsid w:val="0095164B"/>
    <w:rsid w:val="00981263"/>
    <w:rsid w:val="00996483"/>
    <w:rsid w:val="009D299C"/>
    <w:rsid w:val="009E6213"/>
    <w:rsid w:val="009E788A"/>
    <w:rsid w:val="009F47B0"/>
    <w:rsid w:val="00A013E4"/>
    <w:rsid w:val="00A063CD"/>
    <w:rsid w:val="00A1763D"/>
    <w:rsid w:val="00A17CEC"/>
    <w:rsid w:val="00A266A6"/>
    <w:rsid w:val="00A27EF0"/>
    <w:rsid w:val="00A41B9B"/>
    <w:rsid w:val="00A76EFC"/>
    <w:rsid w:val="00A90AE3"/>
    <w:rsid w:val="00A94376"/>
    <w:rsid w:val="00A97F29"/>
    <w:rsid w:val="00AB0964"/>
    <w:rsid w:val="00AB3C6C"/>
    <w:rsid w:val="00AB4971"/>
    <w:rsid w:val="00AE377D"/>
    <w:rsid w:val="00AE428E"/>
    <w:rsid w:val="00AE7B75"/>
    <w:rsid w:val="00B35D01"/>
    <w:rsid w:val="00B4607C"/>
    <w:rsid w:val="00B61DBF"/>
    <w:rsid w:val="00B81675"/>
    <w:rsid w:val="00BA315A"/>
    <w:rsid w:val="00BB106D"/>
    <w:rsid w:val="00BC30C9"/>
    <w:rsid w:val="00BE3E58"/>
    <w:rsid w:val="00C01616"/>
    <w:rsid w:val="00C0162B"/>
    <w:rsid w:val="00C06F29"/>
    <w:rsid w:val="00C345B1"/>
    <w:rsid w:val="00C40142"/>
    <w:rsid w:val="00C57182"/>
    <w:rsid w:val="00C655FD"/>
    <w:rsid w:val="00C843DE"/>
    <w:rsid w:val="00C94434"/>
    <w:rsid w:val="00CA1C95"/>
    <w:rsid w:val="00CA5A9C"/>
    <w:rsid w:val="00CC3F4B"/>
    <w:rsid w:val="00CD5FE2"/>
    <w:rsid w:val="00D02B4C"/>
    <w:rsid w:val="00D549FF"/>
    <w:rsid w:val="00D84576"/>
    <w:rsid w:val="00D9385A"/>
    <w:rsid w:val="00DA5F86"/>
    <w:rsid w:val="00DB1DEE"/>
    <w:rsid w:val="00DB6ED1"/>
    <w:rsid w:val="00DE0019"/>
    <w:rsid w:val="00DE264A"/>
    <w:rsid w:val="00DE391F"/>
    <w:rsid w:val="00E01BD8"/>
    <w:rsid w:val="00E02926"/>
    <w:rsid w:val="00E041E7"/>
    <w:rsid w:val="00E23CA1"/>
    <w:rsid w:val="00E409A8"/>
    <w:rsid w:val="00E42B9E"/>
    <w:rsid w:val="00E47211"/>
    <w:rsid w:val="00E7209D"/>
    <w:rsid w:val="00E7755E"/>
    <w:rsid w:val="00EA00E0"/>
    <w:rsid w:val="00EA02BB"/>
    <w:rsid w:val="00EA50E1"/>
    <w:rsid w:val="00EC59CE"/>
    <w:rsid w:val="00EE0131"/>
    <w:rsid w:val="00F30C64"/>
    <w:rsid w:val="00F471F6"/>
    <w:rsid w:val="00F7083A"/>
    <w:rsid w:val="00FB730C"/>
    <w:rsid w:val="00FC2695"/>
    <w:rsid w:val="00FC3E03"/>
    <w:rsid w:val="00FE0280"/>
    <w:rsid w:val="00FE03BF"/>
    <w:rsid w:val="00FE6A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8B72FC-4C7F-44B4-862B-C047689B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EndNoteBibliography">
    <w:name w:val="EndNote Bibliography"/>
    <w:basedOn w:val="Normal"/>
    <w:link w:val="EndNoteBibliographyChar"/>
    <w:rsid w:val="003D47E6"/>
    <w:pPr>
      <w:tabs>
        <w:tab w:val="clear" w:pos="7100"/>
      </w:tabs>
      <w:spacing w:after="160" w:line="240" w:lineRule="auto"/>
      <w:jc w:val="left"/>
    </w:pPr>
    <w:rPr>
      <w:rFonts w:ascii="Calibri Light" w:eastAsiaTheme="minorHAnsi" w:hAnsi="Calibri Light" w:cstheme="minorBidi"/>
      <w:noProof/>
      <w:sz w:val="32"/>
      <w:szCs w:val="22"/>
      <w:lang w:val="en-US"/>
    </w:rPr>
  </w:style>
  <w:style w:type="character" w:customStyle="1" w:styleId="EndNoteBibliographyChar">
    <w:name w:val="EndNote Bibliography Char"/>
    <w:basedOn w:val="DefaultParagraphFont"/>
    <w:link w:val="EndNoteBibliography"/>
    <w:rsid w:val="003D47E6"/>
    <w:rPr>
      <w:rFonts w:ascii="Calibri Light" w:hAnsi="Calibri Light"/>
      <w:noProof/>
      <w:sz w:val="32"/>
      <w:lang w:val="en-US"/>
    </w:rPr>
  </w:style>
  <w:style w:type="character" w:styleId="PlaceholderText">
    <w:name w:val="Placeholder Text"/>
    <w:basedOn w:val="DefaultParagraphFont"/>
    <w:uiPriority w:val="99"/>
    <w:semiHidden/>
    <w:locked/>
    <w:rsid w:val="00E01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0C97A-BA9A-4116-953D-B25F72E4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1080</Words>
  <Characters>6158</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Mark Willis</cp:lastModifiedBy>
  <cp:revision>6</cp:revision>
  <cp:lastPrinted>2019-01-15T08:27:00Z</cp:lastPrinted>
  <dcterms:created xsi:type="dcterms:W3CDTF">2019-01-15T09:02:00Z</dcterms:created>
  <dcterms:modified xsi:type="dcterms:W3CDTF">2019-01-15T09:16:00Z</dcterms:modified>
</cp:coreProperties>
</file>