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7A2DA2"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Rheological study of binary mixtures of powders using </w:t>
      </w:r>
      <w:proofErr w:type="spellStart"/>
      <w:r>
        <w:rPr>
          <w:rFonts w:asciiTheme="minorHAnsi" w:eastAsia="MS PGothic" w:hAnsiTheme="minorHAnsi"/>
          <w:b/>
          <w:bCs/>
          <w:sz w:val="28"/>
          <w:szCs w:val="28"/>
          <w:lang w:val="en-US"/>
        </w:rPr>
        <w:t>interparticular</w:t>
      </w:r>
      <w:proofErr w:type="spellEnd"/>
      <w:r>
        <w:rPr>
          <w:rFonts w:asciiTheme="minorHAnsi" w:eastAsia="MS PGothic" w:hAnsiTheme="minorHAnsi"/>
          <w:b/>
          <w:bCs/>
          <w:sz w:val="28"/>
          <w:szCs w:val="28"/>
          <w:lang w:val="en-US"/>
        </w:rPr>
        <w:t xml:space="preserve"> forces</w:t>
      </w:r>
    </w:p>
    <w:p w:rsidR="00DE0019" w:rsidRPr="00DE0019" w:rsidRDefault="007A2DA2"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Martin Giraud</w:t>
      </w:r>
      <w:r w:rsidR="00704BDF" w:rsidRPr="00DE0019">
        <w:rPr>
          <w:rFonts w:asciiTheme="minorHAnsi" w:eastAsia="SimSun" w:hAnsiTheme="minorHAnsi"/>
          <w:color w:val="000000"/>
          <w:sz w:val="24"/>
          <w:szCs w:val="24"/>
          <w:u w:val="single"/>
          <w:vertAlign w:val="superscript"/>
          <w:lang w:val="en-US" w:eastAsia="zh-CN"/>
        </w:rPr>
        <w:t>1</w:t>
      </w:r>
      <w:proofErr w:type="gramStart"/>
      <w:r>
        <w:rPr>
          <w:rFonts w:asciiTheme="minorHAnsi" w:eastAsia="SimSun" w:hAnsiTheme="minorHAnsi"/>
          <w:color w:val="000000"/>
          <w:sz w:val="24"/>
          <w:szCs w:val="24"/>
          <w:u w:val="single"/>
          <w:vertAlign w:val="superscript"/>
          <w:lang w:val="en-US" w:eastAsia="zh-CN"/>
        </w:rPr>
        <w:t>,2</w:t>
      </w:r>
      <w:proofErr w:type="gramEnd"/>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Guillaume Bernard-Granger</w:t>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Cendrine</w:t>
      </w:r>
      <w:proofErr w:type="spellEnd"/>
      <w:r>
        <w:rPr>
          <w:rFonts w:asciiTheme="minorHAnsi" w:eastAsia="SimSun" w:hAnsiTheme="minorHAnsi"/>
          <w:color w:val="000000"/>
          <w:sz w:val="24"/>
          <w:szCs w:val="24"/>
          <w:lang w:val="en-US" w:eastAsia="zh-CN"/>
        </w:rPr>
        <w:t xml:space="preserve"> Gatumel</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Stéphane</w:t>
      </w:r>
      <w:proofErr w:type="spellEnd"/>
      <w:r>
        <w:rPr>
          <w:rFonts w:asciiTheme="minorHAnsi" w:eastAsia="SimSun" w:hAnsiTheme="minorHAnsi"/>
          <w:color w:val="000000"/>
          <w:sz w:val="24"/>
          <w:szCs w:val="24"/>
          <w:lang w:val="en-US" w:eastAsia="zh-CN"/>
        </w:rPr>
        <w:t xml:space="preserve"> Vaudez</w:t>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Henri Berthiaux</w:t>
      </w:r>
      <w:r>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7A2DA2">
        <w:rPr>
          <w:rFonts w:asciiTheme="minorHAnsi" w:eastAsia="MS PGothic" w:hAnsiTheme="minorHAnsi"/>
          <w:i/>
          <w:iCs/>
          <w:color w:val="000000"/>
          <w:sz w:val="20"/>
          <w:lang w:val="en-US"/>
        </w:rPr>
        <w:t>Centre RAPSODEE UMR CNRS 5302, IMT Mines Albi</w:t>
      </w:r>
      <w:r w:rsidRPr="00DE0019">
        <w:rPr>
          <w:rFonts w:asciiTheme="minorHAnsi" w:eastAsia="MS PGothic" w:hAnsiTheme="minorHAnsi"/>
          <w:i/>
          <w:iCs/>
          <w:color w:val="000000"/>
          <w:sz w:val="20"/>
          <w:lang w:val="en-US"/>
        </w:rPr>
        <w:t xml:space="preserve">; 2 </w:t>
      </w:r>
      <w:r w:rsidR="007A2DA2">
        <w:rPr>
          <w:rFonts w:asciiTheme="minorHAnsi" w:eastAsia="MS PGothic" w:hAnsiTheme="minorHAnsi"/>
          <w:i/>
          <w:iCs/>
          <w:color w:val="000000"/>
          <w:sz w:val="20"/>
          <w:lang w:val="en-US"/>
        </w:rPr>
        <w:t>CEA-</w:t>
      </w:r>
      <w:proofErr w:type="spellStart"/>
      <w:r w:rsidR="007A2DA2">
        <w:rPr>
          <w:rFonts w:asciiTheme="minorHAnsi" w:eastAsia="MS PGothic" w:hAnsiTheme="minorHAnsi"/>
          <w:i/>
          <w:iCs/>
          <w:color w:val="000000"/>
          <w:sz w:val="20"/>
          <w:lang w:val="en-US"/>
        </w:rPr>
        <w:t>Marcoule</w:t>
      </w:r>
      <w:proofErr w:type="spellEnd"/>
      <w:r w:rsidR="007A2DA2">
        <w:rPr>
          <w:rFonts w:asciiTheme="minorHAnsi" w:eastAsia="MS PGothic" w:hAnsiTheme="minorHAnsi"/>
          <w:i/>
          <w:iCs/>
          <w:color w:val="000000"/>
          <w:sz w:val="20"/>
          <w:lang w:val="en-US"/>
        </w:rPr>
        <w:t>, DEN/MAR/DMRC/SFMA</w:t>
      </w:r>
    </w:p>
    <w:p w:rsidR="007A2DA2" w:rsidRDefault="00704BDF" w:rsidP="007A2DA2">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7A2DA2">
        <w:rPr>
          <w:rFonts w:asciiTheme="minorHAnsi" w:eastAsia="MS PGothic" w:hAnsiTheme="minorHAnsi"/>
          <w:bCs/>
          <w:i/>
          <w:iCs/>
          <w:sz w:val="20"/>
          <w:lang w:val="en-US"/>
        </w:rPr>
        <w:t xml:space="preserve"> </w:t>
      </w:r>
      <w:hyperlink r:id="rId10" w:history="1">
        <w:r w:rsidR="007A2DA2" w:rsidRPr="00724C5E">
          <w:rPr>
            <w:rStyle w:val="Lienhypertexte"/>
            <w:rFonts w:asciiTheme="minorHAnsi" w:eastAsia="MS PGothic" w:hAnsiTheme="minorHAnsi"/>
            <w:bCs/>
            <w:i/>
            <w:iCs/>
            <w:sz w:val="20"/>
            <w:lang w:val="en-US"/>
          </w:rPr>
          <w:t>martin.giraud@mines-albi.fr</w:t>
        </w:r>
      </w:hyperlink>
    </w:p>
    <w:p w:rsidR="007A2DA2" w:rsidRPr="007A2DA2" w:rsidRDefault="007A2DA2" w:rsidP="007A2DA2">
      <w:pPr>
        <w:rPr>
          <w:rFonts w:asciiTheme="minorHAnsi" w:eastAsia="MS PGothic" w:hAnsiTheme="minorHAnsi"/>
          <w:color w:val="000000"/>
          <w:sz w:val="22"/>
          <w:szCs w:val="22"/>
          <w:lang w:val="en-US"/>
        </w:rPr>
      </w:pPr>
      <w:r w:rsidRPr="007A2DA2">
        <w:rPr>
          <w:rFonts w:asciiTheme="minorHAnsi" w:eastAsia="MS PGothic" w:hAnsiTheme="minorHAnsi"/>
          <w:color w:val="000000"/>
          <w:sz w:val="22"/>
          <w:szCs w:val="22"/>
          <w:lang w:val="en-US"/>
        </w:rPr>
        <w:t xml:space="preserve">This study has been carried out in order to improve the understanding of the mechanisms that occur during powder mixing operations, which are commonly used in many industrial processes. Up to now, the link between physicochemical and morphological properties of the powders and its </w:t>
      </w:r>
      <w:proofErr w:type="spellStart"/>
      <w:r w:rsidRPr="007A2DA2">
        <w:rPr>
          <w:rFonts w:asciiTheme="minorHAnsi" w:eastAsia="MS PGothic" w:hAnsiTheme="minorHAnsi"/>
          <w:color w:val="000000"/>
          <w:sz w:val="22"/>
          <w:szCs w:val="22"/>
          <w:lang w:val="en-US"/>
        </w:rPr>
        <w:t>flowability</w:t>
      </w:r>
      <w:proofErr w:type="spellEnd"/>
      <w:r w:rsidRPr="007A2DA2">
        <w:rPr>
          <w:rFonts w:asciiTheme="minorHAnsi" w:eastAsia="MS PGothic" w:hAnsiTheme="minorHAnsi"/>
          <w:color w:val="000000"/>
          <w:sz w:val="22"/>
          <w:szCs w:val="22"/>
          <w:lang w:val="en-US"/>
        </w:rPr>
        <w:t xml:space="preserve"> is still unclear. Likewise, for a mixture of several powders of different particle properties, the influence of the mass fraction of each powder within the mixture on its resulting rheology is not clearly established.</w:t>
      </w:r>
    </w:p>
    <w:p w:rsidR="007A2DA2" w:rsidRPr="007A2DA2" w:rsidRDefault="007A2DA2" w:rsidP="007A2DA2">
      <w:pPr>
        <w:rPr>
          <w:rFonts w:asciiTheme="minorHAnsi" w:eastAsia="MS PGothic" w:hAnsiTheme="minorHAnsi"/>
          <w:color w:val="000000"/>
          <w:sz w:val="22"/>
          <w:szCs w:val="22"/>
          <w:lang w:val="en-US"/>
        </w:rPr>
      </w:pPr>
      <w:r w:rsidRPr="007A2DA2">
        <w:rPr>
          <w:rFonts w:asciiTheme="minorHAnsi" w:eastAsia="MS PGothic" w:hAnsiTheme="minorHAnsi"/>
          <w:color w:val="000000"/>
          <w:sz w:val="22"/>
          <w:szCs w:val="22"/>
          <w:lang w:val="en-US"/>
        </w:rPr>
        <w:t xml:space="preserve">For this study, alumina (Al2O3), zircon (ZrO2) and yttrium oxide (Y2O3) powders of different grades have been selected in order to get a relevant range of size and shape for the study. The mixtures are prepared in a Turbula® mixer and the </w:t>
      </w:r>
      <w:proofErr w:type="spellStart"/>
      <w:r w:rsidRPr="007A2DA2">
        <w:rPr>
          <w:rFonts w:asciiTheme="minorHAnsi" w:eastAsia="MS PGothic" w:hAnsiTheme="minorHAnsi"/>
          <w:color w:val="000000"/>
          <w:sz w:val="22"/>
          <w:szCs w:val="22"/>
          <w:lang w:val="en-US"/>
        </w:rPr>
        <w:t>flowability</w:t>
      </w:r>
      <w:proofErr w:type="spellEnd"/>
      <w:r w:rsidRPr="007A2DA2">
        <w:rPr>
          <w:rFonts w:asciiTheme="minorHAnsi" w:eastAsia="MS PGothic" w:hAnsiTheme="minorHAnsi"/>
          <w:color w:val="000000"/>
          <w:sz w:val="22"/>
          <w:szCs w:val="22"/>
          <w:lang w:val="en-US"/>
        </w:rPr>
        <w:t xml:space="preserve"> of each blends has been assessed by </w:t>
      </w:r>
      <w:proofErr w:type="spellStart"/>
      <w:r w:rsidRPr="007A2DA2">
        <w:rPr>
          <w:rFonts w:asciiTheme="minorHAnsi" w:eastAsia="MS PGothic" w:hAnsiTheme="minorHAnsi"/>
          <w:color w:val="000000"/>
          <w:sz w:val="22"/>
          <w:szCs w:val="22"/>
          <w:lang w:val="en-US"/>
        </w:rPr>
        <w:t>Jenike</w:t>
      </w:r>
      <w:proofErr w:type="spellEnd"/>
      <w:r w:rsidRPr="007A2DA2">
        <w:rPr>
          <w:rFonts w:asciiTheme="minorHAnsi" w:eastAsia="MS PGothic" w:hAnsiTheme="minorHAnsi"/>
          <w:color w:val="000000"/>
          <w:sz w:val="22"/>
          <w:szCs w:val="22"/>
          <w:lang w:val="en-US"/>
        </w:rPr>
        <w:t xml:space="preserve"> shear cell yield locus measurements, performed with a powder rheometer.</w:t>
      </w:r>
    </w:p>
    <w:p w:rsidR="007A2DA2" w:rsidRPr="007A2DA2" w:rsidRDefault="007A2DA2" w:rsidP="007A2DA2">
      <w:pPr>
        <w:rPr>
          <w:rFonts w:asciiTheme="minorHAnsi" w:eastAsia="MS PGothic" w:hAnsiTheme="minorHAnsi"/>
          <w:color w:val="000000"/>
          <w:sz w:val="22"/>
          <w:szCs w:val="22"/>
          <w:lang w:val="en-US"/>
        </w:rPr>
      </w:pPr>
      <w:r w:rsidRPr="007A2DA2">
        <w:rPr>
          <w:rFonts w:asciiTheme="minorHAnsi" w:eastAsia="MS PGothic" w:hAnsiTheme="minorHAnsi"/>
          <w:color w:val="000000"/>
          <w:sz w:val="22"/>
          <w:szCs w:val="22"/>
          <w:lang w:val="en-US"/>
        </w:rPr>
        <w:t xml:space="preserve">A model linking the </w:t>
      </w:r>
      <w:proofErr w:type="spellStart"/>
      <w:r w:rsidRPr="007A2DA2">
        <w:rPr>
          <w:rFonts w:asciiTheme="minorHAnsi" w:eastAsia="MS PGothic" w:hAnsiTheme="minorHAnsi"/>
          <w:color w:val="000000"/>
          <w:sz w:val="22"/>
          <w:szCs w:val="22"/>
          <w:lang w:val="en-US"/>
        </w:rPr>
        <w:t>flowability</w:t>
      </w:r>
      <w:proofErr w:type="spellEnd"/>
      <w:r w:rsidRPr="007A2DA2">
        <w:rPr>
          <w:rFonts w:asciiTheme="minorHAnsi" w:eastAsia="MS PGothic" w:hAnsiTheme="minorHAnsi"/>
          <w:color w:val="000000"/>
          <w:sz w:val="22"/>
          <w:szCs w:val="22"/>
          <w:lang w:val="en-US"/>
        </w:rPr>
        <w:t xml:space="preserve"> of the mixtures to their composition and the m</w:t>
      </w:r>
      <w:bookmarkStart w:id="0" w:name="_GoBack"/>
      <w:bookmarkEnd w:id="0"/>
      <w:r w:rsidRPr="007A2DA2">
        <w:rPr>
          <w:rFonts w:asciiTheme="minorHAnsi" w:eastAsia="MS PGothic" w:hAnsiTheme="minorHAnsi"/>
          <w:color w:val="000000"/>
          <w:sz w:val="22"/>
          <w:szCs w:val="22"/>
          <w:lang w:val="en-US"/>
        </w:rPr>
        <w:t xml:space="preserve">orphological properties of each powder has been investigated using a population dependent Bond number which has been developed in previous studies </w:t>
      </w:r>
      <w:r w:rsidRPr="007A2DA2">
        <w:rPr>
          <w:rFonts w:asciiTheme="minorHAnsi" w:eastAsia="MS PGothic" w:hAnsiTheme="minorHAnsi"/>
          <w:color w:val="000000"/>
          <w:sz w:val="22"/>
          <w:szCs w:val="22"/>
          <w:lang w:val="en-US"/>
        </w:rPr>
        <w:fldChar w:fldCharType="begin"/>
      </w:r>
      <w:r w:rsidRPr="007A2DA2">
        <w:rPr>
          <w:rFonts w:asciiTheme="minorHAnsi" w:eastAsia="MS PGothic" w:hAnsiTheme="minorHAnsi"/>
          <w:color w:val="000000"/>
          <w:sz w:val="22"/>
          <w:szCs w:val="22"/>
          <w:lang w:val="en-US"/>
        </w:rPr>
        <w:instrText xml:space="preserve"> ADDIN ZOTERO_ITEM CSL_CITATION {"citationID":"KKoNqYvD","properties":{"formattedCitation":"[1]","plainCitation":"[1]","noteIndex":0},"citationItems":[{"id":84,"uris":["http://zotero.org/users/4811246/items/NWW7UKK2"],"uri":["http://zotero.org/users/4811246/items/NWW7UKK2"],"itemData":{"id":84,"type":"article-journal","title":"On the relationship of inter-particle cohesiveness and bulk powder behavior: Flowability of pharmaceutical powders","container-title":"International Journal of Pharmaceutics","page":"178-189","volume":"511","issue":"1","DOI":"10.1016/j.ijpharm.2016.06.059","ISSN":"0378-5173","journalAbbreviation":"International Journal of Pharmaceutics","author":[{"family":"Capece","given":"Maxx"},{"family":"Silva","given":"Karina Ruiz"},{"family":"Sunkara","given":"Divya"},{"family":"Strong","given":"John"},{"family":"Gao","given":"Ping"}],"issued":{"date-parts":[["2016",9,10]]}}}],"schema":"https://github.com/citation-style-language/schema/raw/master/csl-citation.json"} </w:instrText>
      </w:r>
      <w:r w:rsidRPr="007A2DA2">
        <w:rPr>
          <w:rFonts w:asciiTheme="minorHAnsi" w:eastAsia="MS PGothic" w:hAnsiTheme="minorHAnsi"/>
          <w:color w:val="000000"/>
          <w:sz w:val="22"/>
          <w:szCs w:val="22"/>
          <w:lang w:val="en-US"/>
        </w:rPr>
        <w:fldChar w:fldCharType="separate"/>
      </w:r>
      <w:r w:rsidRPr="007A2DA2">
        <w:rPr>
          <w:rFonts w:asciiTheme="minorHAnsi" w:eastAsia="MS PGothic" w:hAnsiTheme="minorHAnsi"/>
          <w:color w:val="000000"/>
          <w:sz w:val="22"/>
          <w:szCs w:val="22"/>
          <w:lang w:val="en-US"/>
        </w:rPr>
        <w:t>[1]</w:t>
      </w:r>
      <w:r w:rsidRPr="007A2DA2">
        <w:rPr>
          <w:rFonts w:asciiTheme="minorHAnsi" w:eastAsia="MS PGothic" w:hAnsiTheme="minorHAnsi"/>
          <w:color w:val="000000"/>
          <w:sz w:val="22"/>
          <w:szCs w:val="22"/>
          <w:lang w:val="en-US"/>
        </w:rPr>
        <w:fldChar w:fldCharType="end"/>
      </w:r>
      <w:r w:rsidRPr="007A2DA2">
        <w:rPr>
          <w:rFonts w:asciiTheme="minorHAnsi" w:eastAsia="MS PGothic" w:hAnsiTheme="minorHAnsi"/>
          <w:color w:val="000000"/>
          <w:sz w:val="22"/>
          <w:szCs w:val="22"/>
          <w:lang w:val="en-US"/>
        </w:rPr>
        <w:t xml:space="preserve">. This dimensionless number corresponds to the ratio between adhesive </w:t>
      </w:r>
      <w:proofErr w:type="spellStart"/>
      <w:r w:rsidRPr="007A2DA2">
        <w:rPr>
          <w:rFonts w:asciiTheme="minorHAnsi" w:eastAsia="MS PGothic" w:hAnsiTheme="minorHAnsi"/>
          <w:color w:val="000000"/>
          <w:sz w:val="22"/>
          <w:szCs w:val="22"/>
          <w:lang w:val="en-US"/>
        </w:rPr>
        <w:t>interparticular</w:t>
      </w:r>
      <w:proofErr w:type="spellEnd"/>
      <w:r w:rsidRPr="007A2DA2">
        <w:rPr>
          <w:rFonts w:asciiTheme="minorHAnsi" w:eastAsia="MS PGothic" w:hAnsiTheme="minorHAnsi"/>
          <w:color w:val="000000"/>
          <w:sz w:val="22"/>
          <w:szCs w:val="22"/>
          <w:lang w:val="en-US"/>
        </w:rPr>
        <w:t xml:space="preserve"> forces and the weight of the particles within the powder. It is then linked to the overall cohesion of the powder bed (</w:t>
      </w:r>
      <w:r w:rsidRPr="007A2DA2">
        <w:rPr>
          <w:rFonts w:asciiTheme="minorHAnsi" w:eastAsia="MS PGothic" w:hAnsiTheme="minorHAnsi"/>
          <w:color w:val="000000"/>
          <w:sz w:val="22"/>
          <w:szCs w:val="22"/>
          <w:lang w:val="en-US"/>
        </w:rPr>
        <w:fldChar w:fldCharType="begin"/>
      </w:r>
      <w:r w:rsidRPr="007A2DA2">
        <w:rPr>
          <w:rFonts w:asciiTheme="minorHAnsi" w:eastAsia="MS PGothic" w:hAnsiTheme="minorHAnsi"/>
          <w:color w:val="000000"/>
          <w:sz w:val="22"/>
          <w:szCs w:val="22"/>
          <w:lang w:val="en-US"/>
        </w:rPr>
        <w:instrText xml:space="preserve"> REF _Ref532896292 \h </w:instrText>
      </w:r>
      <w:r w:rsidRPr="007A2DA2">
        <w:rPr>
          <w:rFonts w:eastAsia="MS PGothic"/>
          <w:lang w:val="en-US"/>
        </w:rPr>
      </w:r>
      <w:r w:rsidRPr="007A2DA2">
        <w:rPr>
          <w:rFonts w:asciiTheme="minorHAnsi" w:eastAsia="MS PGothic" w:hAnsiTheme="minorHAnsi"/>
          <w:color w:val="000000"/>
          <w:sz w:val="22"/>
          <w:szCs w:val="22"/>
          <w:lang w:val="en-US"/>
        </w:rPr>
        <w:instrText xml:space="preserve"> \* MERGEFORMAT </w:instrText>
      </w:r>
      <w:r w:rsidRPr="007A2DA2">
        <w:rPr>
          <w:rFonts w:asciiTheme="minorHAnsi" w:eastAsia="MS PGothic" w:hAnsiTheme="minorHAnsi"/>
          <w:color w:val="000000"/>
          <w:sz w:val="22"/>
          <w:szCs w:val="22"/>
          <w:lang w:val="en-US"/>
        </w:rPr>
        <w:fldChar w:fldCharType="separate"/>
      </w:r>
      <w:r w:rsidRPr="007A2DA2">
        <w:rPr>
          <w:rFonts w:asciiTheme="minorHAnsi" w:eastAsia="MS PGothic" w:hAnsiTheme="minorHAnsi"/>
          <w:color w:val="000000"/>
          <w:sz w:val="22"/>
          <w:szCs w:val="22"/>
          <w:lang w:val="en-US"/>
        </w:rPr>
        <w:t>Figure 1</w:t>
      </w:r>
      <w:r w:rsidRPr="007A2DA2">
        <w:rPr>
          <w:rFonts w:asciiTheme="minorHAnsi" w:eastAsia="MS PGothic" w:hAnsiTheme="minorHAnsi"/>
          <w:color w:val="000000"/>
          <w:sz w:val="22"/>
          <w:szCs w:val="22"/>
          <w:lang w:val="en-US"/>
        </w:rPr>
        <w:fldChar w:fldCharType="end"/>
      </w:r>
      <w:r w:rsidRPr="007A2DA2">
        <w:rPr>
          <w:rFonts w:asciiTheme="minorHAnsi" w:eastAsia="MS PGothic" w:hAnsiTheme="minorHAnsi"/>
          <w:color w:val="000000"/>
          <w:sz w:val="22"/>
          <w:szCs w:val="22"/>
          <w:lang w:val="en-US"/>
        </w:rPr>
        <w:t>). The population dependent Bond number is assessed by fine characterization of each powder in terms of size distribution, surface roughness, specific surface area, surface energy and true density.</w:t>
      </w:r>
    </w:p>
    <w:p w:rsidR="007A2DA2" w:rsidRDefault="007A2DA2" w:rsidP="007A2DA2">
      <w:pPr>
        <w:keepNext/>
        <w:jc w:val="center"/>
      </w:pPr>
      <w:r>
        <w:rPr>
          <w:noProof/>
          <w:lang w:val="fr-FR" w:eastAsia="fr-FR"/>
        </w:rPr>
        <w:drawing>
          <wp:inline distT="0" distB="0" distL="0" distR="0" wp14:anchorId="7785B007" wp14:editId="5EBF006A">
            <wp:extent cx="3162300" cy="2124075"/>
            <wp:effectExtent l="0" t="0" r="0"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2DA2" w:rsidRDefault="007A2DA2" w:rsidP="007A2DA2">
      <w:pPr>
        <w:pStyle w:val="Lgende"/>
        <w:ind w:left="720"/>
        <w:jc w:val="center"/>
        <w:rPr>
          <w:sz w:val="24"/>
          <w:lang w:val="en-US"/>
        </w:rPr>
      </w:pPr>
      <w:bookmarkStart w:id="1" w:name="_Ref532896292"/>
      <w:r w:rsidRPr="007A2DA2">
        <w:rPr>
          <w:rFonts w:asciiTheme="minorHAnsi" w:eastAsia="MS PGothic" w:hAnsiTheme="minorHAnsi"/>
          <w:bCs w:val="0"/>
          <w:color w:val="000000"/>
          <w:lang w:val="en-US"/>
        </w:rPr>
        <w:t xml:space="preserve">Figure </w:t>
      </w:r>
      <w:r w:rsidRPr="007A2DA2">
        <w:rPr>
          <w:rFonts w:asciiTheme="minorHAnsi" w:eastAsia="MS PGothic" w:hAnsiTheme="minorHAnsi"/>
          <w:bCs w:val="0"/>
          <w:color w:val="000000"/>
          <w:lang w:val="en-US"/>
        </w:rPr>
        <w:fldChar w:fldCharType="begin"/>
      </w:r>
      <w:r w:rsidRPr="007A2DA2">
        <w:rPr>
          <w:rFonts w:asciiTheme="minorHAnsi" w:eastAsia="MS PGothic" w:hAnsiTheme="minorHAnsi"/>
          <w:bCs w:val="0"/>
          <w:color w:val="000000"/>
          <w:lang w:val="en-US"/>
        </w:rPr>
        <w:instrText xml:space="preserve"> SEQ Figure \* ARABIC </w:instrText>
      </w:r>
      <w:r w:rsidRPr="007A2DA2">
        <w:rPr>
          <w:rFonts w:asciiTheme="minorHAnsi" w:eastAsia="MS PGothic" w:hAnsiTheme="minorHAnsi"/>
          <w:bCs w:val="0"/>
          <w:color w:val="000000"/>
          <w:lang w:val="en-US"/>
        </w:rPr>
        <w:fldChar w:fldCharType="separate"/>
      </w:r>
      <w:r w:rsidRPr="007A2DA2">
        <w:rPr>
          <w:rFonts w:asciiTheme="minorHAnsi" w:eastAsia="MS PGothic" w:hAnsiTheme="minorHAnsi"/>
          <w:bCs w:val="0"/>
          <w:color w:val="000000"/>
          <w:lang w:val="en-US"/>
        </w:rPr>
        <w:t>1</w:t>
      </w:r>
      <w:r w:rsidRPr="007A2DA2">
        <w:rPr>
          <w:rFonts w:asciiTheme="minorHAnsi" w:eastAsia="MS PGothic" w:hAnsiTheme="minorHAnsi"/>
          <w:bCs w:val="0"/>
          <w:color w:val="000000"/>
          <w:lang w:val="en-US"/>
        </w:rPr>
        <w:fldChar w:fldCharType="end"/>
      </w:r>
      <w:bookmarkEnd w:id="1"/>
      <w:r w:rsidRPr="007A2DA2">
        <w:rPr>
          <w:rFonts w:asciiTheme="minorHAnsi" w:eastAsia="MS PGothic" w:hAnsiTheme="minorHAnsi"/>
          <w:bCs w:val="0"/>
          <w:color w:val="000000"/>
          <w:lang w:val="en-US"/>
        </w:rPr>
        <w:t xml:space="preserve"> :</w:t>
      </w:r>
      <w:r>
        <w:t xml:space="preserve"> </w:t>
      </w:r>
      <w:r w:rsidRPr="007A2DA2">
        <w:rPr>
          <w:rFonts w:asciiTheme="minorHAnsi" w:eastAsia="MS PGothic" w:hAnsiTheme="minorHAnsi"/>
          <w:b w:val="0"/>
          <w:bCs w:val="0"/>
          <w:color w:val="000000"/>
          <w:lang w:val="en-US"/>
        </w:rPr>
        <w:t>Evolution of the flow index regarding the formulation of binary mixtures of alumina and yttrium oxide powders</w:t>
      </w:r>
    </w:p>
    <w:p w:rsidR="00704BDF" w:rsidRPr="007A2DA2" w:rsidRDefault="007A2DA2" w:rsidP="007A2DA2">
      <w:pPr>
        <w:pStyle w:val="Bibliographie"/>
        <w:rPr>
          <w:rFonts w:asciiTheme="minorHAnsi" w:hAnsiTheme="minorHAnsi"/>
          <w:color w:val="000000"/>
          <w:sz w:val="20"/>
          <w:lang w:val="en-US"/>
        </w:rPr>
      </w:pPr>
      <w:r w:rsidRPr="007A2DA2">
        <w:rPr>
          <w:rFonts w:asciiTheme="minorHAnsi" w:hAnsiTheme="minorHAnsi"/>
          <w:color w:val="000000"/>
          <w:sz w:val="20"/>
          <w:lang w:val="en-US"/>
        </w:rPr>
        <w:fldChar w:fldCharType="begin"/>
      </w:r>
      <w:r w:rsidRPr="007A2DA2">
        <w:rPr>
          <w:rFonts w:asciiTheme="minorHAnsi" w:hAnsiTheme="minorHAnsi"/>
          <w:color w:val="000000"/>
          <w:sz w:val="20"/>
          <w:lang w:val="en-US"/>
        </w:rPr>
        <w:instrText xml:space="preserve"> ADDIN ZOTERO_BIBL {"uncited":[],"omitted":[],"custom":[]} CSL_BIBLIOGRAPHY </w:instrText>
      </w:r>
      <w:r w:rsidRPr="007A2DA2">
        <w:rPr>
          <w:rFonts w:asciiTheme="minorHAnsi" w:hAnsiTheme="minorHAnsi"/>
          <w:color w:val="000000"/>
          <w:sz w:val="20"/>
          <w:lang w:val="en-US"/>
        </w:rPr>
        <w:fldChar w:fldCharType="separate"/>
      </w:r>
      <w:r w:rsidRPr="007A2DA2">
        <w:rPr>
          <w:rFonts w:asciiTheme="minorHAnsi" w:hAnsiTheme="minorHAnsi"/>
          <w:color w:val="000000"/>
          <w:sz w:val="20"/>
          <w:lang w:val="en-US"/>
        </w:rPr>
        <w:t>[1]</w:t>
      </w:r>
      <w:r w:rsidRPr="007A2DA2">
        <w:rPr>
          <w:rFonts w:asciiTheme="minorHAnsi" w:hAnsiTheme="minorHAnsi"/>
          <w:color w:val="000000"/>
          <w:sz w:val="20"/>
          <w:lang w:val="en-US"/>
        </w:rPr>
        <w:tab/>
        <w:t xml:space="preserve">M. </w:t>
      </w:r>
      <w:proofErr w:type="spellStart"/>
      <w:r w:rsidRPr="007A2DA2">
        <w:rPr>
          <w:rFonts w:asciiTheme="minorHAnsi" w:hAnsiTheme="minorHAnsi"/>
          <w:color w:val="000000"/>
          <w:sz w:val="20"/>
          <w:lang w:val="en-US"/>
        </w:rPr>
        <w:t>Capece</w:t>
      </w:r>
      <w:proofErr w:type="spellEnd"/>
      <w:r w:rsidRPr="007A2DA2">
        <w:rPr>
          <w:rFonts w:asciiTheme="minorHAnsi" w:hAnsiTheme="minorHAnsi"/>
          <w:color w:val="000000"/>
          <w:sz w:val="20"/>
          <w:lang w:val="en-US"/>
        </w:rPr>
        <w:t xml:space="preserve">, K. R. Silva, D. </w:t>
      </w:r>
      <w:proofErr w:type="spellStart"/>
      <w:r w:rsidRPr="007A2DA2">
        <w:rPr>
          <w:rFonts w:asciiTheme="minorHAnsi" w:hAnsiTheme="minorHAnsi"/>
          <w:color w:val="000000"/>
          <w:sz w:val="20"/>
          <w:lang w:val="en-US"/>
        </w:rPr>
        <w:t>Sunkara</w:t>
      </w:r>
      <w:proofErr w:type="spellEnd"/>
      <w:r w:rsidRPr="007A2DA2">
        <w:rPr>
          <w:rFonts w:asciiTheme="minorHAnsi" w:hAnsiTheme="minorHAnsi"/>
          <w:color w:val="000000"/>
          <w:sz w:val="20"/>
          <w:lang w:val="en-US"/>
        </w:rPr>
        <w:t xml:space="preserve">, J. Strong, and P. Gao, “On the relationship of inter-particle cohesiveness and bulk powder </w:t>
      </w:r>
      <w:proofErr w:type="spellStart"/>
      <w:r w:rsidRPr="007A2DA2">
        <w:rPr>
          <w:rFonts w:asciiTheme="minorHAnsi" w:hAnsiTheme="minorHAnsi"/>
          <w:color w:val="000000"/>
          <w:sz w:val="20"/>
          <w:lang w:val="en-US"/>
        </w:rPr>
        <w:t>behavior</w:t>
      </w:r>
      <w:proofErr w:type="spellEnd"/>
      <w:r w:rsidRPr="007A2DA2">
        <w:rPr>
          <w:rFonts w:asciiTheme="minorHAnsi" w:hAnsiTheme="minorHAnsi"/>
          <w:color w:val="000000"/>
          <w:sz w:val="20"/>
          <w:lang w:val="en-US"/>
        </w:rPr>
        <w:t xml:space="preserve">: </w:t>
      </w:r>
      <w:proofErr w:type="spellStart"/>
      <w:r w:rsidRPr="007A2DA2">
        <w:rPr>
          <w:rFonts w:asciiTheme="minorHAnsi" w:hAnsiTheme="minorHAnsi"/>
          <w:color w:val="000000"/>
          <w:sz w:val="20"/>
          <w:lang w:val="en-US"/>
        </w:rPr>
        <w:t>Flowability</w:t>
      </w:r>
      <w:proofErr w:type="spellEnd"/>
      <w:r w:rsidRPr="007A2DA2">
        <w:rPr>
          <w:rFonts w:asciiTheme="minorHAnsi" w:hAnsiTheme="minorHAnsi"/>
          <w:color w:val="000000"/>
          <w:sz w:val="20"/>
          <w:lang w:val="en-US"/>
        </w:rPr>
        <w:t xml:space="preserve"> of pharmaceutical powders,” Int. J. Pharm., vol. 511, no. 1, pp. 178–189, Sep. 2016.</w:t>
      </w:r>
      <w:r w:rsidRPr="007A2DA2">
        <w:rPr>
          <w:rFonts w:asciiTheme="minorHAnsi" w:hAnsiTheme="minorHAnsi"/>
          <w:color w:val="000000"/>
          <w:sz w:val="20"/>
          <w:lang w:val="en-US"/>
        </w:rPr>
        <w:fldChar w:fldCharType="end"/>
      </w:r>
    </w:p>
    <w:sectPr w:rsidR="00704BDF" w:rsidRPr="007A2DA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BEE" w:rsidRDefault="00A36BEE" w:rsidP="004F5E36">
      <w:r>
        <w:separator/>
      </w:r>
    </w:p>
  </w:endnote>
  <w:endnote w:type="continuationSeparator" w:id="0">
    <w:p w:rsidR="00A36BEE" w:rsidRDefault="00A36BE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BEE" w:rsidRDefault="00A36BEE" w:rsidP="004F5E36">
      <w:r>
        <w:separator/>
      </w:r>
    </w:p>
  </w:footnote>
  <w:footnote w:type="continuationSeparator" w:id="0">
    <w:p w:rsidR="00A36BEE" w:rsidRDefault="00A36BEE"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8B0244"/>
    <w:multiLevelType w:val="hybridMultilevel"/>
    <w:tmpl w:val="DA5A68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A2DA2"/>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36BEE"/>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7A2DA2"/>
    <w:pPr>
      <w:ind w:left="720"/>
      <w:contextualSpacing/>
    </w:pPr>
  </w:style>
  <w:style w:type="character" w:styleId="Lienhypertexte">
    <w:name w:val="Hyperlink"/>
    <w:basedOn w:val="Policepardfaut"/>
    <w:uiPriority w:val="99"/>
    <w:unhideWhenUsed/>
    <w:locked/>
    <w:rsid w:val="007A2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martin.giraud@mines-albi.fr"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giraud\Desktop\Th&#232;se\Caract&#233;risation%20des%20m&#233;langes\Calibration%20FT4\M&#233;lange%20Al2O3-Y2O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t>Al</a:t>
            </a:r>
            <a:r>
              <a:rPr lang="en-US" sz="1200" baseline="-25000"/>
              <a:t>2</a:t>
            </a:r>
            <a:r>
              <a:rPr lang="en-US" sz="1200"/>
              <a:t>O</a:t>
            </a:r>
            <a:r>
              <a:rPr lang="en-US" sz="1200" baseline="-25000"/>
              <a:t>3</a:t>
            </a:r>
            <a:r>
              <a:rPr lang="en-US" sz="1200"/>
              <a:t> - Y</a:t>
            </a:r>
            <a:r>
              <a:rPr lang="en-US" sz="1200" baseline="-25000"/>
              <a:t>2</a:t>
            </a:r>
            <a:r>
              <a:rPr lang="en-US" sz="1200"/>
              <a:t>O</a:t>
            </a:r>
            <a:r>
              <a:rPr lang="en-US" sz="1200" baseline="-25000"/>
              <a:t>3</a:t>
            </a:r>
            <a:r>
              <a:rPr lang="en-US" sz="1200"/>
              <a:t> mixture</a:t>
            </a:r>
          </a:p>
        </c:rich>
      </c:tx>
      <c:layout>
        <c:manualLayout>
          <c:xMode val="edge"/>
          <c:yMode val="edge"/>
          <c:x val="0.30696535814379133"/>
          <c:y val="0"/>
        </c:manualLayout>
      </c:layout>
      <c:overlay val="0"/>
      <c:spPr>
        <a:noFill/>
        <a:ln>
          <a:noFill/>
        </a:ln>
        <a:effectLst/>
      </c:spPr>
    </c:title>
    <c:autoTitleDeleted val="0"/>
    <c:plotArea>
      <c:layout>
        <c:manualLayout>
          <c:layoutTarget val="inner"/>
          <c:xMode val="edge"/>
          <c:yMode val="edge"/>
          <c:x val="0.13468741106156912"/>
          <c:y val="0.10304993252361672"/>
          <c:w val="0.80923821269329266"/>
          <c:h val="0.73822776201557794"/>
        </c:manualLayout>
      </c:layout>
      <c:scatterChart>
        <c:scatterStyle val="lineMarker"/>
        <c:varyColors val="0"/>
        <c:ser>
          <c:idx val="0"/>
          <c:order val="0"/>
          <c:tx>
            <c:strRef>
              <c:f>'Mohr-Coulomb'!$A$12</c:f>
              <c:strCache>
                <c:ptCount val="1"/>
                <c:pt idx="0">
                  <c:v>ffc</c:v>
                </c:pt>
              </c:strCache>
            </c:strRef>
          </c:tx>
          <c:spPr>
            <a:ln w="25400" cap="rnd">
              <a:noFill/>
              <a:round/>
            </a:ln>
            <a:effectLst/>
          </c:spPr>
          <c:marker>
            <c:symbol val="circle"/>
            <c:size val="5"/>
            <c:spPr>
              <a:solidFill>
                <a:schemeClr val="tx1"/>
              </a:solidFill>
              <a:ln w="9525">
                <a:solidFill>
                  <a:schemeClr val="tx1"/>
                </a:solidFill>
              </a:ln>
              <a:effectLst/>
            </c:spPr>
          </c:marker>
          <c:xVal>
            <c:numRef>
              <c:f>'Mohr-Coulomb'!$B$1:$L$1</c:f>
              <c:numCache>
                <c:formatCode>0.00</c:formatCode>
                <c:ptCount val="11"/>
                <c:pt idx="0">
                  <c:v>0</c:v>
                </c:pt>
                <c:pt idx="1">
                  <c:v>0.1</c:v>
                </c:pt>
                <c:pt idx="2">
                  <c:v>0.2</c:v>
                </c:pt>
                <c:pt idx="3">
                  <c:v>0.3</c:v>
                </c:pt>
                <c:pt idx="4">
                  <c:v>0.4</c:v>
                </c:pt>
                <c:pt idx="5">
                  <c:v>0.5</c:v>
                </c:pt>
                <c:pt idx="6">
                  <c:v>0.6</c:v>
                </c:pt>
                <c:pt idx="7">
                  <c:v>0.7</c:v>
                </c:pt>
                <c:pt idx="8">
                  <c:v>0.8</c:v>
                </c:pt>
                <c:pt idx="9">
                  <c:v>0.9</c:v>
                </c:pt>
                <c:pt idx="10">
                  <c:v>1</c:v>
                </c:pt>
              </c:numCache>
            </c:numRef>
          </c:xVal>
          <c:yVal>
            <c:numRef>
              <c:f>'Mohr-Coulomb'!$B$12:$L$12</c:f>
              <c:numCache>
                <c:formatCode>0.00</c:formatCode>
                <c:ptCount val="11"/>
                <c:pt idx="0">
                  <c:v>13.598872317846659</c:v>
                </c:pt>
                <c:pt idx="1">
                  <c:v>7.6546690857040236</c:v>
                </c:pt>
                <c:pt idx="2">
                  <c:v>6.0665274907847362</c:v>
                </c:pt>
                <c:pt idx="3">
                  <c:v>4.0019385570876977</c:v>
                </c:pt>
                <c:pt idx="4">
                  <c:v>3.1576941391341617</c:v>
                </c:pt>
                <c:pt idx="5">
                  <c:v>2.5054757312166309</c:v>
                </c:pt>
                <c:pt idx="6">
                  <c:v>2.1225525300812538</c:v>
                </c:pt>
                <c:pt idx="7">
                  <c:v>1.9004267334416864</c:v>
                </c:pt>
                <c:pt idx="8">
                  <c:v>1.8900247209782952</c:v>
                </c:pt>
                <c:pt idx="9">
                  <c:v>1.6706197244939947</c:v>
                </c:pt>
                <c:pt idx="10">
                  <c:v>1.7698933668483938</c:v>
                </c:pt>
              </c:numCache>
            </c:numRef>
          </c:yVal>
          <c:smooth val="0"/>
        </c:ser>
        <c:dLbls>
          <c:showLegendKey val="0"/>
          <c:showVal val="0"/>
          <c:showCatName val="0"/>
          <c:showSerName val="0"/>
          <c:showPercent val="0"/>
          <c:showBubbleSize val="0"/>
        </c:dLbls>
        <c:axId val="-1910520992"/>
        <c:axId val="-1910526976"/>
      </c:scatterChart>
      <c:valAx>
        <c:axId val="-1910520992"/>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mass fraction of Y</a:t>
                </a:r>
                <a:r>
                  <a:rPr lang="en-US" baseline="-25000"/>
                  <a:t>2</a:t>
                </a:r>
                <a:r>
                  <a:rPr lang="en-US"/>
                  <a:t>O</a:t>
                </a:r>
                <a:r>
                  <a:rPr lang="en-US" baseline="-25000"/>
                  <a:t>3</a:t>
                </a:r>
                <a:r>
                  <a:rPr lang="en-US"/>
                  <a:t> </a:t>
                </a:r>
              </a:p>
            </c:rich>
          </c:tx>
          <c:layout>
            <c:manualLayout>
              <c:xMode val="edge"/>
              <c:yMode val="edge"/>
              <c:x val="0.39430452549363532"/>
              <c:y val="0.90712529354883276"/>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910526976"/>
        <c:crosses val="autoZero"/>
        <c:crossBetween val="midCat"/>
      </c:valAx>
      <c:valAx>
        <c:axId val="-191052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Flow index (ffc)</a:t>
                </a:r>
              </a:p>
            </c:rich>
          </c:tx>
          <c:layout>
            <c:manualLayout>
              <c:xMode val="edge"/>
              <c:yMode val="edge"/>
              <c:x val="9.6852300242130755E-3"/>
              <c:y val="0.29962659525858865"/>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9105209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fr-FR"/>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3AD6C-4173-496D-A155-A1B4819B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2864</Characters>
  <Application>Microsoft Office Word</Application>
  <DocSecurity>0</DocSecurity>
  <Lines>23</Lines>
  <Paragraphs>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Martin Giraud</cp:lastModifiedBy>
  <cp:revision>2</cp:revision>
  <cp:lastPrinted>2015-05-12T18:31:00Z</cp:lastPrinted>
  <dcterms:created xsi:type="dcterms:W3CDTF">2019-01-15T09:55:00Z</dcterms:created>
  <dcterms:modified xsi:type="dcterms:W3CDTF">2019-01-15T09:55:00Z</dcterms:modified>
</cp:coreProperties>
</file>