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63151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Development of a new </w:t>
      </w:r>
      <w:r w:rsidR="00E614E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experimental method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to determine inherent dissolution properties of active pharmaceutical ingredients</w:t>
      </w:r>
    </w:p>
    <w:p w:rsidR="00DE0019" w:rsidRPr="009F4722" w:rsidRDefault="00887B67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8C3CF7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Dominik Sleziona</w:t>
      </w:r>
      <w:r w:rsidR="00704BDF" w:rsidRPr="008C3CF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Pr="009F472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</w:t>
      </w:r>
      <w:r w:rsidR="00736B13" w:rsidRPr="009F472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</w:t>
      </w:r>
      <w:r w:rsidR="009F4722" w:rsidRPr="008C3CF7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Amelie Ma</w:t>
      </w:r>
      <w:r w:rsidR="009268A2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t</w:t>
      </w:r>
      <w:bookmarkStart w:id="0" w:name="_GoBack"/>
      <w:bookmarkEnd w:id="0"/>
      <w:r w:rsidR="009F4722" w:rsidRPr="008C3CF7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tusch</w:t>
      </w:r>
      <w:r w:rsidR="009F4722" w:rsidRPr="008C3CF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="009F4722" w:rsidRPr="009F472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9F472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Sebastian Klosa</w:t>
      </w:r>
      <w:r w:rsidRPr="009F4722">
        <w:rPr>
          <w:rFonts w:eastAsia="SimSun"/>
          <w:color w:val="000000"/>
          <w:vertAlign w:val="superscript"/>
          <w:lang w:val="de-DE" w:eastAsia="zh-CN"/>
        </w:rPr>
        <w:t>1</w:t>
      </w:r>
      <w:r w:rsidRPr="009F4722">
        <w:rPr>
          <w:rFonts w:eastAsia="SimSun"/>
          <w:color w:val="000000"/>
          <w:lang w:val="de-DE" w:eastAsia="zh-CN"/>
        </w:rPr>
        <w:t xml:space="preserve">, </w:t>
      </w:r>
      <w:r w:rsidRPr="009F472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Gerhard Schaldach</w:t>
      </w:r>
      <w:r w:rsidRPr="009F4722">
        <w:rPr>
          <w:rFonts w:eastAsia="SimSun"/>
          <w:color w:val="000000"/>
          <w:vertAlign w:val="superscript"/>
          <w:lang w:val="de-DE" w:eastAsia="zh-CN"/>
        </w:rPr>
        <w:t>1</w:t>
      </w:r>
      <w:r w:rsidRPr="009F4722">
        <w:rPr>
          <w:rFonts w:eastAsia="SimSun"/>
          <w:color w:val="000000"/>
          <w:lang w:val="de-DE" w:eastAsia="zh-CN"/>
        </w:rPr>
        <w:t xml:space="preserve">, </w:t>
      </w:r>
      <w:r w:rsidRPr="009F472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David R. Ely</w:t>
      </w:r>
      <w:r w:rsidRPr="009F4722">
        <w:rPr>
          <w:rFonts w:eastAsia="SimSun"/>
          <w:color w:val="000000"/>
          <w:vertAlign w:val="superscript"/>
          <w:lang w:val="de-DE" w:eastAsia="zh-CN"/>
        </w:rPr>
        <w:t>2</w:t>
      </w:r>
      <w:r w:rsidRPr="009F4722">
        <w:rPr>
          <w:rFonts w:eastAsia="SimSun"/>
          <w:color w:val="000000"/>
          <w:lang w:val="de-DE" w:eastAsia="zh-CN"/>
        </w:rPr>
        <w:t xml:space="preserve">, </w:t>
      </w:r>
      <w:r w:rsidRPr="009F472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Gabriele Sadowski</w:t>
      </w:r>
      <w:r w:rsidRPr="009F472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3</w:t>
      </w:r>
      <w:r w:rsidRPr="009F4722">
        <w:rPr>
          <w:rFonts w:eastAsia="SimSun"/>
          <w:color w:val="000000"/>
          <w:lang w:val="de-DE" w:eastAsia="zh-CN"/>
        </w:rPr>
        <w:t>,</w:t>
      </w:r>
      <w:r w:rsidRPr="009F472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Markus Thommes</w:t>
      </w:r>
      <w:r w:rsidRPr="009F4722">
        <w:rPr>
          <w:rFonts w:eastAsia="SimSun"/>
          <w:color w:val="000000"/>
          <w:vertAlign w:val="superscript"/>
          <w:lang w:val="de-DE" w:eastAsia="zh-CN"/>
        </w:rPr>
        <w:t>1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8C3CF7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887B67" w:rsidRPr="00887B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TU Dortmund, Department of Biochemical and Chemical Engineering, Laboratory of Solids Process Engineering, Emil-</w:t>
      </w:r>
      <w:proofErr w:type="spellStart"/>
      <w:r w:rsidR="00887B67" w:rsidRPr="00887B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Figge</w:t>
      </w:r>
      <w:proofErr w:type="spellEnd"/>
      <w:r w:rsidR="00887B67" w:rsidRPr="00887B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-Str. 68, 44227 Dortmund, Germany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8C3CF7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="00887B67" w:rsidRPr="00887B67">
        <w:t xml:space="preserve"> </w:t>
      </w:r>
      <w:r w:rsidR="00E614E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Ivy T</w:t>
      </w:r>
      <w:r w:rsidR="00887B67" w:rsidRPr="00887B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ech Community College, 3101 S Creasy Ln, Lafayette, IN 47905, USA</w:t>
      </w:r>
      <w:r w:rsidR="00887B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</w:t>
      </w:r>
      <w:r w:rsidR="008C3C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887B67" w:rsidRPr="008C3CF7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3</w:t>
      </w:r>
      <w:r w:rsidR="00887B67" w:rsidRPr="00887B67">
        <w:t xml:space="preserve"> </w:t>
      </w:r>
      <w:r w:rsidR="00887B67" w:rsidRPr="00887B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TU Dortmund, Department of Biochemical and Chemical Engineering, Laboratory of Thermodynamics, Technical University Dortmund, Emil-</w:t>
      </w:r>
      <w:proofErr w:type="spellStart"/>
      <w:r w:rsidR="00887B67" w:rsidRPr="00887B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Figge</w:t>
      </w:r>
      <w:proofErr w:type="spellEnd"/>
      <w:r w:rsidR="00887B67" w:rsidRPr="00887B6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-Str. 70, 44227 Dortmund,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887B67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markus.thommes</w:t>
      </w:r>
      <w:r w:rsidR="00C33E99">
        <w:rPr>
          <w:rFonts w:asciiTheme="minorHAnsi" w:eastAsia="MS PGothic" w:hAnsiTheme="minorHAnsi"/>
          <w:bCs/>
          <w:i/>
          <w:iCs/>
          <w:sz w:val="20"/>
          <w:lang w:val="en-US"/>
        </w:rPr>
        <w:t>@t</w:t>
      </w:r>
      <w:r w:rsidR="00887B67">
        <w:rPr>
          <w:rFonts w:asciiTheme="minorHAnsi" w:eastAsia="MS PGothic" w:hAnsiTheme="minorHAnsi"/>
          <w:bCs/>
          <w:i/>
          <w:iCs/>
          <w:sz w:val="20"/>
          <w:lang w:val="en-US"/>
        </w:rPr>
        <w:t>u-dortmund.de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887B6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Drug rele</w:t>
      </w:r>
      <w:r w:rsidR="004C7C38">
        <w:rPr>
          <w:rFonts w:asciiTheme="minorHAnsi" w:hAnsiTheme="minorHAnsi"/>
        </w:rPr>
        <w:t>ase can be limited by diffusion or surface reaction</w:t>
      </w:r>
      <w:r w:rsidR="00E614E9">
        <w:rPr>
          <w:rFonts w:asciiTheme="minorHAnsi" w:hAnsiTheme="minorHAnsi"/>
        </w:rPr>
        <w:t xml:space="preserve"> kinetics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80583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flow channel was constructed </w:t>
      </w:r>
      <w:r w:rsidR="00295205">
        <w:rPr>
          <w:rFonts w:asciiTheme="minorHAnsi" w:hAnsiTheme="minorHAnsi"/>
        </w:rPr>
        <w:t>to ensure</w:t>
      </w:r>
      <w:r>
        <w:rPr>
          <w:rFonts w:asciiTheme="minorHAnsi" w:hAnsiTheme="minorHAnsi"/>
        </w:rPr>
        <w:t xml:space="preserve"> well-defined </w:t>
      </w:r>
      <w:r w:rsidR="00295205">
        <w:rPr>
          <w:rFonts w:asciiTheme="minorHAnsi" w:hAnsiTheme="minorHAnsi"/>
        </w:rPr>
        <w:t xml:space="preserve">fluid </w:t>
      </w:r>
      <w:r>
        <w:rPr>
          <w:rFonts w:asciiTheme="minorHAnsi" w:hAnsiTheme="minorHAnsi"/>
        </w:rPr>
        <w:t>conditions</w:t>
      </w:r>
      <w:r w:rsidR="00F925FF">
        <w:rPr>
          <w:rFonts w:asciiTheme="minorHAnsi" w:hAnsiTheme="minorHAnsi"/>
        </w:rPr>
        <w:t>.</w:t>
      </w:r>
    </w:p>
    <w:p w:rsidR="00704BDF" w:rsidRPr="00EC66CC" w:rsidRDefault="0029520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Intrinsic material data were derived by analyzing four different drugs.</w:t>
      </w:r>
    </w:p>
    <w:p w:rsidR="00704BDF" w:rsidRPr="00EC66CC" w:rsidRDefault="0029520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8C3CF7">
        <w:rPr>
          <w:rFonts w:asciiTheme="minorHAnsi" w:hAnsiTheme="minorHAnsi"/>
        </w:rPr>
        <w:t>model</w:t>
      </w:r>
      <w:r>
        <w:rPr>
          <w:rFonts w:asciiTheme="minorHAnsi" w:hAnsiTheme="minorHAnsi"/>
        </w:rPr>
        <w:t xml:space="preserve"> </w:t>
      </w:r>
      <w:r w:rsidR="00F925FF">
        <w:rPr>
          <w:rFonts w:asciiTheme="minorHAnsi" w:hAnsiTheme="minorHAnsi"/>
        </w:rPr>
        <w:t xml:space="preserve">that accounts for </w:t>
      </w:r>
      <w:r>
        <w:rPr>
          <w:rFonts w:asciiTheme="minorHAnsi" w:hAnsiTheme="minorHAnsi"/>
        </w:rPr>
        <w:t xml:space="preserve">diffusion- and surface reaction </w:t>
      </w:r>
      <w:r w:rsidR="00E614E9">
        <w:rPr>
          <w:rFonts w:asciiTheme="minorHAnsi" w:hAnsiTheme="minorHAnsi"/>
        </w:rPr>
        <w:t xml:space="preserve">limited </w:t>
      </w:r>
      <w:r>
        <w:rPr>
          <w:rFonts w:asciiTheme="minorHAnsi" w:hAnsiTheme="minorHAnsi"/>
        </w:rPr>
        <w:t>drug release</w:t>
      </w:r>
      <w:r w:rsidR="00E614E9">
        <w:rPr>
          <w:rFonts w:asciiTheme="minorHAnsi" w:hAnsiTheme="minorHAnsi"/>
        </w:rPr>
        <w:t xml:space="preserve"> was developed</w:t>
      </w:r>
      <w:r w:rsidR="00704BDF" w:rsidRPr="00EC66CC">
        <w:rPr>
          <w:rFonts w:asciiTheme="minorHAnsi" w:hAnsiTheme="minorHAnsi"/>
        </w:rPr>
        <w:t>.</w:t>
      </w:r>
    </w:p>
    <w:p w:rsidR="00704BDF" w:rsidRPr="001E32BD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95205" w:rsidRDefault="002F29C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dissolution behavior is a crucial factor in novel drug substance formulation. The two main </w:t>
      </w:r>
      <w:r w:rsidR="00E614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factors limiting the dissolution kinetics of active pharmaceutical ingredients are diffusion </w:t>
      </w:r>
      <w:r w:rsidR="00B24FA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B24FA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&lt;EndNote&gt;&lt;Cite&gt;&lt;Author&gt;Fick&lt;/Author&gt;&lt;Year&gt;1855&lt;/Year&gt;&lt;RecNum&gt;95&lt;/RecNum&gt;&lt;DisplayText&gt;(Fick, 1855)&lt;/DisplayText&gt;&lt;record&gt;&lt;rec-number&gt;95&lt;/rec-number&gt;&lt;foreign-keys&gt;&lt;key app="EN" db-id="wd2sftxezs9xasefdpsx255wxwaevp25p00a" timestamp="1489143653"&gt;95&lt;/key&gt;&lt;/foreign-keys&gt;&lt;ref-type name="Journal Article"&gt;17&lt;/ref-type&gt;&lt;contributors&gt;&lt;authors&gt;&lt;author&gt;Fick, Adolf&lt;/author&gt;&lt;/authors&gt;&lt;/contributors&gt;&lt;titles&gt;&lt;title&gt;Ueber Diffusion&lt;/title&gt;&lt;secondary-title&gt;Annalen der Physik&lt;/secondary-title&gt;&lt;/titles&gt;&lt;periodical&gt;&lt;full-title&gt;Annalen der Physik&lt;/full-title&gt;&lt;/periodical&gt;&lt;pages&gt;59-86&lt;/pages&gt;&lt;volume&gt;170&lt;/volume&gt;&lt;number&gt;1&lt;/number&gt;&lt;dates&gt;&lt;year&gt;1855&lt;/year&gt;&lt;/dates&gt;&lt;publisher&gt;WILEY-VCH Verlag&lt;/publisher&gt;&lt;isbn&gt;1521-3889&lt;/isbn&gt;&lt;urls&gt;&lt;related-urls&gt;&lt;url&gt;http://dx.doi.org/10.1002/andp.18551700105&lt;/url&gt;&lt;/related-urls&gt;&lt;/urls&gt;&lt;electronic-resource-num&gt;10.1002/andp.18551700105&lt;/electronic-resource-num&gt;&lt;/record&gt;&lt;/Cite&gt;&lt;/EndNote&gt;</w:instrText>
      </w:r>
      <w:r w:rsidR="00B24FA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B24FA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(Fick, 1855)</w:t>
      </w:r>
      <w:r w:rsidR="00B24FA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surface reaction</w:t>
      </w:r>
      <w:r w:rsidR="00B24F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01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kinetics </w:t>
      </w:r>
      <w:r w:rsidR="00B24FA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B24FA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&lt;EndNote&gt;&lt;Cite&gt;&lt;Author&gt;Paus&lt;/Author&gt;&lt;Year&gt;2015&lt;/Year&gt;&lt;RecNum&gt;235&lt;/RecNum&gt;&lt;DisplayText&gt;(Paus et al., 2015)&lt;/DisplayText&gt;&lt;record&gt;&lt;rec-number&gt;235&lt;/rec-number&gt;&lt;foreign-keys&gt;&lt;key app="EN" db-id="wd2sftxezs9xasefdpsx255wxwaevp25p00a" timestamp="1546849450"&gt;235&lt;/key&gt;&lt;/foreign-keys&gt;&lt;ref-type name="Journal Article"&gt;17&lt;/ref-type&gt;&lt;contributors&gt;&lt;authors&gt;&lt;author&gt;Paus, Raphael&lt;/author&gt;&lt;author&gt;Ji, Yuanhui&lt;/author&gt;&lt;author&gt;Braak, Florian&lt;/author&gt;&lt;author&gt;Sadowski, Gabriele&lt;/author&gt;&lt;/authors&gt;&lt;/contributors&gt;&lt;titles&gt;&lt;title&gt;Dissolution of crystalline pharmaceuticals: experimental investigation and thermodynamic modeling&lt;/title&gt;&lt;secondary-title&gt;Industrial &amp;amp; Engineering Chemistry Research&lt;/secondary-title&gt;&lt;/titles&gt;&lt;periodical&gt;&lt;full-title&gt;Industrial &amp;amp; engineering chemistry research&lt;/full-title&gt;&lt;/periodical&gt;&lt;pages&gt;731-742&lt;/pages&gt;&lt;volume&gt;54&lt;/volume&gt;&lt;number&gt;2&lt;/number&gt;&lt;dates&gt;&lt;year&gt;2015&lt;/year&gt;&lt;/dates&gt;&lt;isbn&gt;0888-5885&lt;/isbn&gt;&lt;urls&gt;&lt;/urls&gt;&lt;/record&gt;&lt;/Cite&gt;&lt;/EndNote&gt;</w:instrText>
      </w:r>
      <w:r w:rsidR="00B24FA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B24FA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(Paus et al., 2015)</w:t>
      </w:r>
      <w:r w:rsidR="00B24FA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D7017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D70170" w:rsidRDefault="008C3CF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2F29C9">
        <w:rPr>
          <w:rFonts w:asciiTheme="minorHAnsi" w:eastAsia="MS PGothic" w:hAnsiTheme="minorHAnsi"/>
          <w:color w:val="000000"/>
          <w:sz w:val="22"/>
          <w:szCs w:val="22"/>
          <w:lang w:val="en-US"/>
        </w:rPr>
        <w:t>issolution experiments</w:t>
      </w:r>
      <w:r w:rsidR="00D701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</w:t>
      </w:r>
      <w:r w:rsidR="004C7C38" w:rsidRPr="004C7C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intrinsic dissolution test </w:t>
      </w:r>
      <w:r w:rsidR="00D701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described </w:t>
      </w:r>
      <w:r w:rsidR="004C7C38" w:rsidRPr="004C7C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pharmacopeia </w:t>
      </w:r>
      <w:r w:rsidR="004C7C3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4C7C3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&lt;EndNote&gt;&lt;Cite&gt;&lt;Author&gt;European Pharmacopoeia Commission&lt;/Author&gt;&lt;Year&gt;2017&lt;/Year&gt;&lt;RecNum&gt;207&lt;/RecNum&gt;&lt;DisplayText&gt;(European Pharmacopoeia Commission, 2017)&lt;/DisplayText&gt;&lt;record&gt;&lt;rec-number&gt;207&lt;/rec-number&gt;&lt;foreign-keys&gt;&lt;key app="EN" db-id="wd2sftxezs9xasefdpsx255wxwaevp25p00a" timestamp="1542892074"&gt;207&lt;/key&gt;&lt;/foreign-keys&gt;&lt;ref-type name="Book"&gt;6&lt;/ref-type&gt;&lt;contributors&gt;&lt;authors&gt;&lt;author&gt;European Pharmacopoeia Commission,&lt;/author&gt;&lt;/authors&gt;&lt;tertiary-authors&gt;&lt;author&gt;European Directorate for the Quality of Medicines&lt;/author&gt;&lt;author&gt;Healthcare&lt;/author&gt;&lt;/tertiary-authors&gt;&lt;/contributors&gt;&lt;titles&gt;&lt;title&gt;European pharmacopoeia&lt;/title&gt;&lt;/titles&gt;&lt;volume&gt;9.0&lt;/volume&gt;&lt;dates&gt;&lt;year&gt;2017&lt;/year&gt;&lt;/dates&gt;&lt;publisher&gt;Council of Europe&lt;/publisher&gt;&lt;isbn&gt;9287167001&lt;/isbn&gt;&lt;urls&gt;&lt;/urls&gt;&lt;/record&gt;&lt;/Cite&gt;&lt;/EndNote&gt;</w:instrText>
      </w:r>
      <w:r w:rsidR="004C7C3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4C7C3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(European Pharmacopoeia Commission, 2017)</w:t>
      </w:r>
      <w:r w:rsidR="004C7C3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4C7C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C7C38" w:rsidRPr="004C7C38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perf</w:t>
      </w:r>
      <w:r w:rsidR="002F29C9">
        <w:rPr>
          <w:rFonts w:asciiTheme="minorHAnsi" w:eastAsia="MS PGothic" w:hAnsiTheme="minorHAnsi"/>
          <w:color w:val="000000"/>
          <w:sz w:val="22"/>
          <w:szCs w:val="22"/>
          <w:lang w:val="en-US"/>
        </w:rPr>
        <w:t>ormed for many years. T</w:t>
      </w:r>
      <w:r w:rsidR="004C7C38" w:rsidRPr="004C7C38">
        <w:rPr>
          <w:rFonts w:asciiTheme="minorHAnsi" w:eastAsia="MS PGothic" w:hAnsiTheme="minorHAnsi"/>
          <w:color w:val="000000"/>
          <w:sz w:val="22"/>
          <w:szCs w:val="22"/>
          <w:lang w:val="en-US"/>
        </w:rPr>
        <w:t>o overcome the disadvantages of the intrinsic dissolution test</w:t>
      </w:r>
      <w:r w:rsidR="00D7017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C7C38" w:rsidRPr="004C7C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</w:t>
      </w:r>
      <w:r w:rsidR="003F0AF4" w:rsidRPr="003F0A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 channel was constructed </w:t>
      </w:r>
      <w:r w:rsidR="003F0A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evaluated </w:t>
      </w:r>
      <w:r w:rsidR="003F0AF4" w:rsidRPr="003F0A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ensure </w:t>
      </w:r>
      <w:r w:rsidR="003F0AF4" w:rsidRPr="004C7C38">
        <w:rPr>
          <w:rFonts w:asciiTheme="minorHAnsi" w:eastAsia="MS PGothic" w:hAnsiTheme="minorHAnsi"/>
          <w:color w:val="000000"/>
          <w:sz w:val="22"/>
          <w:szCs w:val="22"/>
          <w:lang w:val="en-US"/>
        </w:rPr>
        <w:t>well defined flow conditions</w:t>
      </w:r>
      <w:r w:rsidR="003F0A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70170" w:rsidRPr="00D7017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mass transfer rates from a flat, solid surface into the solvent flowing over the solid surface within the flow channel were used to derive a mathematical model that distinguishes between diffusion limited and surface reaction limited drug release.</w:t>
      </w:r>
    </w:p>
    <w:p w:rsidR="00704BDF" w:rsidRDefault="00CC13C7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iscussion</w:t>
      </w:r>
    </w:p>
    <w:p w:rsidR="00796157" w:rsidRDefault="00CC13C7" w:rsidP="00F20A0F">
      <w:pPr>
        <w:snapToGrid w:val="0"/>
        <w:spacing w:after="120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 xml:space="preserve">A rectangular flow channel was designed </w:t>
      </w:r>
      <w:r>
        <w:rPr>
          <w:rFonts w:asciiTheme="minorHAnsi" w:hAnsiTheme="minorHAnsi" w:cs="Arial"/>
          <w:sz w:val="22"/>
          <w:szCs w:val="22"/>
          <w:lang w:val="en-US"/>
        </w:rPr>
        <w:fldChar w:fldCharType="begin"/>
      </w:r>
      <w:r>
        <w:rPr>
          <w:rFonts w:asciiTheme="minorHAnsi" w:hAnsiTheme="minorHAnsi" w:cs="Arial"/>
          <w:sz w:val="22"/>
          <w:szCs w:val="22"/>
          <w:lang w:val="en-US"/>
        </w:rPr>
        <w:instrText xml:space="preserve"> ADDIN EN.CITE &lt;EndNote&gt;&lt;Cite&gt;&lt;Author&gt;Shah&lt;/Author&gt;&lt;Year&gt;1975&lt;/Year&gt;&lt;RecNum&gt;232&lt;/RecNum&gt;&lt;DisplayText&gt;(Shah and Nelson, 1975)&lt;/DisplayText&gt;&lt;record&gt;&lt;rec-number&gt;232&lt;/rec-number&gt;&lt;foreign-keys&gt;&lt;key app="EN" db-id="wd2sftxezs9xasefdpsx255wxwaevp25p00a" timestamp="1545045936"&gt;232&lt;/key&gt;&lt;/foreign-keys&gt;&lt;ref-type name="Journal Article"&gt;17&lt;/ref-type&gt;&lt;contributors&gt;&lt;authors&gt;&lt;author&gt;Shah, Ashok C.&lt;/author&gt;&lt;author&gt;Nelson, Kenneth G.&lt;/author&gt;&lt;/authors&gt;&lt;/contributors&gt;&lt;titles&gt;&lt;title&gt;Evaluation of a convective diffusion drug dissolution rate model&lt;/title&gt;&lt;secondary-title&gt;Journal of Pharmaceutical Sciences&lt;/secondary-title&gt;&lt;/titles&gt;&lt;periodical&gt;&lt;full-title&gt;Journal of Pharmaceutical Sciences&lt;/full-title&gt;&lt;/periodical&gt;&lt;pages&gt;1518-1520&lt;/pages&gt;&lt;volume&gt;64&lt;/volume&gt;&lt;number&gt;9&lt;/number&gt;&lt;dates&gt;&lt;year&gt;1975&lt;/year&gt;&lt;/dates&gt;&lt;urls&gt;&lt;related-urls&gt;&lt;url&gt;https://onlinelibrary.wiley.com/doi/abs/10.1002/jps.2600640920&lt;/url&gt;&lt;/related-urls&gt;&lt;/urls&gt;&lt;electronic-resource-num&gt;doi:10.1002/jps.2600640920&lt;/electronic-resource-num&gt;&lt;/record&gt;&lt;/Cite&gt;&lt;/EndNote&gt;</w:instrText>
      </w:r>
      <w:r>
        <w:rPr>
          <w:rFonts w:asciiTheme="minorHAnsi" w:hAnsiTheme="minorHAnsi" w:cs="Arial"/>
          <w:sz w:val="22"/>
          <w:szCs w:val="22"/>
          <w:lang w:val="en-US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  <w:lang w:val="en-US"/>
        </w:rPr>
        <w:t>(Shah and Nelson, 1975)</w:t>
      </w:r>
      <w:r>
        <w:rPr>
          <w:rFonts w:asciiTheme="minorHAnsi" w:hAnsiTheme="minorHAnsi" w:cs="Arial"/>
          <w:sz w:val="22"/>
          <w:szCs w:val="22"/>
          <w:lang w:val="en-US"/>
        </w:rPr>
        <w:fldChar w:fldCharType="end"/>
      </w:r>
      <w:r w:rsidR="00D70170">
        <w:rPr>
          <w:rFonts w:asciiTheme="minorHAnsi" w:hAnsiTheme="minorHAnsi" w:cs="Arial"/>
          <w:sz w:val="22"/>
          <w:szCs w:val="22"/>
          <w:lang w:val="en-US"/>
        </w:rPr>
        <w:t xml:space="preserve"> (F</w:t>
      </w:r>
      <w:r>
        <w:rPr>
          <w:rFonts w:asciiTheme="minorHAnsi" w:hAnsiTheme="minorHAnsi" w:cs="Arial"/>
          <w:sz w:val="22"/>
          <w:szCs w:val="22"/>
          <w:lang w:val="en-US"/>
        </w:rPr>
        <w:t>igure</w:t>
      </w:r>
      <w:r w:rsidR="00D70170">
        <w:rPr>
          <w:rFonts w:asciiTheme="minorHAnsi" w:hAnsiTheme="minorHAnsi" w:cs="Arial"/>
          <w:sz w:val="22"/>
          <w:szCs w:val="22"/>
          <w:lang w:val="en-US"/>
        </w:rPr>
        <w:t xml:space="preserve"> 1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, left) </w:t>
      </w:r>
      <w:r w:rsidR="00D70170">
        <w:rPr>
          <w:rFonts w:asciiTheme="minorHAnsi" w:hAnsiTheme="minorHAnsi" w:cs="Arial"/>
          <w:sz w:val="22"/>
          <w:szCs w:val="22"/>
          <w:lang w:val="en-US"/>
        </w:rPr>
        <w:t xml:space="preserve">based on 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fluid dynamics </w:t>
      </w:r>
      <w:r w:rsidR="00D70170">
        <w:rPr>
          <w:rFonts w:asciiTheme="minorHAnsi" w:hAnsiTheme="minorHAnsi" w:cs="Arial"/>
          <w:sz w:val="22"/>
          <w:szCs w:val="22"/>
          <w:lang w:val="en-US"/>
        </w:rPr>
        <w:t xml:space="preserve">calculations </w:t>
      </w:r>
      <w:r>
        <w:rPr>
          <w:rFonts w:asciiTheme="minorHAnsi" w:hAnsiTheme="minorHAnsi" w:cs="Arial"/>
          <w:sz w:val="22"/>
          <w:szCs w:val="22"/>
          <w:lang w:val="en-US"/>
        </w:rPr>
        <w:t>(</w:t>
      </w: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Ansys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 xml:space="preserve"> CFX</w:t>
      </w:r>
      <w:r w:rsidRPr="00F20A0F">
        <w:rPr>
          <w:rFonts w:ascii="Mathcad UniMath Prime" w:hAnsi="Mathcad UniMath Prime" w:cs="Arial"/>
          <w:sz w:val="22"/>
          <w:szCs w:val="22"/>
          <w:vertAlign w:val="superscript"/>
          <w:lang w:val="en-US"/>
        </w:rPr>
        <w:t>®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19.1, </w:t>
      </w: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Ansys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 xml:space="preserve"> Inc., Canonsburg, USA). A rectangular surface </w:t>
      </w:r>
      <w:r w:rsidR="00D70170">
        <w:rPr>
          <w:rFonts w:asciiTheme="minorHAnsi" w:hAnsiTheme="minorHAnsi" w:cs="Arial"/>
          <w:sz w:val="22"/>
          <w:szCs w:val="22"/>
          <w:lang w:val="en-US"/>
        </w:rPr>
        <w:t xml:space="preserve">with a 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width to </w:t>
      </w:r>
      <w:r w:rsidR="00671F3F">
        <w:rPr>
          <w:rFonts w:asciiTheme="minorHAnsi" w:hAnsiTheme="minorHAnsi" w:cs="Arial"/>
          <w:sz w:val="22"/>
          <w:szCs w:val="22"/>
          <w:lang w:val="en-US"/>
        </w:rPr>
        <w:t>height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ratio of 5 </w:t>
      </w:r>
      <w:r w:rsidR="00D70170">
        <w:rPr>
          <w:rFonts w:asciiTheme="minorHAnsi" w:hAnsiTheme="minorHAnsi" w:cs="Arial"/>
          <w:sz w:val="22"/>
          <w:szCs w:val="22"/>
          <w:lang w:val="en-US"/>
        </w:rPr>
        <w:t>was chosen</w:t>
      </w:r>
      <w:r w:rsidR="008804E8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fldChar w:fldCharType="begin"/>
      </w:r>
      <w:r>
        <w:rPr>
          <w:rFonts w:asciiTheme="minorHAnsi" w:hAnsiTheme="minorHAnsi" w:cs="Arial"/>
          <w:sz w:val="22"/>
          <w:szCs w:val="22"/>
          <w:lang w:val="en-US"/>
        </w:rPr>
        <w:instrText xml:space="preserve"> ADDIN EN.CITE &lt;EndNote&gt;&lt;Cite&gt;&lt;Author&gt;Ward-Smith&lt;/Author&gt;&lt;Year&gt;1980&lt;/Year&gt;&lt;RecNum&gt;154&lt;/RecNum&gt;&lt;DisplayText&gt;(Ward-Smith, 1980)&lt;/DisplayText&gt;&lt;record&gt;&lt;rec-number&gt;154&lt;/rec-number&gt;&lt;foreign-keys&gt;&lt;key app="EN" db-id="wd2sftxezs9xasefdpsx255wxwaevp25p00a" timestamp="1535976038"&gt;154&lt;/key&gt;&lt;/foreign-keys&gt;&lt;ref-type name="Journal Article"&gt;17&lt;/ref-type&gt;&lt;contributors&gt;&lt;authors&gt;&lt;author&gt;Ward-Smith, Alfred John&lt;/author&gt;&lt;/authors&gt;&lt;/contributors&gt;&lt;titles&gt;&lt;title&gt;Internal Fluid Flow-The fluid dynamics of flow in pipes and ducts&lt;/title&gt;&lt;secondary-title&gt;Nasa Sti/recon Technical Report A&lt;/secondary-title&gt;&lt;/titles&gt;&lt;periodical&gt;&lt;full-title&gt;Nasa Sti/recon Technical Report A&lt;/full-title&gt;&lt;/periodical&gt;&lt;volume&gt;81&lt;/volume&gt;&lt;dates&gt;&lt;year&gt;1980&lt;/year&gt;&lt;/dates&gt;&lt;urls&gt;&lt;/urls&gt;&lt;/record&gt;&lt;/Cite&gt;&lt;/EndNote&gt;</w:instrText>
      </w:r>
      <w:r>
        <w:rPr>
          <w:rFonts w:asciiTheme="minorHAnsi" w:hAnsiTheme="minorHAnsi" w:cs="Arial"/>
          <w:sz w:val="22"/>
          <w:szCs w:val="22"/>
          <w:lang w:val="en-US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  <w:lang w:val="en-US"/>
        </w:rPr>
        <w:t>(Ward-Smith, 1980)</w:t>
      </w:r>
      <w:r>
        <w:rPr>
          <w:rFonts w:asciiTheme="minorHAnsi" w:hAnsiTheme="minorHAnsi" w:cs="Arial"/>
          <w:sz w:val="22"/>
          <w:szCs w:val="22"/>
          <w:lang w:val="en-US"/>
        </w:rPr>
        <w:fldChar w:fldCharType="end"/>
      </w:r>
      <w:r>
        <w:rPr>
          <w:rFonts w:asciiTheme="minorHAnsi" w:hAnsiTheme="minorHAnsi" w:cs="Arial"/>
          <w:sz w:val="22"/>
          <w:szCs w:val="22"/>
          <w:lang w:val="en-US"/>
        </w:rPr>
        <w:t>. The characteristi</w:t>
      </w:r>
      <w:r w:rsidR="00A93771">
        <w:rPr>
          <w:rFonts w:asciiTheme="minorHAnsi" w:hAnsiTheme="minorHAnsi" w:cs="Arial"/>
          <w:sz w:val="22"/>
          <w:szCs w:val="22"/>
          <w:lang w:val="en-US"/>
        </w:rPr>
        <w:t>c velocities for a flow of Re 250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are color </w:t>
      </w: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coaded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="00671F3F">
        <w:rPr>
          <w:rFonts w:asciiTheme="minorHAnsi" w:hAnsiTheme="minorHAnsi" w:cs="Arial"/>
          <w:sz w:val="22"/>
          <w:szCs w:val="22"/>
          <w:lang w:val="en-US"/>
        </w:rPr>
        <w:t xml:space="preserve">The powder sample was compress into a die resulting in a </w:t>
      </w:r>
      <w:r w:rsidR="004434BF">
        <w:rPr>
          <w:rFonts w:asciiTheme="minorHAnsi" w:hAnsiTheme="minorHAnsi" w:cs="Arial"/>
          <w:sz w:val="22"/>
          <w:szCs w:val="22"/>
          <w:lang w:val="en-US"/>
        </w:rPr>
        <w:t>well-defined</w:t>
      </w:r>
      <w:r w:rsidR="00671F3F">
        <w:rPr>
          <w:rFonts w:asciiTheme="minorHAnsi" w:hAnsiTheme="minorHAnsi" w:cs="Arial"/>
          <w:sz w:val="22"/>
          <w:szCs w:val="22"/>
          <w:lang w:val="en-US"/>
        </w:rPr>
        <w:t xml:space="preserve"> sample surface. The sample concentration in the dissolution media was measured by UV spectroscopy.</w:t>
      </w:r>
      <w:r w:rsidR="002D1EB4">
        <w:rPr>
          <w:rFonts w:asciiTheme="minorHAnsi" w:hAnsiTheme="minorHAnsi" w:cs="Arial"/>
          <w:sz w:val="22"/>
          <w:szCs w:val="22"/>
          <w:lang w:val="en-US"/>
        </w:rPr>
        <w:t xml:space="preserve"> The right-hand image in Figure 1 shows </w:t>
      </w:r>
      <w:r w:rsidR="004434BF">
        <w:rPr>
          <w:rFonts w:asciiTheme="minorHAnsi" w:hAnsiTheme="minorHAnsi" w:cs="Arial"/>
          <w:sz w:val="22"/>
          <w:szCs w:val="22"/>
          <w:lang w:val="en-US"/>
        </w:rPr>
        <w:t xml:space="preserve">the </w:t>
      </w:r>
      <w:r w:rsidR="00F925FF">
        <w:rPr>
          <w:rFonts w:asciiTheme="minorHAnsi" w:hAnsiTheme="minorHAnsi" w:cs="Arial"/>
          <w:sz w:val="22"/>
          <w:szCs w:val="22"/>
          <w:lang w:val="en-US"/>
        </w:rPr>
        <w:t>weight</w:t>
      </w:r>
      <w:r w:rsidR="002D1EB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4434BF">
        <w:rPr>
          <w:rFonts w:asciiTheme="minorHAnsi" w:hAnsiTheme="minorHAnsi" w:cs="Arial"/>
          <w:sz w:val="22"/>
          <w:szCs w:val="22"/>
          <w:lang w:val="en-US"/>
        </w:rPr>
        <w:t>flux from</w:t>
      </w:r>
      <w:r w:rsidR="00C96868">
        <w:rPr>
          <w:rFonts w:asciiTheme="minorHAnsi" w:hAnsiTheme="minorHAnsi" w:cs="Arial"/>
          <w:sz w:val="22"/>
          <w:szCs w:val="22"/>
          <w:lang w:val="en-US"/>
        </w:rPr>
        <w:t xml:space="preserve"> the sample as function of the Reynolds number. For particularly low Reynolds numbers</w:t>
      </w:r>
      <w:r w:rsidR="002D1EB4">
        <w:rPr>
          <w:rFonts w:asciiTheme="minorHAnsi" w:hAnsiTheme="minorHAnsi" w:cs="Arial"/>
          <w:sz w:val="22"/>
          <w:szCs w:val="22"/>
          <w:lang w:val="en-US"/>
        </w:rPr>
        <w:t>,</w:t>
      </w:r>
      <w:r w:rsidR="00C96868">
        <w:rPr>
          <w:rFonts w:asciiTheme="minorHAnsi" w:hAnsiTheme="minorHAnsi" w:cs="Arial"/>
          <w:sz w:val="22"/>
          <w:szCs w:val="22"/>
          <w:lang w:val="en-US"/>
        </w:rPr>
        <w:t xml:space="preserve"> the </w:t>
      </w:r>
      <w:r w:rsidR="001A5D44">
        <w:rPr>
          <w:rFonts w:asciiTheme="minorHAnsi" w:hAnsiTheme="minorHAnsi" w:cs="Arial"/>
          <w:sz w:val="22"/>
          <w:szCs w:val="22"/>
          <w:lang w:val="en-US"/>
        </w:rPr>
        <w:t xml:space="preserve">weight </w:t>
      </w:r>
      <w:r w:rsidR="002D1EB4">
        <w:rPr>
          <w:rFonts w:asciiTheme="minorHAnsi" w:hAnsiTheme="minorHAnsi" w:cs="Arial"/>
          <w:sz w:val="22"/>
          <w:szCs w:val="22"/>
          <w:lang w:val="en-US"/>
        </w:rPr>
        <w:t>f</w:t>
      </w:r>
      <w:r w:rsidR="001A5D44">
        <w:rPr>
          <w:rFonts w:asciiTheme="minorHAnsi" w:hAnsiTheme="minorHAnsi" w:cs="Arial"/>
          <w:sz w:val="22"/>
          <w:szCs w:val="22"/>
          <w:lang w:val="en-US"/>
        </w:rPr>
        <w:t>lux is limited</w:t>
      </w:r>
      <w:r w:rsidR="00C96868">
        <w:rPr>
          <w:rFonts w:asciiTheme="minorHAnsi" w:hAnsiTheme="minorHAnsi" w:cs="Arial"/>
          <w:sz w:val="22"/>
          <w:szCs w:val="22"/>
          <w:lang w:val="en-US"/>
        </w:rPr>
        <w:t xml:space="preserve"> by diffusion (intercept with the ordinate (Re=0)</w:t>
      </w:r>
      <w:r w:rsidR="0065220F">
        <w:rPr>
          <w:rFonts w:asciiTheme="minorHAnsi" w:hAnsiTheme="minorHAnsi" w:cs="Arial"/>
          <w:sz w:val="22"/>
          <w:szCs w:val="22"/>
          <w:lang w:val="en-US"/>
        </w:rPr>
        <w:t xml:space="preserve">; </w:t>
      </w:r>
      <w:proofErr w:type="spellStart"/>
      <w:r w:rsidR="0065220F">
        <w:rPr>
          <w:rFonts w:asciiTheme="minorHAnsi" w:hAnsiTheme="minorHAnsi" w:cs="Arial"/>
          <w:sz w:val="22"/>
          <w:szCs w:val="22"/>
          <w:lang w:val="en-US"/>
        </w:rPr>
        <w:t>J</w:t>
      </w:r>
      <w:r w:rsidR="0065220F">
        <w:rPr>
          <w:rFonts w:asciiTheme="minorHAnsi" w:hAnsiTheme="minorHAnsi" w:cs="Arial"/>
          <w:sz w:val="22"/>
          <w:szCs w:val="22"/>
          <w:vertAlign w:val="superscript"/>
          <w:lang w:val="en-US"/>
        </w:rPr>
        <w:t>w</w:t>
      </w:r>
      <w:r w:rsidR="0065220F">
        <w:rPr>
          <w:rFonts w:asciiTheme="minorHAnsi" w:hAnsiTheme="minorHAnsi" w:cs="Arial"/>
          <w:sz w:val="22"/>
          <w:szCs w:val="22"/>
          <w:vertAlign w:val="subscript"/>
          <w:lang w:val="en-US"/>
        </w:rPr>
        <w:t>D</w:t>
      </w:r>
      <w:proofErr w:type="spellEnd"/>
      <w:r w:rsidR="00682101">
        <w:rPr>
          <w:rFonts w:asciiTheme="minorHAnsi" w:hAnsiTheme="minorHAnsi" w:cs="Arial"/>
          <w:sz w:val="22"/>
          <w:szCs w:val="22"/>
          <w:lang w:val="en-US"/>
        </w:rPr>
        <w:t>)</w:t>
      </w:r>
      <w:r w:rsidR="00C96868">
        <w:rPr>
          <w:rFonts w:asciiTheme="minorHAnsi" w:hAnsiTheme="minorHAnsi" w:cs="Arial"/>
          <w:sz w:val="22"/>
          <w:szCs w:val="22"/>
          <w:lang w:val="en-US"/>
        </w:rPr>
        <w:t>. For high Reynolds numbers</w:t>
      </w:r>
      <w:r w:rsidR="00AB60D6">
        <w:rPr>
          <w:rFonts w:asciiTheme="minorHAnsi" w:hAnsiTheme="minorHAnsi" w:cs="Arial"/>
          <w:sz w:val="22"/>
          <w:szCs w:val="22"/>
          <w:lang w:val="en-US"/>
        </w:rPr>
        <w:t xml:space="preserve"> (Re &gt; 150</w:t>
      </w:r>
      <w:r w:rsidR="002D1EB4">
        <w:rPr>
          <w:rFonts w:asciiTheme="minorHAnsi" w:hAnsiTheme="minorHAnsi" w:cs="Arial"/>
          <w:sz w:val="22"/>
          <w:szCs w:val="22"/>
          <w:lang w:val="en-US"/>
        </w:rPr>
        <w:t>)</w:t>
      </w:r>
      <w:r w:rsidR="00C96868">
        <w:rPr>
          <w:rFonts w:asciiTheme="minorHAnsi" w:hAnsiTheme="minorHAnsi" w:cs="Arial"/>
          <w:sz w:val="22"/>
          <w:szCs w:val="22"/>
          <w:lang w:val="en-US"/>
        </w:rPr>
        <w:t xml:space="preserve"> the </w:t>
      </w:r>
      <w:r w:rsidR="00F925FF">
        <w:rPr>
          <w:rFonts w:asciiTheme="minorHAnsi" w:hAnsiTheme="minorHAnsi" w:cs="Arial"/>
          <w:sz w:val="22"/>
          <w:szCs w:val="22"/>
          <w:lang w:val="en-US"/>
        </w:rPr>
        <w:lastRenderedPageBreak/>
        <w:t>weight</w:t>
      </w:r>
      <w:r w:rsidR="002D1EB4">
        <w:rPr>
          <w:rFonts w:asciiTheme="minorHAnsi" w:hAnsiTheme="minorHAnsi" w:cs="Arial"/>
          <w:sz w:val="22"/>
          <w:szCs w:val="22"/>
          <w:lang w:val="en-US"/>
        </w:rPr>
        <w:t xml:space="preserve"> flux begins to level out indicating it is limited by the surface reaction</w:t>
      </w:r>
      <w:r w:rsidR="00C96868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="00DE3327">
        <w:rPr>
          <w:rFonts w:asciiTheme="minorHAnsi" w:hAnsiTheme="minorHAnsi" w:cs="Arial"/>
          <w:sz w:val="22"/>
          <w:szCs w:val="22"/>
          <w:lang w:val="en-US"/>
        </w:rPr>
        <w:t xml:space="preserve">Between those stages the </w:t>
      </w:r>
      <w:r w:rsidR="00F925FF">
        <w:rPr>
          <w:rFonts w:asciiTheme="minorHAnsi" w:hAnsiTheme="minorHAnsi" w:cs="Arial"/>
          <w:sz w:val="22"/>
          <w:szCs w:val="22"/>
          <w:lang w:val="en-US"/>
        </w:rPr>
        <w:t>weight</w:t>
      </w:r>
      <w:r w:rsidR="002D1EB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C96868">
        <w:rPr>
          <w:rFonts w:asciiTheme="minorHAnsi" w:hAnsiTheme="minorHAnsi" w:cs="Arial"/>
          <w:sz w:val="22"/>
          <w:szCs w:val="22"/>
          <w:lang w:val="en-US"/>
        </w:rPr>
        <w:t xml:space="preserve">flux depends on the flow conditions and is a function of the </w:t>
      </w:r>
      <w:r w:rsidR="00796157">
        <w:rPr>
          <w:rFonts w:asciiTheme="minorHAnsi" w:hAnsiTheme="minorHAnsi" w:cs="Arial"/>
          <w:sz w:val="22"/>
          <w:szCs w:val="22"/>
          <w:lang w:val="en-US"/>
        </w:rPr>
        <w:t>Reynolds number.</w:t>
      </w:r>
    </w:p>
    <w:tbl>
      <w:tblPr>
        <w:tblStyle w:val="TableGrid"/>
        <w:tblW w:w="85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6"/>
      </w:tblGrid>
      <w:tr w:rsidR="00B4579C" w:rsidTr="00AB60D6">
        <w:trPr>
          <w:trHeight w:val="1701"/>
        </w:trPr>
        <w:tc>
          <w:tcPr>
            <w:tcW w:w="8534" w:type="dxa"/>
            <w:vAlign w:val="center"/>
          </w:tcPr>
          <w:p w:rsidR="00B4579C" w:rsidRPr="00B4579C" w:rsidRDefault="00380A6E" w:rsidP="00AB60D6">
            <w:pPr>
              <w:tabs>
                <w:tab w:val="left" w:pos="840"/>
              </w:tabs>
              <w:spacing w:line="360" w:lineRule="auto"/>
              <w:jc w:val="lef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drawing>
                <wp:inline distT="0" distB="0" distL="0" distR="0" wp14:anchorId="414A380F">
                  <wp:extent cx="5382990" cy="70612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097" cy="707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157" w:rsidRDefault="00796157" w:rsidP="00F20A0F">
      <w:pPr>
        <w:snapToGrid w:val="0"/>
        <w:spacing w:after="120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 xml:space="preserve">The </w:t>
      </w:r>
      <w:r w:rsidR="001A5D44">
        <w:rPr>
          <w:rFonts w:asciiTheme="minorHAnsi" w:hAnsiTheme="minorHAnsi" w:cs="Arial"/>
          <w:sz w:val="22"/>
          <w:szCs w:val="22"/>
          <w:lang w:val="en-US"/>
        </w:rPr>
        <w:t xml:space="preserve">weight </w:t>
      </w:r>
      <w:r>
        <w:rPr>
          <w:rFonts w:asciiTheme="minorHAnsi" w:hAnsiTheme="minorHAnsi" w:cs="Arial"/>
          <w:sz w:val="22"/>
          <w:szCs w:val="22"/>
          <w:lang w:val="en-US"/>
        </w:rPr>
        <w:t>flux from pure diffusion</w:t>
      </w:r>
      <w:r w:rsidR="004434B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is quite similar for the two tested model </w:t>
      </w:r>
      <w:r w:rsidR="002D1EB4">
        <w:rPr>
          <w:rFonts w:asciiTheme="minorHAnsi" w:hAnsiTheme="minorHAnsi" w:cs="Arial"/>
          <w:sz w:val="22"/>
          <w:szCs w:val="22"/>
          <w:lang w:val="en-US"/>
        </w:rPr>
        <w:t>substances. This is unsurprising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based o</w:t>
      </w:r>
      <w:r w:rsidR="00682101">
        <w:rPr>
          <w:rFonts w:asciiTheme="minorHAnsi" w:hAnsiTheme="minorHAnsi" w:cs="Arial"/>
          <w:sz w:val="22"/>
          <w:szCs w:val="22"/>
          <w:lang w:val="en-US"/>
        </w:rPr>
        <w:t xml:space="preserve">n </w:t>
      </w:r>
      <w:r w:rsidR="002D1EB4">
        <w:rPr>
          <w:rFonts w:asciiTheme="minorHAnsi" w:hAnsiTheme="minorHAnsi" w:cs="Arial"/>
          <w:sz w:val="22"/>
          <w:szCs w:val="22"/>
          <w:lang w:val="en-US"/>
        </w:rPr>
        <w:t>their similar molecular size, which is used to predict diffusivity via the Stokes-Einstein correlation.</w:t>
      </w:r>
      <w:r w:rsidR="00F925F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4434BF">
        <w:rPr>
          <w:rFonts w:asciiTheme="minorHAnsi" w:hAnsiTheme="minorHAnsi" w:cs="Arial"/>
          <w:sz w:val="22"/>
          <w:szCs w:val="22"/>
          <w:lang w:val="en-US"/>
        </w:rPr>
        <w:t>T</w:t>
      </w:r>
      <w:r>
        <w:rPr>
          <w:rFonts w:asciiTheme="minorHAnsi" w:hAnsiTheme="minorHAnsi" w:cs="Arial"/>
          <w:sz w:val="22"/>
          <w:szCs w:val="22"/>
          <w:lang w:val="en-US"/>
        </w:rPr>
        <w:t>heophylline shows a much higher flux at hi</w:t>
      </w:r>
      <w:r w:rsidR="00DE3327">
        <w:rPr>
          <w:rFonts w:asciiTheme="minorHAnsi" w:hAnsiTheme="minorHAnsi" w:cs="Arial"/>
          <w:sz w:val="22"/>
          <w:szCs w:val="22"/>
          <w:lang w:val="en-US"/>
        </w:rPr>
        <w:t>gh Reynolds number compared to b</w:t>
      </w:r>
      <w:r w:rsidR="002D1EB4">
        <w:rPr>
          <w:rFonts w:asciiTheme="minorHAnsi" w:hAnsiTheme="minorHAnsi" w:cs="Arial"/>
          <w:sz w:val="22"/>
          <w:szCs w:val="22"/>
          <w:lang w:val="en-US"/>
        </w:rPr>
        <w:t>enzocaine, which indicates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a faster surface reaction for</w:t>
      </w:r>
      <w:r w:rsidR="00F925FF">
        <w:rPr>
          <w:rFonts w:asciiTheme="minorHAnsi" w:hAnsiTheme="minorHAnsi" w:cs="Arial"/>
          <w:sz w:val="22"/>
          <w:szCs w:val="22"/>
          <w:lang w:val="en-US"/>
        </w:rPr>
        <w:t xml:space="preserve"> theophylline</w:t>
      </w:r>
      <w:r>
        <w:rPr>
          <w:rFonts w:asciiTheme="minorHAnsi" w:hAnsiTheme="minorHAnsi" w:cs="Arial"/>
          <w:sz w:val="22"/>
          <w:szCs w:val="22"/>
          <w:lang w:val="en-US"/>
        </w:rPr>
        <w:t>. The reason is not clear yet and nee</w:t>
      </w:r>
      <w:r w:rsidR="00DE3327">
        <w:rPr>
          <w:rFonts w:asciiTheme="minorHAnsi" w:hAnsiTheme="minorHAnsi" w:cs="Arial"/>
          <w:sz w:val="22"/>
          <w:szCs w:val="22"/>
          <w:lang w:val="en-US"/>
        </w:rPr>
        <w:t xml:space="preserve">ds to be investigated further. </w:t>
      </w:r>
      <w:r w:rsidR="00E51316">
        <w:rPr>
          <w:rFonts w:asciiTheme="minorHAnsi" w:hAnsiTheme="minorHAnsi" w:cs="Arial"/>
          <w:sz w:val="22"/>
          <w:szCs w:val="22"/>
          <w:lang w:val="en-US"/>
        </w:rPr>
        <w:t>The linear correlation betw</w:t>
      </w:r>
      <w:r w:rsidR="00F925FF">
        <w:rPr>
          <w:rFonts w:asciiTheme="minorHAnsi" w:hAnsiTheme="minorHAnsi" w:cs="Arial"/>
          <w:sz w:val="22"/>
          <w:szCs w:val="22"/>
          <w:lang w:val="en-US"/>
        </w:rPr>
        <w:t>een flux and Reynolds number (0 &lt; Re &lt; </w:t>
      </w:r>
      <w:r w:rsidR="00E51316">
        <w:rPr>
          <w:rFonts w:asciiTheme="minorHAnsi" w:hAnsiTheme="minorHAnsi" w:cs="Arial"/>
          <w:sz w:val="22"/>
          <w:szCs w:val="22"/>
          <w:lang w:val="en-US"/>
        </w:rPr>
        <w:t>150) can be attributed to con</w:t>
      </w:r>
      <w:r w:rsidR="00682101">
        <w:rPr>
          <w:rFonts w:asciiTheme="minorHAnsi" w:hAnsiTheme="minorHAnsi" w:cs="Arial"/>
          <w:sz w:val="22"/>
          <w:szCs w:val="22"/>
          <w:lang w:val="en-US"/>
        </w:rPr>
        <w:t>vection and is captured by an</w:t>
      </w:r>
      <w:r w:rsidR="004434BF">
        <w:rPr>
          <w:rFonts w:asciiTheme="minorHAnsi" w:hAnsiTheme="minorHAnsi" w:cs="Arial"/>
          <w:sz w:val="22"/>
          <w:szCs w:val="22"/>
          <w:lang w:val="en-US"/>
        </w:rPr>
        <w:t xml:space="preserve"> a</w:t>
      </w:r>
      <w:r w:rsidR="00682101">
        <w:rPr>
          <w:rFonts w:asciiTheme="minorHAnsi" w:hAnsiTheme="minorHAnsi" w:cs="Arial"/>
          <w:sz w:val="22"/>
          <w:szCs w:val="22"/>
          <w:lang w:val="en-US"/>
        </w:rPr>
        <w:t xml:space="preserve">pproach based on </w:t>
      </w:r>
      <w:proofErr w:type="spellStart"/>
      <w:r w:rsidR="00682101">
        <w:rPr>
          <w:rFonts w:asciiTheme="minorHAnsi" w:hAnsiTheme="minorHAnsi" w:cs="Arial"/>
          <w:sz w:val="22"/>
          <w:szCs w:val="22"/>
          <w:lang w:val="en-US"/>
        </w:rPr>
        <w:t>Prandlt’s</w:t>
      </w:r>
      <w:proofErr w:type="spellEnd"/>
      <w:r w:rsidR="00682101">
        <w:rPr>
          <w:rFonts w:asciiTheme="minorHAnsi" w:hAnsiTheme="minorHAnsi" w:cs="Arial"/>
          <w:sz w:val="22"/>
          <w:szCs w:val="22"/>
          <w:lang w:val="en-US"/>
        </w:rPr>
        <w:t xml:space="preserve"> work</w:t>
      </w:r>
      <w:r w:rsidR="00F57F6E">
        <w:rPr>
          <w:rFonts w:asciiTheme="minorHAnsi" w:hAnsiTheme="minorHAnsi" w:cs="Arial"/>
          <w:sz w:val="22"/>
          <w:szCs w:val="22"/>
          <w:lang w:val="en-US"/>
        </w:rPr>
        <w:t xml:space="preserve"> (</w:t>
      </w:r>
      <w:proofErr w:type="spellStart"/>
      <w:r w:rsidR="00F57F6E">
        <w:rPr>
          <w:rFonts w:asciiTheme="minorHAnsi" w:hAnsiTheme="minorHAnsi" w:cs="Arial"/>
          <w:sz w:val="22"/>
          <w:szCs w:val="22"/>
          <w:lang w:val="en-US"/>
        </w:rPr>
        <w:t>Brauer</w:t>
      </w:r>
      <w:proofErr w:type="spellEnd"/>
      <w:r w:rsidR="00F57F6E">
        <w:rPr>
          <w:rFonts w:asciiTheme="minorHAnsi" w:hAnsiTheme="minorHAnsi" w:cs="Arial"/>
          <w:sz w:val="22"/>
          <w:szCs w:val="22"/>
          <w:lang w:val="en-US"/>
        </w:rPr>
        <w:t xml:space="preserve"> and </w:t>
      </w:r>
      <w:proofErr w:type="spellStart"/>
      <w:r w:rsidR="00F57F6E">
        <w:rPr>
          <w:rFonts w:asciiTheme="minorHAnsi" w:hAnsiTheme="minorHAnsi" w:cs="Arial"/>
          <w:sz w:val="22"/>
          <w:szCs w:val="22"/>
          <w:lang w:val="en-US"/>
        </w:rPr>
        <w:t>Mewes</w:t>
      </w:r>
      <w:proofErr w:type="spellEnd"/>
      <w:r w:rsidR="00F57F6E">
        <w:rPr>
          <w:rFonts w:asciiTheme="minorHAnsi" w:hAnsiTheme="minorHAnsi" w:cs="Arial"/>
          <w:sz w:val="22"/>
          <w:szCs w:val="22"/>
          <w:lang w:val="en-US"/>
        </w:rPr>
        <w:t>, 1971)</w:t>
      </w:r>
      <w:r w:rsidR="00E51316">
        <w:rPr>
          <w:rFonts w:asciiTheme="minorHAnsi" w:hAnsiTheme="minorHAnsi" w:cs="Arial"/>
          <w:sz w:val="22"/>
          <w:szCs w:val="22"/>
          <w:lang w:val="en-US"/>
        </w:rPr>
        <w:t>.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9F4722" w:rsidRPr="0017048E" w:rsidTr="00AB60D6">
        <w:trPr>
          <w:trHeight w:val="3628"/>
        </w:trPr>
        <w:tc>
          <w:tcPr>
            <w:tcW w:w="5070" w:type="dxa"/>
            <w:vAlign w:val="center"/>
          </w:tcPr>
          <w:p w:rsidR="009F4722" w:rsidRPr="009C71D8" w:rsidRDefault="007C53A3" w:rsidP="007C53A3">
            <w:pPr>
              <w:tabs>
                <w:tab w:val="left" w:pos="5684"/>
              </w:tabs>
              <w:jc w:val="center"/>
              <w:rPr>
                <w:rFonts w:cs="Arial"/>
                <w:lang w:val="en-US"/>
              </w:rPr>
            </w:pPr>
            <w:r w:rsidRPr="00D94BDA">
              <w:rPr>
                <w:rFonts w:cs="Arial"/>
                <w:noProof/>
                <w:lang w:val="en-US"/>
              </w:rPr>
              <w:drawing>
                <wp:inline distT="0" distB="0" distL="0" distR="0" wp14:anchorId="2DC29CD1" wp14:editId="1E06CE2D">
                  <wp:extent cx="3074374" cy="2028191"/>
                  <wp:effectExtent l="0" t="0" r="0" b="0"/>
                  <wp:docPr id="410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374" cy="202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</w:tcPr>
          <w:tbl>
            <w:tblPr>
              <w:tblStyle w:val="TableGrid"/>
              <w:tblW w:w="4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7C53A3" w:rsidRPr="0017048E" w:rsidTr="007C53A3">
              <w:tc>
                <w:tcPr>
                  <w:tcW w:w="4195" w:type="dxa"/>
                  <w:vAlign w:val="center"/>
                </w:tcPr>
                <w:p w:rsidR="009F4722" w:rsidRPr="009C71D8" w:rsidRDefault="007C53A3" w:rsidP="007C53A3">
                  <w:pPr>
                    <w:spacing w:line="360" w:lineRule="auto"/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 w:rsidRPr="00805837">
                    <w:rPr>
                      <w:rFonts w:asciiTheme="minorHAnsi" w:eastAsia="MS PGothic" w:hAnsiTheme="minorHAnsi"/>
                      <w:noProof/>
                      <w:color w:val="000000"/>
                      <w:lang w:val="en-US"/>
                    </w:rPr>
                    <w:drawing>
                      <wp:inline distT="0" distB="0" distL="0" distR="0" wp14:anchorId="06205C6F" wp14:editId="2286B7C3">
                        <wp:extent cx="2123440" cy="2200275"/>
                        <wp:effectExtent l="0" t="0" r="0" b="9525"/>
                        <wp:docPr id="4099" name="Picture 3" descr="W:\PROMOTION_SLEZIONA\THESIS\Paper 0\BILDER PAPER\REV 1\AVER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9" name="Picture 3" descr="W:\PROMOTION_SLEZIONA\THESIS\Paper 0\BILDER PAPER\REV 1\AVER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66" t="5515" r="51918" b="34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26106" cy="2203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4722" w:rsidRPr="009C71D8" w:rsidRDefault="009F4722" w:rsidP="00C863A8">
            <w:pPr>
              <w:tabs>
                <w:tab w:val="left" w:pos="5684"/>
              </w:tabs>
              <w:jc w:val="center"/>
              <w:rPr>
                <w:rFonts w:cs="Arial"/>
                <w:lang w:val="en-US"/>
              </w:rPr>
            </w:pPr>
          </w:p>
        </w:tc>
      </w:tr>
    </w:tbl>
    <w:p w:rsidR="00704BDF" w:rsidRPr="007C53A3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C53A3">
        <w:rPr>
          <w:rFonts w:asciiTheme="minorHAnsi" w:eastAsia="MS PGothic" w:hAnsiTheme="minorHAnsi"/>
          <w:color w:val="000000"/>
          <w:szCs w:val="18"/>
          <w:lang w:val="en-US"/>
        </w:rPr>
        <w:t>Set up of the flow channel dissolution experiment</w:t>
      </w:r>
      <w:r w:rsidR="00805837" w:rsidRPr="00805837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C53A3">
        <w:rPr>
          <w:rFonts w:asciiTheme="minorHAnsi" w:eastAsia="MS PGothic" w:hAnsiTheme="minorHAnsi"/>
          <w:color w:val="000000"/>
          <w:szCs w:val="18"/>
          <w:lang w:val="en-US"/>
        </w:rPr>
        <w:t xml:space="preserve">(left) and the </w:t>
      </w:r>
      <w:r w:rsidR="00F925FF">
        <w:rPr>
          <w:rFonts w:asciiTheme="minorHAnsi" w:eastAsia="MS PGothic" w:hAnsiTheme="minorHAnsi"/>
          <w:color w:val="000000"/>
          <w:szCs w:val="18"/>
          <w:lang w:val="en-US"/>
        </w:rPr>
        <w:t>resulting weight</w:t>
      </w:r>
      <w:r w:rsidR="00805837" w:rsidRPr="00805837">
        <w:rPr>
          <w:rFonts w:asciiTheme="minorHAnsi" w:eastAsia="MS PGothic" w:hAnsiTheme="minorHAnsi"/>
          <w:color w:val="000000"/>
          <w:szCs w:val="18"/>
          <w:lang w:val="en-US"/>
        </w:rPr>
        <w:t xml:space="preserve"> flux of benzocaine, </w:t>
      </w:r>
      <w:r w:rsidR="00805837" w:rsidRPr="007C53A3">
        <w:rPr>
          <w:rFonts w:asciiTheme="minorHAnsi" w:eastAsia="MS PGothic" w:hAnsiTheme="minorHAnsi"/>
          <w:color w:val="000000"/>
          <w:szCs w:val="18"/>
          <w:lang w:val="en-US"/>
        </w:rPr>
        <w:t xml:space="preserve">theophylline </w:t>
      </w:r>
      <w:r w:rsidR="00F925FF">
        <w:rPr>
          <w:rFonts w:asciiTheme="minorHAnsi" w:eastAsia="MS PGothic" w:hAnsiTheme="minorHAnsi"/>
          <w:color w:val="000000"/>
          <w:szCs w:val="18"/>
          <w:lang w:val="en-US"/>
        </w:rPr>
        <w:t xml:space="preserve">as a function of </w:t>
      </w:r>
      <w:r w:rsidR="00805837" w:rsidRPr="007C53A3">
        <w:rPr>
          <w:rFonts w:asciiTheme="minorHAnsi" w:hAnsiTheme="minorHAnsi" w:cs="Arial"/>
          <w:szCs w:val="18"/>
          <w:lang w:val="en-US"/>
        </w:rPr>
        <w:t>the Reynolds numbers (</w:t>
      </w:r>
      <w:proofErr w:type="spellStart"/>
      <w:r w:rsidR="00805837" w:rsidRPr="007C53A3">
        <w:rPr>
          <w:rFonts w:asciiTheme="minorHAnsi" w:hAnsiTheme="minorHAnsi" w:cs="Arial"/>
          <w:szCs w:val="18"/>
          <w:lang w:val="en-US"/>
        </w:rPr>
        <w:t>av</w:t>
      </w:r>
      <w:proofErr w:type="spellEnd"/>
      <w:r w:rsidR="00805837" w:rsidRPr="007C53A3">
        <w:rPr>
          <w:rFonts w:asciiTheme="minorHAnsi" w:hAnsiTheme="minorHAnsi" w:cs="Arial"/>
          <w:szCs w:val="18"/>
          <w:lang w:val="en-US"/>
        </w:rPr>
        <w:t>, n = 3)</w:t>
      </w:r>
      <w:r w:rsidRPr="007C53A3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B24FA0" w:rsidRDefault="00E5131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new intrinsic dissolution setup has been deigned in order to overcome the limitation</w:t>
      </w:r>
      <w:r w:rsidR="00F925F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</w:t>
      </w:r>
      <w:r w:rsidR="00F925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pharmacopeia test. This enables diffusion- and surface reaction limited regimes for drug release to be determined experimentally.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Two model drugs were t</w:t>
      </w:r>
      <w:r w:rsidR="00F925FF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ested and differences were observed</w:t>
      </w:r>
      <w:r w:rsidR="00F57F6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1E32BD" w:rsidRDefault="00704BDF" w:rsidP="00805837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ED7AE6" w:rsidRPr="00ED7AE6" w:rsidRDefault="004C7C38" w:rsidP="00ED7AE6">
      <w:pPr>
        <w:pStyle w:val="EndNoteBibliography"/>
        <w:ind w:left="720" w:hanging="720"/>
      </w:pPr>
      <w:r w:rsidRPr="001E32BD">
        <w:rPr>
          <w:rFonts w:asciiTheme="minorHAnsi" w:eastAsia="SimSun" w:hAnsiTheme="minorHAnsi"/>
          <w:lang w:eastAsia="zh-CN"/>
        </w:rPr>
        <w:fldChar w:fldCharType="begin"/>
      </w:r>
      <w:r w:rsidRPr="001E32BD">
        <w:rPr>
          <w:rFonts w:asciiTheme="minorHAnsi" w:eastAsia="SimSun" w:hAnsiTheme="minorHAnsi"/>
          <w:lang w:eastAsia="zh-CN"/>
        </w:rPr>
        <w:instrText xml:space="preserve"> ADDIN EN.REFLIST </w:instrText>
      </w:r>
      <w:r w:rsidRPr="001E32BD">
        <w:rPr>
          <w:rFonts w:asciiTheme="minorHAnsi" w:eastAsia="SimSun" w:hAnsiTheme="minorHAnsi"/>
          <w:lang w:eastAsia="zh-CN"/>
        </w:rPr>
        <w:fldChar w:fldCharType="separate"/>
      </w:r>
      <w:r w:rsidR="00ED7AE6" w:rsidRPr="00ED7AE6">
        <w:t>[1] European Pharmacopoeia Commission (2017) European pharmacopoeia, Vol. 9.0, Council of Europe.</w:t>
      </w:r>
    </w:p>
    <w:p w:rsidR="00ED7AE6" w:rsidRPr="00A93771" w:rsidRDefault="00ED7AE6" w:rsidP="00ED7AE6">
      <w:pPr>
        <w:pStyle w:val="EndNoteBibliography"/>
        <w:ind w:left="720" w:hanging="720"/>
        <w:rPr>
          <w:lang w:val="de-DE"/>
        </w:rPr>
      </w:pPr>
      <w:r w:rsidRPr="00A93771">
        <w:rPr>
          <w:lang w:val="de-DE"/>
        </w:rPr>
        <w:t>[2] Fick, A. (1855) Ueber Diffusion, Annalen der Physik 170, 59-86.</w:t>
      </w:r>
    </w:p>
    <w:p w:rsidR="00ED7AE6" w:rsidRPr="00ED7AE6" w:rsidRDefault="00ED7AE6" w:rsidP="00ED7AE6">
      <w:pPr>
        <w:pStyle w:val="EndNoteBibliography"/>
        <w:ind w:left="720" w:hanging="720"/>
      </w:pPr>
      <w:r w:rsidRPr="00ED7AE6">
        <w:t>[3] Paus, R., Ji, Y., Braak, F.,Sadowski, G. (2015) Dissolution of crystalline pharmaceuticals: experimental investigation and thermodynamic modeling, Industrial &amp; Engineering Chemistry Research 54, 731-742.</w:t>
      </w:r>
    </w:p>
    <w:p w:rsidR="00ED7AE6" w:rsidRPr="00ED7AE6" w:rsidRDefault="00ED7AE6" w:rsidP="00ED7AE6">
      <w:pPr>
        <w:pStyle w:val="EndNoteBibliography"/>
        <w:ind w:left="720" w:hanging="720"/>
      </w:pPr>
      <w:r w:rsidRPr="00ED7AE6">
        <w:t>[4] Shah, A. C. and Nelson, K. G. (1975) Evaluation of a convective diffusion drug dissolution rate model, Journal of Pharmaceutical Sciences 64, 1518-1520.</w:t>
      </w:r>
    </w:p>
    <w:p w:rsidR="00ED7AE6" w:rsidRPr="00ED7AE6" w:rsidRDefault="00ED7AE6" w:rsidP="00ED7AE6">
      <w:pPr>
        <w:pStyle w:val="EndNoteBibliography"/>
        <w:ind w:left="720" w:hanging="720"/>
      </w:pPr>
      <w:r w:rsidRPr="00ED7AE6">
        <w:t>[5] Ward-Smith, A. J. (1980) Internal Fluid Flow-The fluid dynamics of flow in pipes and ducts, Nasa Sti/recon Technical Report A 81.</w:t>
      </w:r>
    </w:p>
    <w:p w:rsidR="00F57F6E" w:rsidRPr="00A93771" w:rsidRDefault="004C7C38" w:rsidP="00F57F6E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left"/>
        <w:rPr>
          <w:rFonts w:eastAsia="SimSun"/>
          <w:lang w:val="de-DE" w:eastAsia="zh-CN"/>
        </w:rPr>
      </w:pPr>
      <w:r w:rsidRPr="001E32BD">
        <w:rPr>
          <w:rFonts w:asciiTheme="minorHAnsi" w:eastAsia="SimSun" w:hAnsiTheme="minorHAnsi"/>
          <w:lang w:eastAsia="zh-CN"/>
        </w:rPr>
        <w:fldChar w:fldCharType="end"/>
      </w:r>
      <w:r w:rsidR="00F57F6E" w:rsidRPr="00A93771">
        <w:rPr>
          <w:rFonts w:asciiTheme="minorHAnsi" w:eastAsia="SimSun" w:hAnsiTheme="minorHAnsi"/>
          <w:lang w:val="de-DE" w:eastAsia="zh-CN"/>
        </w:rPr>
        <w:t xml:space="preserve">[6] Brauer, H., Mewes, D. (1971),Stoffaustausch </w:t>
      </w:r>
      <w:proofErr w:type="spellStart"/>
      <w:r w:rsidR="00F57F6E" w:rsidRPr="00A93771">
        <w:rPr>
          <w:rFonts w:asciiTheme="minorHAnsi" w:eastAsia="SimSun" w:hAnsiTheme="minorHAnsi"/>
          <w:lang w:val="de-DE" w:eastAsia="zh-CN"/>
        </w:rPr>
        <w:t>enschließlich</w:t>
      </w:r>
      <w:proofErr w:type="spellEnd"/>
      <w:r w:rsidR="00F57F6E" w:rsidRPr="00A93771">
        <w:rPr>
          <w:rFonts w:asciiTheme="minorHAnsi" w:eastAsia="SimSun" w:hAnsiTheme="minorHAnsi"/>
          <w:lang w:val="de-DE" w:eastAsia="zh-CN"/>
        </w:rPr>
        <w:t xml:space="preserve"> chemischer Reaktionen, Sauerländer.</w:t>
      </w:r>
    </w:p>
    <w:sectPr w:rsidR="00F57F6E" w:rsidRPr="00A9377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04" w:rsidRDefault="00CC2604" w:rsidP="004F5E36">
      <w:r>
        <w:separator/>
      </w:r>
    </w:p>
  </w:endnote>
  <w:endnote w:type="continuationSeparator" w:id="0">
    <w:p w:rsidR="00CC2604" w:rsidRDefault="00CC260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thcad UniMath Prime">
    <w:altName w:val="Arial"/>
    <w:panose1 w:val="00000000000000000000"/>
    <w:charset w:val="00"/>
    <w:family w:val="modern"/>
    <w:notTrueType/>
    <w:pitch w:val="variable"/>
    <w:sig w:usb0="800000C3" w:usb1="100060E9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04" w:rsidRDefault="00CC2604" w:rsidP="004F5E36">
      <w:r>
        <w:separator/>
      </w:r>
    </w:p>
  </w:footnote>
  <w:footnote w:type="continuationSeparator" w:id="0">
    <w:p w:rsidR="00CC2604" w:rsidRDefault="00CC260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line w14:anchorId="65F45467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line w14:anchorId="02400513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leziona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d2sftxezs9xasefdpsx255wxwaevp25p00a&quot;&gt;Promotion_2&lt;record-ids&gt;&lt;item&gt;95&lt;/item&gt;&lt;item&gt;154&lt;/item&gt;&lt;item&gt;207&lt;/item&gt;&lt;item&gt;232&lt;/item&gt;&lt;item&gt;235&lt;/item&gt;&lt;/record-ids&gt;&lt;/item&gt;&lt;/Libraries&gt;"/>
  </w:docVars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79E"/>
    <w:rsid w:val="00150E59"/>
    <w:rsid w:val="00184AD6"/>
    <w:rsid w:val="001A5D44"/>
    <w:rsid w:val="001B65C1"/>
    <w:rsid w:val="001C684B"/>
    <w:rsid w:val="001D53FC"/>
    <w:rsid w:val="001E32BD"/>
    <w:rsid w:val="001F2EC7"/>
    <w:rsid w:val="002065DB"/>
    <w:rsid w:val="002447EF"/>
    <w:rsid w:val="00251550"/>
    <w:rsid w:val="0027221A"/>
    <w:rsid w:val="00275B61"/>
    <w:rsid w:val="00295205"/>
    <w:rsid w:val="002D1EB4"/>
    <w:rsid w:val="002D1F12"/>
    <w:rsid w:val="002F29C9"/>
    <w:rsid w:val="003009B7"/>
    <w:rsid w:val="0030469C"/>
    <w:rsid w:val="003723D4"/>
    <w:rsid w:val="00380A6E"/>
    <w:rsid w:val="00395F18"/>
    <w:rsid w:val="003A7D1C"/>
    <w:rsid w:val="003F0AF4"/>
    <w:rsid w:val="004434BF"/>
    <w:rsid w:val="0046164A"/>
    <w:rsid w:val="00462DCD"/>
    <w:rsid w:val="004C7C38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1519"/>
    <w:rsid w:val="0064184D"/>
    <w:rsid w:val="0065220F"/>
    <w:rsid w:val="00660E3E"/>
    <w:rsid w:val="00662E74"/>
    <w:rsid w:val="00671F3F"/>
    <w:rsid w:val="00682101"/>
    <w:rsid w:val="006A528D"/>
    <w:rsid w:val="006A58D2"/>
    <w:rsid w:val="006C5579"/>
    <w:rsid w:val="006E2991"/>
    <w:rsid w:val="00704BDF"/>
    <w:rsid w:val="00736B13"/>
    <w:rsid w:val="007447F3"/>
    <w:rsid w:val="007661C8"/>
    <w:rsid w:val="00796157"/>
    <w:rsid w:val="007C53A3"/>
    <w:rsid w:val="007D52CD"/>
    <w:rsid w:val="007E536E"/>
    <w:rsid w:val="00805837"/>
    <w:rsid w:val="00813288"/>
    <w:rsid w:val="008168FC"/>
    <w:rsid w:val="008479A2"/>
    <w:rsid w:val="0087637F"/>
    <w:rsid w:val="008804E8"/>
    <w:rsid w:val="00887B67"/>
    <w:rsid w:val="008A1512"/>
    <w:rsid w:val="008C3CF7"/>
    <w:rsid w:val="008D0BEB"/>
    <w:rsid w:val="008E566E"/>
    <w:rsid w:val="00901EB6"/>
    <w:rsid w:val="00916FF2"/>
    <w:rsid w:val="009268A2"/>
    <w:rsid w:val="009450CE"/>
    <w:rsid w:val="0095164B"/>
    <w:rsid w:val="00996483"/>
    <w:rsid w:val="009E788A"/>
    <w:rsid w:val="009F4722"/>
    <w:rsid w:val="00A1763D"/>
    <w:rsid w:val="00A17CEC"/>
    <w:rsid w:val="00A27EF0"/>
    <w:rsid w:val="00A31100"/>
    <w:rsid w:val="00A76EFC"/>
    <w:rsid w:val="00A93771"/>
    <w:rsid w:val="00A9626B"/>
    <w:rsid w:val="00A97F29"/>
    <w:rsid w:val="00AB0964"/>
    <w:rsid w:val="00AB60D6"/>
    <w:rsid w:val="00AE377D"/>
    <w:rsid w:val="00B24FA0"/>
    <w:rsid w:val="00B4579C"/>
    <w:rsid w:val="00B45B92"/>
    <w:rsid w:val="00B61DBF"/>
    <w:rsid w:val="00B83ACF"/>
    <w:rsid w:val="00BC30C9"/>
    <w:rsid w:val="00BE3E58"/>
    <w:rsid w:val="00C01616"/>
    <w:rsid w:val="00C0162B"/>
    <w:rsid w:val="00C33E99"/>
    <w:rsid w:val="00C345B1"/>
    <w:rsid w:val="00C40142"/>
    <w:rsid w:val="00C57182"/>
    <w:rsid w:val="00C655FD"/>
    <w:rsid w:val="00C867B1"/>
    <w:rsid w:val="00C94434"/>
    <w:rsid w:val="00C96868"/>
    <w:rsid w:val="00CA1C95"/>
    <w:rsid w:val="00CA5A9C"/>
    <w:rsid w:val="00CC13C7"/>
    <w:rsid w:val="00CC2604"/>
    <w:rsid w:val="00CD5FE2"/>
    <w:rsid w:val="00D02B4C"/>
    <w:rsid w:val="00D70170"/>
    <w:rsid w:val="00D84576"/>
    <w:rsid w:val="00DE0019"/>
    <w:rsid w:val="00DE264A"/>
    <w:rsid w:val="00DE3327"/>
    <w:rsid w:val="00E041E7"/>
    <w:rsid w:val="00E23CA1"/>
    <w:rsid w:val="00E409A8"/>
    <w:rsid w:val="00E51316"/>
    <w:rsid w:val="00E614E9"/>
    <w:rsid w:val="00E7209D"/>
    <w:rsid w:val="00EA50E1"/>
    <w:rsid w:val="00ED7AE6"/>
    <w:rsid w:val="00EE0131"/>
    <w:rsid w:val="00F20A0F"/>
    <w:rsid w:val="00F30C64"/>
    <w:rsid w:val="00F57F6E"/>
    <w:rsid w:val="00F925FF"/>
    <w:rsid w:val="00F95B39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4C7C38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C7C38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C7C38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C7C38"/>
    <w:rPr>
      <w:rFonts w:ascii="Times" w:eastAsia="Times New Roman" w:hAnsi="Times" w:cs="Times"/>
      <w:noProof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682101"/>
    <w:rPr>
      <w:color w:val="808080"/>
    </w:rPr>
  </w:style>
  <w:style w:type="paragraph" w:customStyle="1" w:styleId="CitaviBibliographyHeading">
    <w:name w:val="Citavi Bibliography Heading"/>
    <w:basedOn w:val="Normal"/>
    <w:link w:val="CitaviBibliographyHeadingChar"/>
    <w:rsid w:val="00F57F6E"/>
    <w:pPr>
      <w:snapToGrid w:val="0"/>
      <w:spacing w:after="120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HeadingChar">
    <w:name w:val="Citavi Bibliography Heading Char"/>
    <w:basedOn w:val="DefaultParagraphFont"/>
    <w:link w:val="CitaviBibliographyHeading"/>
    <w:rsid w:val="00F57F6E"/>
    <w:rPr>
      <w:rFonts w:eastAsia="MS PGothic" w:cs="Times New Roman"/>
      <w:color w:val="000000"/>
      <w:lang w:val="en-US"/>
    </w:rPr>
  </w:style>
  <w:style w:type="paragraph" w:customStyle="1" w:styleId="CitaviBibliographyEntry">
    <w:name w:val="Citavi Bibliography Entry"/>
    <w:basedOn w:val="Normal"/>
    <w:link w:val="CitaviBibliographyEntryChar"/>
    <w:rsid w:val="00F57F6E"/>
    <w:pPr>
      <w:snapToGrid w:val="0"/>
      <w:spacing w:after="120"/>
      <w:jc w:val="left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F57F6E"/>
    <w:rPr>
      <w:rFonts w:eastAsia="MS PGothic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4C7C38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C7C38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C7C38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C7C38"/>
    <w:rPr>
      <w:rFonts w:ascii="Times" w:eastAsia="Times New Roman" w:hAnsi="Times" w:cs="Times"/>
      <w:noProof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682101"/>
    <w:rPr>
      <w:color w:val="808080"/>
    </w:rPr>
  </w:style>
  <w:style w:type="paragraph" w:customStyle="1" w:styleId="CitaviBibliographyHeading">
    <w:name w:val="Citavi Bibliography Heading"/>
    <w:basedOn w:val="Normal"/>
    <w:link w:val="CitaviBibliographyHeadingChar"/>
    <w:rsid w:val="00F57F6E"/>
    <w:pPr>
      <w:snapToGrid w:val="0"/>
      <w:spacing w:after="120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HeadingChar">
    <w:name w:val="Citavi Bibliography Heading Char"/>
    <w:basedOn w:val="DefaultParagraphFont"/>
    <w:link w:val="CitaviBibliographyHeading"/>
    <w:rsid w:val="00F57F6E"/>
    <w:rPr>
      <w:rFonts w:eastAsia="MS PGothic" w:cs="Times New Roman"/>
      <w:color w:val="000000"/>
      <w:lang w:val="en-US"/>
    </w:rPr>
  </w:style>
  <w:style w:type="paragraph" w:customStyle="1" w:styleId="CitaviBibliographyEntry">
    <w:name w:val="Citavi Bibliography Entry"/>
    <w:basedOn w:val="Normal"/>
    <w:link w:val="CitaviBibliographyEntryChar"/>
    <w:rsid w:val="00F57F6E"/>
    <w:pPr>
      <w:snapToGrid w:val="0"/>
      <w:spacing w:after="120"/>
      <w:jc w:val="left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F57F6E"/>
    <w:rPr>
      <w:rFonts w:eastAsia="MS PGothic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D7A0-3C36-48D1-B077-9AEC54F6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1380</Words>
  <Characters>7869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BCI</cp:lastModifiedBy>
  <cp:revision>4</cp:revision>
  <cp:lastPrinted>2019-01-15T07:19:00Z</cp:lastPrinted>
  <dcterms:created xsi:type="dcterms:W3CDTF">2019-01-15T07:19:00Z</dcterms:created>
  <dcterms:modified xsi:type="dcterms:W3CDTF">2019-01-15T07:33:00Z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Promotion</vt:lpwstr>
  </property>
  <property fmtid="{D5CDD505-2E9C-101B-9397-08002B2CF9AE}" pid="3" name="CitaviDocumentProperty_0">
    <vt:lpwstr>f1ed8f7d-1c65-4f06-ad48-3e96e725bea1</vt:lpwstr>
  </property>
  <property fmtid="{D5CDD505-2E9C-101B-9397-08002B2CF9AE}" pid="4" name="CitaviDocumentProperty_6">
    <vt:lpwstr>True</vt:lpwstr>
  </property>
  <property fmtid="{D5CDD505-2E9C-101B-9397-08002B2CF9AE}" pid="5" name="CitaviDocumentProperty_1">
    <vt:lpwstr>6.2.0.12</vt:lpwstr>
  </property>
  <property fmtid="{D5CDD505-2E9C-101B-9397-08002B2CF9AE}" pid="6" name="CitaviDocumentProperty_8">
    <vt:lpwstr>C:\Users\Massa\Documents\PROMOTION\Promotion.ctv6</vt:lpwstr>
  </property>
</Properties>
</file>