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B5619E" w:rsidRDefault="008626B2" w:rsidP="008626B2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Production of p</w:t>
      </w:r>
      <w:r w:rsidR="00272CBE">
        <w:rPr>
          <w:rFonts w:asciiTheme="minorHAnsi" w:eastAsia="MS PGothic" w:hAnsiTheme="minorHAnsi"/>
          <w:b/>
          <w:bCs/>
          <w:sz w:val="28"/>
          <w:szCs w:val="28"/>
          <w:lang w:val="en-US"/>
        </w:rPr>
        <w:t>oly</w:t>
      </w:r>
      <w:r w:rsidR="00A435C2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 w:rsidR="00272CBE">
        <w:rPr>
          <w:rFonts w:asciiTheme="minorHAnsi" w:eastAsia="MS PGothic" w:hAnsiTheme="minorHAnsi"/>
          <w:b/>
          <w:bCs/>
          <w:sz w:val="28"/>
          <w:szCs w:val="28"/>
          <w:lang w:val="en-US"/>
        </w:rPr>
        <w:t>3-</w:t>
      </w:r>
      <w:r w:rsidR="00C4251F">
        <w:rPr>
          <w:rFonts w:asciiTheme="minorHAnsi" w:eastAsia="MS PGothic" w:hAnsiTheme="minorHAnsi"/>
          <w:b/>
          <w:bCs/>
          <w:sz w:val="28"/>
          <w:szCs w:val="28"/>
          <w:lang w:val="en-US"/>
        </w:rPr>
        <w:t>h</w:t>
      </w:r>
      <w:r w:rsidR="00272CBE">
        <w:rPr>
          <w:rFonts w:asciiTheme="minorHAnsi" w:eastAsia="MS PGothic" w:hAnsiTheme="minorHAnsi"/>
          <w:b/>
          <w:bCs/>
          <w:sz w:val="28"/>
          <w:szCs w:val="28"/>
          <w:lang w:val="en-US"/>
        </w:rPr>
        <w:t>idroxybutyrate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with </w:t>
      </w:r>
      <w:r w:rsidR="00B5619E">
        <w:rPr>
          <w:rFonts w:asciiTheme="minorHAnsi" w:eastAsia="MS PGothic" w:hAnsiTheme="minorHAnsi"/>
          <w:b/>
          <w:bCs/>
          <w:sz w:val="28"/>
          <w:szCs w:val="28"/>
          <w:lang w:val="en-US"/>
        </w:rPr>
        <w:t>ultra-high molecular weight</w:t>
      </w:r>
      <w:r w:rsidR="00272CB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by </w:t>
      </w:r>
      <w:r w:rsidR="00B5619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mutant strains of </w:t>
      </w:r>
      <w:r w:rsidR="00272CBE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Azotobacter vinelandii </w:t>
      </w:r>
      <w:r w:rsidR="00B5619E">
        <w:rPr>
          <w:rFonts w:asciiTheme="minorHAnsi" w:eastAsia="MS PGothic" w:hAnsiTheme="minorHAnsi"/>
          <w:b/>
          <w:bCs/>
          <w:sz w:val="28"/>
          <w:szCs w:val="28"/>
          <w:lang w:val="en-US"/>
        </w:rPr>
        <w:t>under microaerophilic conditions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272CBE" w:rsidRDefault="00272CBE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lang w:eastAsia="zh-CN"/>
        </w:rPr>
      </w:pPr>
      <w:r w:rsidRPr="00272CBE">
        <w:rPr>
          <w:rFonts w:asciiTheme="minorHAnsi" w:eastAsia="SimSun" w:hAnsiTheme="minorHAnsi"/>
          <w:color w:val="000000"/>
          <w:u w:val="single"/>
          <w:lang w:eastAsia="zh-CN"/>
        </w:rPr>
        <w:t>Elsa Gómez</w:t>
      </w:r>
      <w:r w:rsidR="00704BDF" w:rsidRPr="00272CBE">
        <w:rPr>
          <w:rFonts w:asciiTheme="minorHAnsi" w:eastAsia="SimSun" w:hAnsiTheme="minorHAnsi"/>
          <w:color w:val="000000"/>
          <w:u w:val="single"/>
          <w:vertAlign w:val="superscript"/>
          <w:lang w:eastAsia="zh-CN"/>
        </w:rPr>
        <w:t>1</w:t>
      </w:r>
      <w:r w:rsidR="00736B13" w:rsidRPr="00272CBE">
        <w:rPr>
          <w:rFonts w:asciiTheme="minorHAnsi" w:eastAsia="SimSun" w:hAnsiTheme="minorHAnsi"/>
          <w:color w:val="000000"/>
          <w:lang w:eastAsia="zh-CN"/>
        </w:rPr>
        <w:t>,</w:t>
      </w:r>
      <w:r w:rsidR="00920748">
        <w:rPr>
          <w:rFonts w:asciiTheme="minorHAnsi" w:eastAsia="SimSun" w:hAnsiTheme="minorHAnsi"/>
          <w:color w:val="000000"/>
          <w:lang w:eastAsia="zh-CN"/>
        </w:rPr>
        <w:t xml:space="preserve"> </w:t>
      </w:r>
      <w:r w:rsidR="00B5619E">
        <w:rPr>
          <w:rFonts w:asciiTheme="minorHAnsi" w:eastAsia="SimSun" w:hAnsiTheme="minorHAnsi"/>
          <w:color w:val="000000"/>
          <w:lang w:eastAsia="zh-CN"/>
        </w:rPr>
        <w:t>Daniel Segura</w:t>
      </w:r>
      <w:r w:rsidR="00727A3A">
        <w:rPr>
          <w:rFonts w:asciiTheme="minorHAnsi" w:eastAsia="SimSun" w:hAnsiTheme="minorHAnsi"/>
          <w:color w:val="000000"/>
          <w:vertAlign w:val="superscript"/>
          <w:lang w:eastAsia="zh-CN"/>
        </w:rPr>
        <w:t>2</w:t>
      </w:r>
      <w:r w:rsidR="00727A3A">
        <w:rPr>
          <w:rFonts w:asciiTheme="minorHAnsi" w:eastAsia="SimSun" w:hAnsiTheme="minorHAnsi"/>
          <w:color w:val="000000"/>
          <w:lang w:eastAsia="zh-CN"/>
        </w:rPr>
        <w:t xml:space="preserve">, </w:t>
      </w:r>
      <w:r w:rsidR="00920748">
        <w:rPr>
          <w:rFonts w:asciiTheme="minorHAnsi" w:eastAsia="SimSun" w:hAnsiTheme="minorHAnsi"/>
          <w:color w:val="000000"/>
          <w:lang w:eastAsia="zh-CN"/>
        </w:rPr>
        <w:t xml:space="preserve">Alfredo </w:t>
      </w:r>
      <w:r w:rsidR="00920748" w:rsidRPr="00920748">
        <w:rPr>
          <w:rFonts w:asciiTheme="minorHAnsi" w:eastAsia="SimSun" w:hAnsiTheme="minorHAnsi"/>
          <w:color w:val="000000"/>
          <w:lang w:eastAsia="zh-CN"/>
        </w:rPr>
        <w:t>Martínez</w:t>
      </w:r>
      <w:r w:rsidR="00920748">
        <w:rPr>
          <w:rFonts w:asciiTheme="minorHAnsi" w:eastAsia="SimSun" w:hAnsiTheme="minorHAnsi"/>
          <w:color w:val="000000"/>
          <w:vertAlign w:val="superscript"/>
          <w:lang w:eastAsia="zh-CN"/>
        </w:rPr>
        <w:t>1</w:t>
      </w:r>
      <w:r w:rsidR="00920748">
        <w:rPr>
          <w:rFonts w:asciiTheme="minorHAnsi" w:eastAsia="SimSun" w:hAnsiTheme="minorHAnsi"/>
          <w:color w:val="000000"/>
          <w:lang w:eastAsia="zh-CN"/>
        </w:rPr>
        <w:t xml:space="preserve">, </w:t>
      </w:r>
      <w:r w:rsidR="00B5619E" w:rsidRPr="00920748">
        <w:rPr>
          <w:rFonts w:asciiTheme="minorHAnsi" w:eastAsia="SimSun" w:hAnsiTheme="minorHAnsi"/>
          <w:color w:val="000000"/>
          <w:lang w:eastAsia="zh-CN"/>
        </w:rPr>
        <w:t>Carlos</w:t>
      </w:r>
      <w:r w:rsidR="00B5619E">
        <w:rPr>
          <w:rFonts w:asciiTheme="minorHAnsi" w:eastAsia="SimSun" w:hAnsiTheme="minorHAnsi"/>
          <w:color w:val="000000"/>
          <w:lang w:eastAsia="zh-CN"/>
        </w:rPr>
        <w:t xml:space="preserve"> Peña</w:t>
      </w:r>
      <w:r w:rsidR="00727A3A">
        <w:rPr>
          <w:rFonts w:asciiTheme="minorHAnsi" w:eastAsia="SimSun" w:hAnsiTheme="minorHAnsi"/>
          <w:color w:val="000000"/>
          <w:vertAlign w:val="superscript"/>
          <w:lang w:eastAsia="zh-CN"/>
        </w:rPr>
        <w:t>1</w:t>
      </w:r>
      <w:r w:rsidRPr="00272CBE">
        <w:rPr>
          <w:rFonts w:asciiTheme="minorHAnsi" w:eastAsia="SimSun" w:hAnsiTheme="minorHAnsi"/>
          <w:color w:val="000000"/>
          <w:lang w:eastAsia="zh-CN"/>
        </w:rPr>
        <w:t xml:space="preserve"> </w:t>
      </w:r>
    </w:p>
    <w:p w:rsidR="008626B2" w:rsidRPr="00272CBE" w:rsidRDefault="008626B2" w:rsidP="008626B2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</w:rPr>
      </w:pPr>
      <w:r w:rsidRPr="00A76FF3">
        <w:rPr>
          <w:rFonts w:eastAsia="MS PGothic"/>
          <w:i/>
          <w:iCs/>
          <w:color w:val="000000"/>
          <w:sz w:val="20"/>
          <w:vertAlign w:val="superscript"/>
        </w:rPr>
        <w:t>1</w:t>
      </w:r>
      <w:r w:rsidRPr="00272CBE">
        <w:rPr>
          <w:rFonts w:asciiTheme="minorHAnsi" w:eastAsia="MS PGothic" w:hAnsiTheme="minorHAnsi"/>
          <w:i/>
          <w:iCs/>
          <w:color w:val="000000"/>
          <w:sz w:val="20"/>
        </w:rPr>
        <w:t xml:space="preserve"> Departamento de Ingeniería Celular y Biocatálisis,</w:t>
      </w:r>
      <w:r w:rsidR="00A76FF3" w:rsidRPr="00A76FF3">
        <w:rPr>
          <w:rFonts w:asciiTheme="minorHAnsi" w:eastAsia="MS PGothic" w:hAnsiTheme="minorHAnsi"/>
          <w:i/>
          <w:iCs/>
          <w:color w:val="000000"/>
          <w:sz w:val="20"/>
        </w:rPr>
        <w:t xml:space="preserve"> </w:t>
      </w:r>
      <w:r w:rsidR="00A76FF3" w:rsidRPr="00A76FF3">
        <w:rPr>
          <w:rFonts w:asciiTheme="minorHAnsi" w:eastAsia="MS PGothic" w:hAnsiTheme="minorHAnsi"/>
          <w:i/>
          <w:iCs/>
          <w:color w:val="000000"/>
          <w:sz w:val="20"/>
          <w:vertAlign w:val="superscript"/>
        </w:rPr>
        <w:t>2</w:t>
      </w:r>
      <w:r w:rsidR="00A76FF3">
        <w:rPr>
          <w:rFonts w:asciiTheme="minorHAnsi" w:eastAsia="MS PGothic" w:hAnsiTheme="minorHAnsi"/>
          <w:i/>
          <w:iCs/>
          <w:color w:val="000000"/>
          <w:sz w:val="20"/>
        </w:rPr>
        <w:t xml:space="preserve"> Departamento de Microbiología Molecular, </w:t>
      </w:r>
      <w:r w:rsidRPr="00272CBE">
        <w:rPr>
          <w:rFonts w:asciiTheme="minorHAnsi" w:eastAsia="MS PGothic" w:hAnsiTheme="minorHAnsi"/>
          <w:i/>
          <w:iCs/>
          <w:color w:val="000000"/>
          <w:sz w:val="20"/>
        </w:rPr>
        <w:t>Instituto de Biotecnolo</w:t>
      </w:r>
      <w:r>
        <w:rPr>
          <w:rFonts w:asciiTheme="minorHAnsi" w:eastAsia="MS PGothic" w:hAnsiTheme="minorHAnsi"/>
          <w:i/>
          <w:iCs/>
          <w:color w:val="000000"/>
          <w:sz w:val="20"/>
        </w:rPr>
        <w:t>gía, Universidad Nacional Autónoma de México, Cuernavaca, Mor. 62210, M</w:t>
      </w:r>
      <w:r w:rsidR="00711ADD">
        <w:rPr>
          <w:rFonts w:asciiTheme="minorHAnsi" w:eastAsia="MS PGothic" w:hAnsiTheme="minorHAnsi"/>
          <w:i/>
          <w:iCs/>
          <w:color w:val="000000"/>
          <w:sz w:val="20"/>
        </w:rPr>
        <w:t>é</w:t>
      </w:r>
      <w:r>
        <w:rPr>
          <w:rFonts w:asciiTheme="minorHAnsi" w:eastAsia="MS PGothic" w:hAnsiTheme="minorHAnsi"/>
          <w:i/>
          <w:iCs/>
          <w:color w:val="000000"/>
          <w:sz w:val="20"/>
        </w:rPr>
        <w:t>xico</w:t>
      </w:r>
      <w:r w:rsidR="00A76FF3">
        <w:rPr>
          <w:rFonts w:asciiTheme="minorHAnsi" w:eastAsia="MS PGothic" w:hAnsiTheme="minorHAnsi"/>
          <w:i/>
          <w:iCs/>
          <w:color w:val="000000"/>
          <w:sz w:val="20"/>
        </w:rPr>
        <w:t>.</w:t>
      </w:r>
    </w:p>
    <w:p w:rsidR="00704BDF" w:rsidRPr="008626B2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8626B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8626B2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8626B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5619E" w:rsidRPr="008626B2">
        <w:rPr>
          <w:rFonts w:asciiTheme="minorHAnsi" w:eastAsia="MS PGothic" w:hAnsiTheme="minorHAnsi"/>
          <w:bCs/>
          <w:i/>
          <w:iCs/>
          <w:sz w:val="20"/>
          <w:lang w:val="en-US"/>
        </w:rPr>
        <w:t>carlosf</w:t>
      </w:r>
      <w:r w:rsidRPr="008626B2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272CBE" w:rsidRPr="008626B2">
        <w:rPr>
          <w:rFonts w:asciiTheme="minorHAnsi" w:eastAsia="MS PGothic" w:hAnsiTheme="minorHAnsi"/>
          <w:bCs/>
          <w:i/>
          <w:iCs/>
          <w:sz w:val="20"/>
          <w:lang w:val="en-US"/>
        </w:rPr>
        <w:t>ibt.unam.mx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353C98" w:rsidRPr="00353C98" w:rsidRDefault="00A426C0" w:rsidP="00A426C0">
      <w:pPr>
        <w:pStyle w:val="AbstractBody"/>
        <w:numPr>
          <w:ilvl w:val="0"/>
          <w:numId w:val="16"/>
        </w:num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The </w:t>
      </w:r>
      <w:r w:rsidR="003237EC">
        <w:rPr>
          <w:rFonts w:asciiTheme="minorHAnsi" w:hAnsiTheme="minorHAnsi"/>
        </w:rPr>
        <w:t>MW</w:t>
      </w:r>
      <w:r>
        <w:rPr>
          <w:rFonts w:asciiTheme="minorHAnsi" w:hAnsiTheme="minorHAnsi"/>
        </w:rPr>
        <w:t xml:space="preserve"> of P</w:t>
      </w:r>
      <w:r w:rsidR="00B5619E">
        <w:rPr>
          <w:rFonts w:asciiTheme="minorHAnsi" w:hAnsiTheme="minorHAnsi"/>
        </w:rPr>
        <w:t>3</w:t>
      </w:r>
      <w:r>
        <w:rPr>
          <w:rFonts w:asciiTheme="minorHAnsi" w:hAnsiTheme="minorHAnsi"/>
        </w:rPr>
        <w:t>HB obtained under oxygen limitation was as high as 25</w:t>
      </w:r>
      <w:r w:rsidR="00AD3DB8">
        <w:rPr>
          <w:rFonts w:asciiTheme="minorHAnsi" w:hAnsiTheme="minorHAnsi"/>
        </w:rPr>
        <w:t>,000</w:t>
      </w:r>
      <w:r>
        <w:rPr>
          <w:rFonts w:asciiTheme="minorHAnsi" w:hAnsiTheme="minorHAnsi"/>
        </w:rPr>
        <w:t xml:space="preserve"> </w:t>
      </w:r>
      <w:proofErr w:type="spellStart"/>
      <w:r w:rsidR="00AD3DB8">
        <w:rPr>
          <w:rFonts w:asciiTheme="minorHAnsi" w:hAnsiTheme="minorHAnsi"/>
        </w:rPr>
        <w:t>k</w:t>
      </w:r>
      <w:r>
        <w:rPr>
          <w:rFonts w:asciiTheme="minorHAnsi" w:hAnsiTheme="minorHAnsi"/>
        </w:rPr>
        <w:t>Da</w:t>
      </w:r>
      <w:proofErr w:type="spellEnd"/>
      <w:r>
        <w:rPr>
          <w:rFonts w:asciiTheme="minorHAnsi" w:hAnsiTheme="minorHAnsi"/>
        </w:rPr>
        <w:t>.</w:t>
      </w:r>
    </w:p>
    <w:p w:rsidR="00A426C0" w:rsidRDefault="003237EC" w:rsidP="00A426C0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MW</w:t>
      </w:r>
      <w:r w:rsidR="00A426C0">
        <w:rPr>
          <w:rFonts w:asciiTheme="minorHAnsi" w:hAnsiTheme="minorHAnsi"/>
        </w:rPr>
        <w:t xml:space="preserve"> of P</w:t>
      </w:r>
      <w:r w:rsidR="00B5619E">
        <w:rPr>
          <w:rFonts w:asciiTheme="minorHAnsi" w:hAnsiTheme="minorHAnsi"/>
        </w:rPr>
        <w:t>3</w:t>
      </w:r>
      <w:r w:rsidR="00A426C0">
        <w:rPr>
          <w:rFonts w:asciiTheme="minorHAnsi" w:hAnsiTheme="minorHAnsi"/>
        </w:rPr>
        <w:t>HB increase</w:t>
      </w:r>
      <w:r w:rsidR="00B5619E">
        <w:rPr>
          <w:rFonts w:asciiTheme="minorHAnsi" w:hAnsiTheme="minorHAnsi"/>
        </w:rPr>
        <w:t>d by decreasing</w:t>
      </w:r>
      <w:r w:rsidR="005A5684">
        <w:rPr>
          <w:rFonts w:asciiTheme="minorHAnsi" w:hAnsiTheme="minorHAnsi"/>
        </w:rPr>
        <w:t xml:space="preserve"> the </w:t>
      </w:r>
      <w:proofErr w:type="spellStart"/>
      <w:r w:rsidR="005A5684">
        <w:rPr>
          <w:rFonts w:asciiTheme="minorHAnsi" w:hAnsiTheme="minorHAnsi"/>
        </w:rPr>
        <w:t>OTR</w:t>
      </w:r>
      <w:r w:rsidR="00B5619E">
        <w:rPr>
          <w:rFonts w:asciiTheme="minorHAnsi" w:hAnsiTheme="minorHAnsi"/>
          <w:vertAlign w:val="subscript"/>
        </w:rPr>
        <w:t>max</w:t>
      </w:r>
      <w:proofErr w:type="spellEnd"/>
      <w:r w:rsidR="005A5684">
        <w:rPr>
          <w:rFonts w:asciiTheme="minorHAnsi" w:hAnsiTheme="minorHAnsi"/>
        </w:rPr>
        <w:t xml:space="preserve"> </w:t>
      </w:r>
      <w:r w:rsidR="00B5619E">
        <w:rPr>
          <w:rFonts w:asciiTheme="minorHAnsi" w:hAnsiTheme="minorHAnsi"/>
        </w:rPr>
        <w:t>of the culture.</w:t>
      </w:r>
    </w:p>
    <w:p w:rsidR="00E679F7" w:rsidRPr="00E679F7" w:rsidRDefault="00E679F7" w:rsidP="00E679F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A426C0">
        <w:rPr>
          <w:rFonts w:asciiTheme="minorHAnsi" w:hAnsiTheme="minorHAnsi"/>
          <w:i/>
        </w:rPr>
        <w:t>A. vinelandii</w:t>
      </w:r>
      <w:r>
        <w:rPr>
          <w:rFonts w:asciiTheme="minorHAnsi" w:hAnsiTheme="minorHAnsi"/>
        </w:rPr>
        <w:t xml:space="preserve"> </w:t>
      </w:r>
      <w:proofErr w:type="spellStart"/>
      <w:r w:rsidRPr="000A79F5">
        <w:rPr>
          <w:rFonts w:asciiTheme="minorHAnsi" w:hAnsiTheme="minorHAnsi"/>
          <w:i/>
        </w:rPr>
        <w:t>phb</w:t>
      </w:r>
      <w:r>
        <w:rPr>
          <w:rFonts w:asciiTheme="minorHAnsi" w:hAnsiTheme="minorHAnsi"/>
        </w:rPr>
        <w:t>Z</w:t>
      </w:r>
      <w:proofErr w:type="spellEnd"/>
      <w:r w:rsidRPr="000A79F5">
        <w:rPr>
          <w:rFonts w:asciiTheme="minorHAnsi" w:hAnsiTheme="minorHAnsi"/>
          <w:vertAlign w:val="superscript"/>
        </w:rPr>
        <w:t>-</w:t>
      </w:r>
      <w:r>
        <w:rPr>
          <w:rFonts w:asciiTheme="minorHAnsi" w:hAnsiTheme="minorHAnsi"/>
        </w:rPr>
        <w:t xml:space="preserve"> strain accumulated up to 93</w:t>
      </w:r>
      <w:r w:rsidR="00A76FF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% of intracellular P</w:t>
      </w:r>
      <w:r w:rsidR="00B5619E">
        <w:rPr>
          <w:rFonts w:asciiTheme="minorHAnsi" w:hAnsiTheme="minorHAnsi"/>
        </w:rPr>
        <w:t>3</w:t>
      </w:r>
      <w:r>
        <w:rPr>
          <w:rFonts w:asciiTheme="minorHAnsi" w:hAnsiTheme="minorHAnsi"/>
        </w:rPr>
        <w:t>HB.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435C2" w:rsidRDefault="00A435C2" w:rsidP="00AD3DB8">
      <w:pPr>
        <w:snapToGrid w:val="0"/>
        <w:spacing w:after="12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-3-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hydroxybutyrate (P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HB) is a biopolymer of the </w:t>
      </w:r>
      <w:proofErr w:type="spellStart"/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polyhydroxyalkanoate</w:t>
      </w:r>
      <w:proofErr w:type="spellEnd"/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family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; t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his bioplastic is produced in the form of intracellular inclusions as a carbon and energy reserve</w:t>
      </w:r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bacterium </w:t>
      </w:r>
      <w:r w:rsidRPr="00E2444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Azotobacter vinelandii</w:t>
      </w:r>
      <w:r w:rsidR="00E00765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E00765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P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HB has characteristics similar to those of plastics derived from the petrochemical industry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616A"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Its use has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been 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focused on the biomedicine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field, </w:t>
      </w:r>
      <w:r w:rsidRPr="00A435C2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it is also a totally biodegradable and biocompatible polymer</w:t>
      </w:r>
      <w:r w:rsidR="008E5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616A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[3].</w:t>
      </w:r>
    </w:p>
    <w:p w:rsidR="00704BDF" w:rsidRDefault="00E24446" w:rsidP="00AD3DB8">
      <w:pPr>
        <w:snapToGrid w:val="0"/>
        <w:spacing w:after="12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thermomechanical properties and biodegradability of P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>HB are determined by the molecular weight</w:t>
      </w:r>
      <w:r w:rsidR="0032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(MW)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polymer</w:t>
      </w:r>
      <w:r w:rsidR="000761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="000D513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has been reported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synthesis of the polymer is favored when </w:t>
      </w:r>
      <w:r w:rsidRPr="00E2444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 vinelandii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cultured under 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>oxygen limitation. In rec</w:t>
      </w:r>
      <w:r w:rsidR="000D513A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 studies it has been found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that, at low percentages of oxygen saturation (1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DOT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high molecular weight polymers </w:t>
      </w:r>
      <w:r w:rsidR="00A173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(between 3,500 and 5,500 </w:t>
      </w:r>
      <w:proofErr w:type="spellStart"/>
      <w:r w:rsidR="00A173D1"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 w:rsidR="00A173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Pr="00E24446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produced</w:t>
      </w:r>
      <w:r w:rsidR="000761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73D1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7616A">
        <w:rPr>
          <w:rFonts w:asciiTheme="minorHAnsi" w:eastAsia="MS PGothic" w:hAnsiTheme="minorHAnsi"/>
          <w:color w:val="000000"/>
          <w:sz w:val="22"/>
          <w:szCs w:val="22"/>
          <w:lang w:val="en-US"/>
        </w:rPr>
        <w:t>5].</w:t>
      </w:r>
    </w:p>
    <w:p w:rsidR="004E29F8" w:rsidRPr="00B5619E" w:rsidRDefault="004E29F8" w:rsidP="00AD3DB8">
      <w:pPr>
        <w:snapToGrid w:val="0"/>
        <w:spacing w:after="12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study</w:t>
      </w:r>
      <w:r w:rsidR="000D51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D07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 mutant strains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B5619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 vinelandii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with the ability to produce high molecular weight P3HB were cultured under microaerophilic conditions in bioreactor by using low agitation rates.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6023CA" w:rsidRDefault="006023CA" w:rsidP="00AD3DB8">
      <w:pPr>
        <w:snapToGrid w:val="0"/>
        <w:spacing w:after="12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Strains of </w:t>
      </w:r>
      <w:r w:rsidRPr="00D13B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 vinelandii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(OP and </w:t>
      </w:r>
      <w:proofErr w:type="spellStart"/>
      <w:r w:rsidRPr="00D13B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were grown in PY medium, which contains sucrose (20 g L</w:t>
      </w:r>
      <w:r w:rsidRPr="00D13BB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), yeast extract (3 g L</w:t>
      </w:r>
      <w:r w:rsidRPr="00D13BB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peptone (5 g</w:t>
      </w:r>
      <w:r w:rsidR="00D1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Pr="00D13BB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2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cultures were carried out in a bioreactor using the OP strain as well as the </w:t>
      </w:r>
      <w:proofErr w:type="spellStart"/>
      <w:r w:rsidR="004E29F8" w:rsidRPr="006A00B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phb</w:t>
      </w:r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proofErr w:type="spellEnd"/>
      <w:r w:rsidR="004E29F8" w:rsidRPr="006A00B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 with a work volume of 2 L in </w:t>
      </w:r>
      <w:proofErr w:type="spellStart"/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Applikon</w:t>
      </w:r>
      <w:proofErr w:type="spellEnd"/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3 L bioreactors. Two agitation conditions were used (300 and 500 rpm) with a 1 </w:t>
      </w:r>
      <w:proofErr w:type="spellStart"/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vvm</w:t>
      </w:r>
      <w:proofErr w:type="spellEnd"/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aeration, controlling pH to 7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E29F8">
        <w:rPr>
          <w:rFonts w:asciiTheme="minorHAnsi" w:eastAsia="MS PGothic" w:hAnsiTheme="minorHAnsi"/>
          <w:color w:val="000000"/>
          <w:sz w:val="22"/>
          <w:szCs w:val="22"/>
          <w:lang w:val="en-US"/>
        </w:rPr>
        <w:t>2 and without control of the dissolved oxygen tension.</w:t>
      </w:r>
    </w:p>
    <w:p w:rsidR="00B5619E" w:rsidRDefault="00D13BB2" w:rsidP="00B5619E">
      <w:pPr>
        <w:snapToGrid w:val="0"/>
        <w:spacing w:after="12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Recovery of P3HB was performed as described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previously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15A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[5].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molecular mass analysis was performed by gel permeation chromatography (GPC) using a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Shodex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K-800 column in an HPLC system (Waters 2695, USA) coupled with a refractive index detector (Waters 2414, USA). The mobile phase was chloroform at 30</w:t>
      </w:r>
      <w:r w:rsidR="008E5D68">
        <w:rPr>
          <w:rFonts w:ascii="Calibri" w:eastAsia="MS PGothic" w:hAnsi="Calibri"/>
          <w:color w:val="000000"/>
          <w:sz w:val="22"/>
          <w:szCs w:val="22"/>
          <w:lang w:val="en-US"/>
        </w:rPr>
        <w:t>°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 at a flow rate of 0.7 mL min</w:t>
      </w:r>
      <w:r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A calibration curve was constructed with polyst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rene standards as described in </w:t>
      </w:r>
      <w:r w:rsidR="00915A2B">
        <w:rPr>
          <w:rFonts w:asciiTheme="minorHAnsi" w:eastAsia="MS PGothic" w:hAnsiTheme="minorHAnsi"/>
          <w:color w:val="000000"/>
          <w:sz w:val="22"/>
          <w:szCs w:val="22"/>
          <w:lang w:val="en-US"/>
        </w:rPr>
        <w:t>[5]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Samples were dissolved in chloroform at a concentration of 2-3 mg mL</w:t>
      </w:r>
      <w:r w:rsidRPr="003237E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were filtered through a 0.45 </w:t>
      </w:r>
      <w:r w:rsidRPr="006023CA">
        <w:rPr>
          <w:rFonts w:asciiTheme="minorHAnsi" w:eastAsia="MS PGothic" w:hAnsiTheme="minorHAnsi"/>
          <w:color w:val="000000"/>
          <w:sz w:val="22"/>
          <w:szCs w:val="22"/>
        </w:rPr>
        <w:t>μ</w:t>
      </w:r>
      <w:r w:rsidRPr="00D13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 before being injected into the HPLC. </w:t>
      </w:r>
    </w:p>
    <w:p w:rsidR="008626B2" w:rsidRDefault="008626B2" w:rsidP="00B5619E">
      <w:pPr>
        <w:snapToGrid w:val="0"/>
        <w:spacing w:after="120"/>
        <w:jc w:val="both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:rsidR="00E679F7" w:rsidRPr="00B5619E" w:rsidRDefault="00704BDF" w:rsidP="00B5619E">
      <w:pPr>
        <w:snapToGrid w:val="0"/>
        <w:spacing w:after="12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E679F7" w:rsidRPr="00E679F7" w:rsidRDefault="004E29F8" w:rsidP="00AD3DB8">
      <w:pPr>
        <w:tabs>
          <w:tab w:val="right" w:pos="7100"/>
        </w:tabs>
        <w:snapToGrid w:val="0"/>
        <w:spacing w:line="264" w:lineRule="auto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</w:t>
      </w:r>
      <w:r w:rsid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mean molecular weight (MMW)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P3HB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from the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cultures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 at 300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500 rpm are presented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Figure </w:t>
      </w:r>
      <w:r w:rsid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1. 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MMW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HB increased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significantly in the cultures carried out at </w:t>
      </w:r>
      <w:proofErr w:type="spellStart"/>
      <w:r w:rsidR="008E5D68">
        <w:rPr>
          <w:rFonts w:asciiTheme="minorHAnsi" w:eastAsia="MS PGothic" w:hAnsiTheme="minorHAnsi"/>
          <w:color w:val="000000"/>
          <w:sz w:val="22"/>
          <w:szCs w:val="22"/>
          <w:lang w:val="en-US"/>
        </w:rPr>
        <w:t>OTR</w:t>
      </w:r>
      <w:r w:rsidR="00E679F7" w:rsidRPr="00A1442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5 mmol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A1442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A1442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B5619E">
        <w:rPr>
          <w:rFonts w:asciiTheme="minorHAnsi" w:eastAsia="MS PGothic" w:hAnsiTheme="minorHAnsi"/>
          <w:color w:val="000000"/>
          <w:sz w:val="22"/>
          <w:szCs w:val="22"/>
          <w:lang w:val="en-US"/>
        </w:rPr>
        <w:t>22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25,000 </w:t>
      </w:r>
      <w:proofErr w:type="spellStart"/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with both strains</w:t>
      </w:r>
      <w:r w:rsidR="00DF6DD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respect to the MMW reached in the cultures developed at 8 and 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11 mmol L</w:t>
      </w:r>
      <w:r w:rsidR="008E5D6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8E5D68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E679F7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obtaining a P3HB between 15,000-16,000 </w:t>
      </w:r>
      <w:proofErr w:type="spellStart"/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1).</w:t>
      </w:r>
    </w:p>
    <w:p w:rsidR="002F2AA0" w:rsidRDefault="00B86935" w:rsidP="00AD3DB8">
      <w:pPr>
        <w:snapToGrid w:val="0"/>
        <w:jc w:val="both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initial accumulation of P3HB in the cells was around 50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both strains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as the culture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evolved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accumulation of P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HB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increased , reaching 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32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with respect to </w:t>
      </w:r>
      <w:r w:rsidR="003237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cell </w:t>
      </w:r>
      <w:r w:rsidRPr="00B8693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biomass</w:t>
      </w:r>
      <w:r w:rsid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proofErr w:type="spellStart"/>
      <w:r w:rsidR="00E679F7" w:rsidRPr="00E679F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phb</w:t>
      </w:r>
      <w:r w:rsid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proofErr w:type="spellEnd"/>
      <w:r w:rsidR="00E679F7" w:rsidRPr="00E679F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 and 89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% for the OP strain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cultured at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>OTR</w:t>
      </w:r>
      <w:r w:rsidR="00DF6DD7" w:rsidRPr="00DF6DD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="00DF6D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8 and 11 mmol </w:t>
      </w:r>
      <w:r w:rsidR="006D0C14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6D0C1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6D0C14" w:rsidRPr="00E679F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6D0C1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A144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</w:p>
    <w:p w:rsidR="002253A6" w:rsidRPr="002253A6" w:rsidRDefault="00C565F0" w:rsidP="002253A6">
      <w:pPr>
        <w:snapToGrid w:val="0"/>
        <w:jc w:val="both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C565F0">
        <w:rPr>
          <w:noProof/>
          <w:sz w:val="15"/>
          <w:szCs w:val="15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810481</wp:posOffset>
            </wp:positionH>
            <wp:positionV relativeFrom="paragraph">
              <wp:posOffset>91302</wp:posOffset>
            </wp:positionV>
            <wp:extent cx="5034845" cy="1783645"/>
            <wp:effectExtent l="0" t="0" r="0" b="762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51BC88-91F7-CD4C-BDBD-945FBC2960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04BDF" w:rsidRDefault="00704BDF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C565F0" w:rsidRDefault="00C565F0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C565F0" w:rsidRDefault="00C565F0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C565F0" w:rsidRDefault="00C565F0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C565F0" w:rsidRDefault="00C565F0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C565F0" w:rsidRDefault="00C565F0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C565F0" w:rsidRPr="00C565F0" w:rsidRDefault="00C565F0" w:rsidP="004505B4">
      <w:pPr>
        <w:snapToGrid w:val="0"/>
        <w:spacing w:after="120"/>
        <w:rPr>
          <w:rFonts w:asciiTheme="minorHAnsi" w:eastAsia="MS PGothic" w:hAnsiTheme="minorHAnsi"/>
          <w:color w:val="000000"/>
          <w:lang w:val="en-US"/>
        </w:rPr>
      </w:pPr>
    </w:p>
    <w:p w:rsidR="003237EC" w:rsidRPr="002253A6" w:rsidRDefault="003237EC" w:rsidP="002253A6">
      <w:pPr>
        <w:snapToGrid w:val="0"/>
        <w:spacing w:after="120"/>
        <w:ind w:left="680" w:hanging="680"/>
        <w:jc w:val="both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Mean molecular weight of P</w:t>
      </w:r>
      <w:r w:rsidR="006D0C14">
        <w:rPr>
          <w:rFonts w:asciiTheme="minorHAnsi" w:eastAsia="MS PGothic" w:hAnsiTheme="minorHAnsi"/>
          <w:color w:val="000000"/>
          <w:sz w:val="18"/>
          <w:szCs w:val="18"/>
          <w:lang w:val="en-US"/>
        </w:rPr>
        <w:t>3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HB produced by OP and </w:t>
      </w:r>
      <w:proofErr w:type="spellStart"/>
      <w:r w:rsidR="008E5D68" w:rsidRPr="008E5D68">
        <w:rPr>
          <w:rFonts w:asciiTheme="minorHAnsi" w:eastAsia="MS PGothic" w:hAnsiTheme="minorHAnsi"/>
          <w:i/>
          <w:color w:val="000000"/>
          <w:sz w:val="18"/>
          <w:szCs w:val="18"/>
          <w:lang w:val="en-US"/>
        </w:rPr>
        <w:t>phb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Z</w:t>
      </w:r>
      <w:proofErr w:type="spellEnd"/>
      <w:r w:rsidR="008E5D68" w:rsidRPr="008E5D68">
        <w:rPr>
          <w:rFonts w:asciiTheme="minorHAnsi" w:eastAsia="MS PGothic" w:hAnsiTheme="minorHAnsi"/>
          <w:color w:val="000000"/>
          <w:sz w:val="18"/>
          <w:szCs w:val="18"/>
          <w:vertAlign w:val="superscript"/>
          <w:lang w:val="en-US"/>
        </w:rPr>
        <w:t xml:space="preserve">- 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strain at </w:t>
      </w:r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500 rpm</w:t>
      </w:r>
      <w:r w:rsidR="006D0C14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(</w:t>
      </w:r>
      <w:proofErr w:type="spellStart"/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O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TR</w:t>
      </w:r>
      <w:r w:rsidRPr="008E5D68">
        <w:rPr>
          <w:rFonts w:asciiTheme="minorHAnsi" w:eastAsia="MS PGothic" w:hAnsiTheme="minorHAnsi"/>
          <w:color w:val="000000"/>
          <w:sz w:val="18"/>
          <w:szCs w:val="18"/>
          <w:vertAlign w:val="subscript"/>
          <w:lang w:val="en-US"/>
        </w:rPr>
        <w:t>max</w:t>
      </w:r>
      <w:proofErr w:type="spellEnd"/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of 8- 11</w:t>
      </w:r>
      <w:r w:rsidR="00DF6DD7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</w:t>
      </w:r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mmol L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vertAlign w:val="superscript"/>
          <w:lang w:val="en-US"/>
        </w:rPr>
        <w:t>-1</w:t>
      </w:r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h</w:t>
      </w:r>
      <w:r w:rsidRPr="008E5D68">
        <w:rPr>
          <w:rFonts w:asciiTheme="minorHAnsi" w:eastAsia="MS PGothic" w:hAnsiTheme="minorHAnsi"/>
          <w:color w:val="000000"/>
          <w:sz w:val="18"/>
          <w:szCs w:val="18"/>
          <w:vertAlign w:val="superscript"/>
          <w:lang w:val="en-US"/>
        </w:rPr>
        <w:t>-1</w:t>
      </w:r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) and 300 rpm </w:t>
      </w:r>
      <w:r w:rsidR="006D0C14">
        <w:rPr>
          <w:rFonts w:asciiTheme="minorHAnsi" w:eastAsia="MS PGothic" w:hAnsiTheme="minorHAnsi"/>
          <w:color w:val="000000"/>
          <w:sz w:val="18"/>
          <w:szCs w:val="18"/>
          <w:lang w:val="en-US"/>
        </w:rPr>
        <w:t>(</w:t>
      </w:r>
      <w:proofErr w:type="spellStart"/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O</w:t>
      </w:r>
      <w:r w:rsidR="008E5D68"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>TR</w:t>
      </w:r>
      <w:r w:rsidRPr="008E5D68">
        <w:rPr>
          <w:rFonts w:asciiTheme="minorHAnsi" w:eastAsia="MS PGothic" w:hAnsiTheme="minorHAnsi"/>
          <w:color w:val="000000"/>
          <w:sz w:val="18"/>
          <w:szCs w:val="18"/>
          <w:vertAlign w:val="subscript"/>
          <w:lang w:val="en-US"/>
        </w:rPr>
        <w:t>max</w:t>
      </w:r>
      <w:proofErr w:type="spellEnd"/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of 5 mmol L</w:t>
      </w:r>
      <w:r w:rsidRPr="008E5D68">
        <w:rPr>
          <w:rFonts w:asciiTheme="minorHAnsi" w:eastAsia="MS PGothic" w:hAnsiTheme="minorHAnsi"/>
          <w:color w:val="000000"/>
          <w:sz w:val="18"/>
          <w:szCs w:val="18"/>
          <w:vertAlign w:val="superscript"/>
          <w:lang w:val="en-US"/>
        </w:rPr>
        <w:t>-1</w:t>
      </w:r>
      <w:r w:rsidRPr="008E5D68">
        <w:rPr>
          <w:rFonts w:asciiTheme="minorHAnsi" w:eastAsia="MS PGothic" w:hAnsiTheme="minorHAnsi"/>
          <w:color w:val="000000"/>
          <w:sz w:val="18"/>
          <w:szCs w:val="18"/>
          <w:lang w:val="en-US"/>
        </w:rPr>
        <w:t xml:space="preserve"> h</w:t>
      </w:r>
      <w:r w:rsidRPr="008E5D68">
        <w:rPr>
          <w:rFonts w:asciiTheme="minorHAnsi" w:eastAsia="MS PGothic" w:hAnsiTheme="minorHAnsi"/>
          <w:color w:val="000000"/>
          <w:sz w:val="18"/>
          <w:szCs w:val="18"/>
          <w:vertAlign w:val="superscript"/>
          <w:lang w:val="en-US"/>
        </w:rPr>
        <w:t>-1</w:t>
      </w:r>
      <w:r w:rsidR="006D0C14">
        <w:rPr>
          <w:rFonts w:asciiTheme="minorHAnsi" w:eastAsia="MS PGothic" w:hAnsiTheme="minorHAnsi"/>
          <w:color w:val="000000"/>
          <w:sz w:val="18"/>
          <w:szCs w:val="18"/>
          <w:lang w:val="en-US"/>
        </w:rPr>
        <w:t>).</w:t>
      </w:r>
    </w:p>
    <w:p w:rsidR="00A14425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D3DB8" w:rsidRPr="00AD3DB8" w:rsidRDefault="00AD3DB8" w:rsidP="00AD3DB8">
      <w:pPr>
        <w:pStyle w:val="Prrafodelista"/>
        <w:numPr>
          <w:ilvl w:val="0"/>
          <w:numId w:val="18"/>
        </w:numPr>
        <w:tabs>
          <w:tab w:val="right" w:pos="7100"/>
        </w:tabs>
        <w:snapToGrid w:val="0"/>
        <w:spacing w:line="264" w:lineRule="auto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Microaerophilic conditions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promote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of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P3HB with ultra-high </w:t>
      </w:r>
      <w:r w:rsidR="00DF6D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molecular weight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bioreactor cultures using </w:t>
      </w:r>
      <w:r w:rsidRPr="002253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A. vinelandii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strains OP and </w:t>
      </w:r>
      <w:proofErr w:type="spellStart"/>
      <w:r w:rsidRPr="002253A6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phb</w:t>
      </w:r>
      <w:r w:rsidRPr="002253A6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proofErr w:type="spellEnd"/>
      <w:r w:rsidRPr="002253A6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A14425" w:rsidRPr="008626B2" w:rsidRDefault="002253A6" w:rsidP="008626B2">
      <w:pPr>
        <w:pStyle w:val="Prrafodelista"/>
        <w:numPr>
          <w:ilvl w:val="0"/>
          <w:numId w:val="18"/>
        </w:numPr>
        <w:snapToGrid w:val="0"/>
        <w:jc w:val="both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 is an inverse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relationship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P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HB accumulation and the molecular weight of the polymer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finding that at high </w:t>
      </w:r>
      <w:proofErr w:type="spellStart"/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OTR</w:t>
      </w:r>
      <w:r w:rsidR="006D0C1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both strains accumulate a high percentage of P3HB (90</w:t>
      </w:r>
      <w:r w:rsidR="00DF6D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%), but with a lower molecular weight (15,000 </w:t>
      </w:r>
      <w:proofErr w:type="spellStart"/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>kDa</w:t>
      </w:r>
      <w:proofErr w:type="spellEnd"/>
      <w:r w:rsidR="006D0C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than that obtained at low </w:t>
      </w:r>
      <w:proofErr w:type="spellStart"/>
      <w:r w:rsidR="00A14425" w:rsidRPr="002253A6">
        <w:rPr>
          <w:rFonts w:asciiTheme="minorHAnsi" w:eastAsia="MS PGothic" w:hAnsiTheme="minorHAnsi"/>
          <w:color w:val="000000"/>
          <w:sz w:val="22"/>
          <w:szCs w:val="22"/>
          <w:lang w:val="en-US"/>
        </w:rPr>
        <w:t>OTR</w:t>
      </w:r>
      <w:r w:rsidR="00A14425" w:rsidRPr="002253A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max</w:t>
      </w:r>
      <w:proofErr w:type="spellEnd"/>
      <w:r w:rsidR="008626B2" w:rsidRP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D0C14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 the accumulation was lower, 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and 70</w:t>
      </w:r>
      <w:r w:rsidR="00DF6DD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respectively with the OP 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proofErr w:type="spellStart"/>
      <w:r w:rsidR="00815DAD" w:rsidRPr="008626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phb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proofErr w:type="spellEnd"/>
      <w:r w:rsidR="00815DAD" w:rsidRPr="008626B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strain; however, 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molecular weight reached up to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25</w:t>
      </w:r>
      <w:r w:rsidR="00AD3DB8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,000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D3DB8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Da</w:t>
      </w:r>
      <w:proofErr w:type="spellEnd"/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OP strain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2</w:t>
      </w:r>
      <w:r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AD3DB8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,000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D3DB8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A14425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Da</w:t>
      </w:r>
      <w:proofErr w:type="spellEnd"/>
      <w:r w:rsidR="004505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with 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815DAD" w:rsidRPr="008626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phb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Z</w:t>
      </w:r>
      <w:proofErr w:type="spellEnd"/>
      <w:r w:rsidR="00815DAD" w:rsidRPr="008626B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 xml:space="preserve">- </w:t>
      </w:r>
      <w:r w:rsidR="00815DAD" w:rsidRPr="00862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strain.</w:t>
      </w:r>
    </w:p>
    <w:p w:rsidR="00A14425" w:rsidRPr="00A14425" w:rsidRDefault="002253A6" w:rsidP="00AD3DB8">
      <w:pPr>
        <w:snapToGrid w:val="0"/>
        <w:spacing w:before="240" w:line="300" w:lineRule="auto"/>
        <w:jc w:val="both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0854" w:rsidRPr="00AD3DB8" w:rsidRDefault="00700854" w:rsidP="00700854">
      <w:pPr>
        <w:widowControl w:val="0"/>
        <w:autoSpaceDE w:val="0"/>
        <w:autoSpaceDN w:val="0"/>
        <w:adjustRightInd w:val="0"/>
        <w:ind w:left="340" w:hanging="340"/>
        <w:rPr>
          <w:rFonts w:asciiTheme="minorHAnsi" w:hAnsiTheme="minorHAnsi"/>
          <w:noProof/>
          <w:sz w:val="20"/>
          <w:szCs w:val="20"/>
          <w:lang w:val="en-US"/>
        </w:rPr>
      </w:pPr>
      <w:r w:rsidRPr="00A76FF3">
        <w:rPr>
          <w:rFonts w:asciiTheme="minorHAnsi" w:eastAsia="SimSun" w:hAnsiTheme="minorHAnsi"/>
          <w:sz w:val="20"/>
          <w:szCs w:val="20"/>
          <w:lang w:val="en-US" w:eastAsia="zh-CN"/>
        </w:rPr>
        <w:t>[1]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 Chen, G. Q., &amp; Wang, Y. (2013). Medical applications of biopolyesters polyhydroxyalkanoates.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n-US"/>
        </w:rPr>
        <w:t>Chinese Journal of Polymer Science (English Edition)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,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n-US"/>
        </w:rPr>
        <w:t>31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>(5), 719–736.</w:t>
      </w:r>
    </w:p>
    <w:p w:rsidR="00700854" w:rsidRPr="00AD3DB8" w:rsidRDefault="00700854" w:rsidP="00AD3DB8">
      <w:pPr>
        <w:ind w:left="284" w:hanging="284"/>
        <w:rPr>
          <w:rFonts w:asciiTheme="minorHAnsi" w:hAnsiTheme="minorHAnsi"/>
          <w:sz w:val="20"/>
          <w:szCs w:val="20"/>
          <w:lang w:val="en-US"/>
        </w:rPr>
      </w:pPr>
      <w:r w:rsidRPr="00A76FF3">
        <w:rPr>
          <w:rFonts w:asciiTheme="minorHAnsi" w:eastAsia="SimSun" w:hAnsiTheme="minorHAnsi"/>
          <w:sz w:val="20"/>
          <w:szCs w:val="20"/>
          <w:lang w:val="en-US" w:eastAsia="zh-CN"/>
        </w:rPr>
        <w:t>[2]</w:t>
      </w:r>
      <w:r w:rsidRPr="00A76FF3">
        <w:rPr>
          <w:rFonts w:asciiTheme="minorHAnsi" w:hAnsiTheme="minorHAnsi"/>
          <w:noProof/>
          <w:sz w:val="20"/>
          <w:szCs w:val="20"/>
          <w:lang w:val="en-US"/>
        </w:rPr>
        <w:t xml:space="preserve"> Domínguez-Díaz, M., Meneses-Acosta, A., Romo-Uribe, A., Peña, C., Segura, D., &amp; Espin, G. (2015).</w:t>
      </w:r>
      <w:r w:rsidR="00AD3DB8" w:rsidRPr="00A76FF3">
        <w:rPr>
          <w:rFonts w:asciiTheme="minorHAnsi" w:hAnsiTheme="minorHAnsi"/>
          <w:noProof/>
          <w:sz w:val="20"/>
          <w:szCs w:val="20"/>
          <w:lang w:val="en-US"/>
        </w:rPr>
        <w:t xml:space="preserve">    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>Thermo-mechanical properties, microstructure and biocompatibility in poly</w:t>
      </w:r>
      <w:r w:rsidR="00AD3DB8" w:rsidRPr="00AD3DB8">
        <w:rPr>
          <w:rFonts w:asciiTheme="minorHAnsi" w:hAnsiTheme="minorHAnsi"/>
          <w:noProof/>
          <w:sz w:val="20"/>
          <w:szCs w:val="20"/>
          <w:lang w:val="en-US"/>
        </w:rPr>
        <w:t>-b-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hydroxybutyrates (PHB) produced by OP and OPN strains </w:t>
      </w:r>
      <w:r w:rsidRPr="00AD3DB8">
        <w:rPr>
          <w:rFonts w:asciiTheme="minorHAnsi" w:hAnsiTheme="minorHAnsi"/>
          <w:i/>
          <w:noProof/>
          <w:sz w:val="20"/>
          <w:szCs w:val="20"/>
          <w:lang w:val="en-US"/>
        </w:rPr>
        <w:t>of Azotobacter vinelandii</w:t>
      </w:r>
      <w:r w:rsidR="00815DAD">
        <w:rPr>
          <w:rFonts w:asciiTheme="minorHAnsi" w:hAnsiTheme="minorHAnsi"/>
          <w:i/>
          <w:noProof/>
          <w:sz w:val="20"/>
          <w:szCs w:val="20"/>
          <w:lang w:val="en-US"/>
        </w:rPr>
        <w:t>. European Polymer Journal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>,</w:t>
      </w:r>
      <w:r w:rsidR="00815DAD">
        <w:rPr>
          <w:rFonts w:asciiTheme="minorHAnsi" w:hAnsiTheme="minorHAnsi"/>
          <w:noProof/>
          <w:sz w:val="20"/>
          <w:szCs w:val="20"/>
          <w:lang w:val="en-US"/>
        </w:rPr>
        <w:t xml:space="preserve">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n-US"/>
        </w:rPr>
        <w:t>63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>, 101–112.</w:t>
      </w:r>
    </w:p>
    <w:p w:rsidR="00700854" w:rsidRPr="00AD3DB8" w:rsidRDefault="00700854" w:rsidP="00700854">
      <w:pPr>
        <w:widowControl w:val="0"/>
        <w:autoSpaceDE w:val="0"/>
        <w:autoSpaceDN w:val="0"/>
        <w:adjustRightInd w:val="0"/>
        <w:ind w:left="340" w:hanging="340"/>
        <w:rPr>
          <w:rFonts w:asciiTheme="minorHAnsi" w:hAnsiTheme="minorHAnsi"/>
          <w:noProof/>
          <w:sz w:val="20"/>
          <w:szCs w:val="20"/>
          <w:lang w:val="es-ES_tradnl"/>
        </w:rPr>
      </w:pP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[3] Iwata, T. (2005). Strong fibers and films of microbial polyesters.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s-ES_tradnl"/>
        </w:rPr>
        <w:t>Macromolecular Bioscience</w:t>
      </w:r>
      <w:r w:rsidRPr="00AD3DB8">
        <w:rPr>
          <w:rFonts w:asciiTheme="minorHAnsi" w:hAnsiTheme="minorHAnsi"/>
          <w:noProof/>
          <w:sz w:val="20"/>
          <w:szCs w:val="20"/>
          <w:lang w:val="es-ES_tradnl"/>
        </w:rPr>
        <w:t xml:space="preserve">,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s-ES_tradnl"/>
        </w:rPr>
        <w:t>5</w:t>
      </w:r>
      <w:r w:rsidRPr="00AD3DB8">
        <w:rPr>
          <w:rFonts w:asciiTheme="minorHAnsi" w:hAnsiTheme="minorHAnsi"/>
          <w:noProof/>
          <w:sz w:val="20"/>
          <w:szCs w:val="20"/>
          <w:lang w:val="es-ES_tradnl"/>
        </w:rPr>
        <w:t>(8), 689–701.</w:t>
      </w:r>
    </w:p>
    <w:p w:rsidR="00700854" w:rsidRPr="00A76FF3" w:rsidRDefault="00700854" w:rsidP="00700854">
      <w:pPr>
        <w:widowControl w:val="0"/>
        <w:autoSpaceDE w:val="0"/>
        <w:autoSpaceDN w:val="0"/>
        <w:adjustRightInd w:val="0"/>
        <w:ind w:left="340" w:hanging="340"/>
        <w:rPr>
          <w:rFonts w:asciiTheme="minorHAnsi" w:hAnsiTheme="minorHAnsi"/>
          <w:noProof/>
          <w:sz w:val="20"/>
          <w:szCs w:val="20"/>
          <w:lang w:val="en-US"/>
        </w:rPr>
      </w:pPr>
      <w:r w:rsidRPr="00AD3DB8">
        <w:rPr>
          <w:rFonts w:asciiTheme="minorHAnsi" w:hAnsiTheme="minorHAnsi"/>
          <w:noProof/>
          <w:sz w:val="20"/>
          <w:szCs w:val="20"/>
          <w:lang w:val="es-ES_tradnl"/>
        </w:rPr>
        <w:t xml:space="preserve">[4] Millán, M., Salazar, M., Segura, D., Castillo, T., Díaz-Barrera, Á., &amp; Peña, C. (2017). 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Molecular mass of Poly-3-hydroxybutyrate (P3HB) produced by </w:t>
      </w:r>
      <w:r w:rsidRPr="00AD3DB8">
        <w:rPr>
          <w:rFonts w:asciiTheme="minorHAnsi" w:hAnsiTheme="minorHAnsi"/>
          <w:i/>
          <w:noProof/>
          <w:sz w:val="20"/>
          <w:szCs w:val="20"/>
          <w:lang w:val="en-US"/>
        </w:rPr>
        <w:t>Azotobacter vinelandii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 is influenced by the polymer content in the inoculum. </w:t>
      </w:r>
      <w:r w:rsidRPr="00A76FF3">
        <w:rPr>
          <w:rFonts w:asciiTheme="minorHAnsi" w:hAnsiTheme="minorHAnsi"/>
          <w:i/>
          <w:iCs/>
          <w:noProof/>
          <w:sz w:val="20"/>
          <w:szCs w:val="20"/>
          <w:lang w:val="en-US"/>
        </w:rPr>
        <w:t>Journal of Biotechnology</w:t>
      </w:r>
      <w:r w:rsidRPr="00A76FF3">
        <w:rPr>
          <w:rFonts w:asciiTheme="minorHAnsi" w:hAnsiTheme="minorHAnsi"/>
          <w:noProof/>
          <w:sz w:val="20"/>
          <w:szCs w:val="20"/>
          <w:lang w:val="en-US"/>
        </w:rPr>
        <w:t xml:space="preserve">, </w:t>
      </w:r>
      <w:r w:rsidRPr="00A76FF3">
        <w:rPr>
          <w:rFonts w:asciiTheme="minorHAnsi" w:hAnsiTheme="minorHAnsi"/>
          <w:i/>
          <w:iCs/>
          <w:noProof/>
          <w:sz w:val="20"/>
          <w:szCs w:val="20"/>
          <w:lang w:val="en-US"/>
        </w:rPr>
        <w:t>259</w:t>
      </w:r>
      <w:r w:rsidRPr="00A76FF3">
        <w:rPr>
          <w:rFonts w:asciiTheme="minorHAnsi" w:hAnsiTheme="minorHAnsi"/>
          <w:noProof/>
          <w:sz w:val="20"/>
          <w:szCs w:val="20"/>
          <w:lang w:val="en-US"/>
        </w:rPr>
        <w:t>, 50–55.</w:t>
      </w:r>
    </w:p>
    <w:p w:rsidR="00704BDF" w:rsidRPr="00AD3DB8" w:rsidRDefault="00700854" w:rsidP="00700854">
      <w:pPr>
        <w:widowControl w:val="0"/>
        <w:autoSpaceDE w:val="0"/>
        <w:autoSpaceDN w:val="0"/>
        <w:adjustRightInd w:val="0"/>
        <w:ind w:left="340" w:hanging="340"/>
        <w:rPr>
          <w:rFonts w:asciiTheme="minorHAnsi" w:hAnsiTheme="minorHAnsi"/>
          <w:noProof/>
          <w:sz w:val="20"/>
          <w:szCs w:val="20"/>
          <w:lang w:val="es-ES_tradnl" w:eastAsia="en-US"/>
        </w:rPr>
      </w:pPr>
      <w:r w:rsidRPr="00A76FF3">
        <w:rPr>
          <w:rFonts w:asciiTheme="minorHAnsi" w:hAnsiTheme="minorHAnsi"/>
          <w:noProof/>
          <w:sz w:val="20"/>
          <w:szCs w:val="20"/>
          <w:lang w:val="en-US"/>
        </w:rPr>
        <w:t xml:space="preserve">[5] Peña, C., Castillo, T., García, A., Millán, M., &amp; Segura, D. (2014). </w:t>
      </w:r>
      <w:r w:rsidRPr="00AD3DB8">
        <w:rPr>
          <w:rFonts w:asciiTheme="minorHAnsi" w:hAnsiTheme="minorHAnsi"/>
          <w:noProof/>
          <w:sz w:val="20"/>
          <w:szCs w:val="20"/>
          <w:lang w:val="en-US"/>
        </w:rPr>
        <w:t xml:space="preserve">Biotechnological strategies to improve production of microbial poly-(3-hydroxybutyrate): A review of recent research work.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s-ES_tradnl"/>
        </w:rPr>
        <w:t>Microbial Biotechnology</w:t>
      </w:r>
      <w:r w:rsidRPr="00AD3DB8">
        <w:rPr>
          <w:rFonts w:asciiTheme="minorHAnsi" w:hAnsiTheme="minorHAnsi"/>
          <w:noProof/>
          <w:sz w:val="20"/>
          <w:szCs w:val="20"/>
          <w:lang w:val="es-ES_tradnl"/>
        </w:rPr>
        <w:t xml:space="preserve">, </w:t>
      </w:r>
      <w:r w:rsidRPr="00AD3DB8">
        <w:rPr>
          <w:rFonts w:asciiTheme="minorHAnsi" w:hAnsiTheme="minorHAnsi"/>
          <w:i/>
          <w:iCs/>
          <w:noProof/>
          <w:sz w:val="20"/>
          <w:szCs w:val="20"/>
          <w:lang w:val="es-ES_tradnl"/>
        </w:rPr>
        <w:t>7</w:t>
      </w:r>
      <w:r w:rsidRPr="00AD3DB8">
        <w:rPr>
          <w:rFonts w:asciiTheme="minorHAnsi" w:hAnsiTheme="minorHAnsi"/>
          <w:noProof/>
          <w:sz w:val="20"/>
          <w:szCs w:val="20"/>
          <w:lang w:val="es-ES_tradnl"/>
        </w:rPr>
        <w:t>(4), 278–293.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bookmarkStart w:id="0" w:name="_GoBack"/>
      <w:bookmarkEnd w:id="0"/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891" w:rsidRDefault="00354891" w:rsidP="004F5E36">
      <w:r>
        <w:separator/>
      </w:r>
    </w:p>
  </w:endnote>
  <w:endnote w:type="continuationSeparator" w:id="0">
    <w:p w:rsidR="00354891" w:rsidRDefault="0035489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891" w:rsidRDefault="00354891" w:rsidP="004F5E36">
      <w:r>
        <w:separator/>
      </w:r>
    </w:p>
  </w:footnote>
  <w:footnote w:type="continuationSeparator" w:id="0">
    <w:p w:rsidR="00354891" w:rsidRDefault="0035489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FF3">
      <w:rPr>
        <w:b/>
        <w:i/>
        <w:color w:val="8A046D"/>
        <w:sz w:val="28"/>
        <w:szCs w:val="28"/>
        <w:lang w:val="en-US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lang w:val="en-US"/>
      </w:rPr>
      <w:t>ECAB 5</w:t>
    </w:r>
    <w:r w:rsidRPr="004F563B">
      <w:rPr>
        <w:rFonts w:asciiTheme="minorHAnsi" w:hAnsiTheme="minorHAnsi"/>
        <w:b/>
        <w:i/>
        <w:color w:val="7030A0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lang w:val="en-US"/>
      </w:rPr>
      <w:t>5</w:t>
    </w:r>
    <w:r w:rsidRPr="004F563B">
      <w:rPr>
        <w:rFonts w:asciiTheme="minorHAnsi" w:hAnsiTheme="minorHAnsi"/>
        <w:b/>
        <w:i/>
        <w:color w:val="7030A0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lang w:val="en-US"/>
      </w:rPr>
      <w:t>9</w:t>
    </w:r>
  </w:p>
  <w:p w:rsidR="00704BDF" w:rsidRPr="00A76FF3" w:rsidRDefault="00704BDF">
    <w:pPr>
      <w:pStyle w:val="Encabezado"/>
      <w:rPr>
        <w:lang w:val="en-US"/>
      </w:rPr>
    </w:pPr>
  </w:p>
  <w:p w:rsidR="00704BDF" w:rsidRDefault="00704B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855AB"/>
    <w:multiLevelType w:val="hybridMultilevel"/>
    <w:tmpl w:val="4956C8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6571"/>
    <w:rsid w:val="00062A9A"/>
    <w:rsid w:val="0007616A"/>
    <w:rsid w:val="00086F13"/>
    <w:rsid w:val="000A03B2"/>
    <w:rsid w:val="000A79F5"/>
    <w:rsid w:val="000D34BE"/>
    <w:rsid w:val="000D513A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E2462"/>
    <w:rsid w:val="001F2EC7"/>
    <w:rsid w:val="001F4EC9"/>
    <w:rsid w:val="002065DB"/>
    <w:rsid w:val="002159FA"/>
    <w:rsid w:val="002253A6"/>
    <w:rsid w:val="002339FD"/>
    <w:rsid w:val="002447EF"/>
    <w:rsid w:val="00251550"/>
    <w:rsid w:val="0027221A"/>
    <w:rsid w:val="00272CBE"/>
    <w:rsid w:val="00275B61"/>
    <w:rsid w:val="002D1F12"/>
    <w:rsid w:val="002F2AA0"/>
    <w:rsid w:val="003009B7"/>
    <w:rsid w:val="0030469C"/>
    <w:rsid w:val="00306F9B"/>
    <w:rsid w:val="003237EC"/>
    <w:rsid w:val="00353C98"/>
    <w:rsid w:val="00354891"/>
    <w:rsid w:val="003723D4"/>
    <w:rsid w:val="003A7D1C"/>
    <w:rsid w:val="004505B4"/>
    <w:rsid w:val="004556B6"/>
    <w:rsid w:val="0046164A"/>
    <w:rsid w:val="00462DCD"/>
    <w:rsid w:val="004D1162"/>
    <w:rsid w:val="004E29F8"/>
    <w:rsid w:val="004E4DD6"/>
    <w:rsid w:val="004F563B"/>
    <w:rsid w:val="004F5E36"/>
    <w:rsid w:val="005119A5"/>
    <w:rsid w:val="005278B7"/>
    <w:rsid w:val="005346C8"/>
    <w:rsid w:val="00556EA8"/>
    <w:rsid w:val="00594E9F"/>
    <w:rsid w:val="005A5684"/>
    <w:rsid w:val="005B61E6"/>
    <w:rsid w:val="005C77E1"/>
    <w:rsid w:val="005D6A2F"/>
    <w:rsid w:val="005E1A82"/>
    <w:rsid w:val="005F0A28"/>
    <w:rsid w:val="005F0E5E"/>
    <w:rsid w:val="006023CA"/>
    <w:rsid w:val="00620DEE"/>
    <w:rsid w:val="00625639"/>
    <w:rsid w:val="0063354C"/>
    <w:rsid w:val="006366F8"/>
    <w:rsid w:val="0064184D"/>
    <w:rsid w:val="00660E3E"/>
    <w:rsid w:val="00662E74"/>
    <w:rsid w:val="006A00B3"/>
    <w:rsid w:val="006B01AC"/>
    <w:rsid w:val="006C5579"/>
    <w:rsid w:val="006D0C14"/>
    <w:rsid w:val="00700854"/>
    <w:rsid w:val="00704BDF"/>
    <w:rsid w:val="00705A07"/>
    <w:rsid w:val="00711ADD"/>
    <w:rsid w:val="00727A3A"/>
    <w:rsid w:val="00736B13"/>
    <w:rsid w:val="007447F3"/>
    <w:rsid w:val="007661C8"/>
    <w:rsid w:val="007D070E"/>
    <w:rsid w:val="007D52CD"/>
    <w:rsid w:val="00813288"/>
    <w:rsid w:val="00815DAD"/>
    <w:rsid w:val="008168FC"/>
    <w:rsid w:val="008479A2"/>
    <w:rsid w:val="008626B2"/>
    <w:rsid w:val="0087637F"/>
    <w:rsid w:val="008A1512"/>
    <w:rsid w:val="008B5AF4"/>
    <w:rsid w:val="008D0BEB"/>
    <w:rsid w:val="008E566E"/>
    <w:rsid w:val="008E5D68"/>
    <w:rsid w:val="00901EB6"/>
    <w:rsid w:val="00915A2B"/>
    <w:rsid w:val="00920748"/>
    <w:rsid w:val="009450CE"/>
    <w:rsid w:val="0095164B"/>
    <w:rsid w:val="00996483"/>
    <w:rsid w:val="009E788A"/>
    <w:rsid w:val="00A14425"/>
    <w:rsid w:val="00A173D1"/>
    <w:rsid w:val="00A1763D"/>
    <w:rsid w:val="00A17CEC"/>
    <w:rsid w:val="00A27EF0"/>
    <w:rsid w:val="00A426C0"/>
    <w:rsid w:val="00A435C2"/>
    <w:rsid w:val="00A76EFC"/>
    <w:rsid w:val="00A76FF3"/>
    <w:rsid w:val="00A97F29"/>
    <w:rsid w:val="00AB0964"/>
    <w:rsid w:val="00AD3DB8"/>
    <w:rsid w:val="00AE377D"/>
    <w:rsid w:val="00B11836"/>
    <w:rsid w:val="00B5619E"/>
    <w:rsid w:val="00B61DBF"/>
    <w:rsid w:val="00B66665"/>
    <w:rsid w:val="00B86935"/>
    <w:rsid w:val="00BC30C9"/>
    <w:rsid w:val="00BE3E58"/>
    <w:rsid w:val="00C01616"/>
    <w:rsid w:val="00C0162B"/>
    <w:rsid w:val="00C345B1"/>
    <w:rsid w:val="00C40142"/>
    <w:rsid w:val="00C4251F"/>
    <w:rsid w:val="00C565F0"/>
    <w:rsid w:val="00C57182"/>
    <w:rsid w:val="00C655FD"/>
    <w:rsid w:val="00C94434"/>
    <w:rsid w:val="00CA1C95"/>
    <w:rsid w:val="00CA5A9C"/>
    <w:rsid w:val="00CC3F4B"/>
    <w:rsid w:val="00CD5FE2"/>
    <w:rsid w:val="00D02B4C"/>
    <w:rsid w:val="00D13BB2"/>
    <w:rsid w:val="00D32BB2"/>
    <w:rsid w:val="00D64AD4"/>
    <w:rsid w:val="00D84576"/>
    <w:rsid w:val="00DE0019"/>
    <w:rsid w:val="00DE264A"/>
    <w:rsid w:val="00DE6450"/>
    <w:rsid w:val="00DF6DD7"/>
    <w:rsid w:val="00E00765"/>
    <w:rsid w:val="00E041E7"/>
    <w:rsid w:val="00E23CA1"/>
    <w:rsid w:val="00E24446"/>
    <w:rsid w:val="00E409A8"/>
    <w:rsid w:val="00E47211"/>
    <w:rsid w:val="00E679F7"/>
    <w:rsid w:val="00E7209D"/>
    <w:rsid w:val="00EA50E1"/>
    <w:rsid w:val="00EE0131"/>
    <w:rsid w:val="00F15739"/>
    <w:rsid w:val="00F30C64"/>
    <w:rsid w:val="00FB05E3"/>
    <w:rsid w:val="00FB337D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D4A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qFormat/>
    <w:rsid w:val="00AD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A1442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locked/>
    <w:rsid w:val="00AD3D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\elsagomez\Documents\Maestri&#769;a\PM%20F4%20y%20F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1"/>
          <c:order val="0"/>
          <c:tx>
            <c:v>300 rpm OP strain</c:v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002060"/>
              </a:solidFill>
              <a:ln>
                <a:noFill/>
              </a:ln>
            </c:spPr>
          </c:marker>
          <c:trendline>
            <c:spPr>
              <a:ln>
                <a:noFill/>
                <a:prstDash val="lgDash"/>
              </a:ln>
            </c:spPr>
            <c:trendlineType val="movingAvg"/>
            <c:period val="2"/>
            <c:dispRSqr val="0"/>
            <c:dispEq val="0"/>
          </c:trendline>
          <c:xVal>
            <c:numRef>
              <c:f>'F8 PM'!$W$24:$W$39</c:f>
              <c:numCache>
                <c:formatCode>General</c:formatCode>
                <c:ptCount val="16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34</c:v>
                </c:pt>
                <c:pt idx="9">
                  <c:v>40</c:v>
                </c:pt>
                <c:pt idx="10">
                  <c:v>46</c:v>
                </c:pt>
                <c:pt idx="11">
                  <c:v>52</c:v>
                </c:pt>
                <c:pt idx="12">
                  <c:v>58</c:v>
                </c:pt>
                <c:pt idx="13">
                  <c:v>64</c:v>
                </c:pt>
                <c:pt idx="14">
                  <c:v>70</c:v>
                </c:pt>
                <c:pt idx="15">
                  <c:v>72</c:v>
                </c:pt>
              </c:numCache>
            </c:numRef>
          </c:xVal>
          <c:yVal>
            <c:numRef>
              <c:f>'F8 PM'!$AA$24:$AA$39</c:f>
              <c:numCache>
                <c:formatCode>General</c:formatCode>
                <c:ptCount val="16"/>
                <c:pt idx="3" formatCode="0">
                  <c:v>22323.96</c:v>
                </c:pt>
                <c:pt idx="6" formatCode="0">
                  <c:v>23890.734</c:v>
                </c:pt>
                <c:pt idx="10" formatCode="0">
                  <c:v>25422.425499999998</c:v>
                </c:pt>
                <c:pt idx="15" formatCode="0">
                  <c:v>24919.856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995-F943-A7D1-2CDB22A46B0E}"/>
            </c:ext>
          </c:extLst>
        </c:ser>
        <c:ser>
          <c:idx val="2"/>
          <c:order val="1"/>
          <c:tx>
            <c:v>300 rpm phbZ- strain </c:v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2600"/>
              </a:solidFill>
              <a:ln>
                <a:noFill/>
              </a:ln>
            </c:spPr>
          </c:marker>
          <c:trendline>
            <c:spPr>
              <a:ln>
                <a:noFill/>
                <a:prstDash val="lgDash"/>
              </a:ln>
            </c:spPr>
            <c:trendlineType val="movingAvg"/>
            <c:period val="2"/>
            <c:dispRSqr val="0"/>
            <c:dispEq val="0"/>
          </c:trendline>
          <c:xVal>
            <c:numRef>
              <c:f>'F9 PM'!$X$2:$X$17</c:f>
              <c:numCache>
                <c:formatCode>General</c:formatCode>
                <c:ptCount val="16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34</c:v>
                </c:pt>
                <c:pt idx="9">
                  <c:v>40</c:v>
                </c:pt>
                <c:pt idx="10">
                  <c:v>46</c:v>
                </c:pt>
                <c:pt idx="11">
                  <c:v>52</c:v>
                </c:pt>
                <c:pt idx="12">
                  <c:v>58</c:v>
                </c:pt>
                <c:pt idx="13">
                  <c:v>64</c:v>
                </c:pt>
                <c:pt idx="14">
                  <c:v>70</c:v>
                </c:pt>
                <c:pt idx="15">
                  <c:v>72</c:v>
                </c:pt>
              </c:numCache>
            </c:numRef>
          </c:xVal>
          <c:yVal>
            <c:numRef>
              <c:f>'F9 PM'!$AB$2:$AB$17</c:f>
              <c:numCache>
                <c:formatCode>General</c:formatCode>
                <c:ptCount val="16"/>
                <c:pt idx="3" formatCode="0">
                  <c:v>19676.398999999998</c:v>
                </c:pt>
                <c:pt idx="6" formatCode="0">
                  <c:v>21162.936000000002</c:v>
                </c:pt>
                <c:pt idx="10" formatCode="0">
                  <c:v>22749.5965</c:v>
                </c:pt>
                <c:pt idx="14" formatCode="0">
                  <c:v>22229.758999999998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0995-F943-A7D1-2CDB22A46B0E}"/>
            </c:ext>
          </c:extLst>
        </c:ser>
        <c:ser>
          <c:idx val="0"/>
          <c:order val="2"/>
          <c:tx>
            <c:v>500 rpm OP strain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9525">
                <a:noFill/>
              </a:ln>
              <a:effectLst/>
            </c:spPr>
          </c:marker>
          <c:trendline>
            <c:spPr>
              <a:ln>
                <a:noFill/>
                <a:prstDash val="lgDash"/>
              </a:ln>
            </c:spPr>
            <c:trendlineType val="movingAvg"/>
            <c:period val="2"/>
            <c:dispRSqr val="0"/>
            <c:dispEq val="0"/>
          </c:trendline>
          <c:xVal>
            <c:numRef>
              <c:f>'F4 PM'!$Y$2:$Y$11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xVal>
          <c:yVal>
            <c:numRef>
              <c:f>'F4 PM'!$AC$2:$AC$11</c:f>
              <c:numCache>
                <c:formatCode>General</c:formatCode>
                <c:ptCount val="10"/>
                <c:pt idx="3" formatCode="0">
                  <c:v>13474.771000000001</c:v>
                </c:pt>
                <c:pt idx="6" formatCode="0">
                  <c:v>13501.538</c:v>
                </c:pt>
                <c:pt idx="9" formatCode="0">
                  <c:v>15190.126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0995-F943-A7D1-2CDB22A46B0E}"/>
            </c:ext>
          </c:extLst>
        </c:ser>
        <c:ser>
          <c:idx val="3"/>
          <c:order val="3"/>
          <c:tx>
            <c:v>500 rpm phbZ- strain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941100"/>
              </a:solidFill>
              <a:ln>
                <a:noFill/>
              </a:ln>
            </c:spPr>
          </c:marker>
          <c:trendline>
            <c:spPr>
              <a:ln>
                <a:noFill/>
                <a:prstDash val="lgDash"/>
              </a:ln>
            </c:spPr>
            <c:trendlineType val="movingAvg"/>
            <c:period val="2"/>
            <c:dispRSqr val="0"/>
            <c:dispEq val="0"/>
          </c:trendline>
          <c:xVal>
            <c:numRef>
              <c:f>'F5 PM'!$W$2:$W$11</c:f>
              <c:numCache>
                <c:formatCode>General</c:formatCode>
                <c:ptCount val="10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  <c:pt idx="4">
                  <c:v>16</c:v>
                </c:pt>
                <c:pt idx="5">
                  <c:v>20</c:v>
                </c:pt>
                <c:pt idx="6">
                  <c:v>24</c:v>
                </c:pt>
                <c:pt idx="7">
                  <c:v>28</c:v>
                </c:pt>
                <c:pt idx="8">
                  <c:v>32</c:v>
                </c:pt>
                <c:pt idx="9">
                  <c:v>36</c:v>
                </c:pt>
              </c:numCache>
            </c:numRef>
          </c:xVal>
          <c:yVal>
            <c:numRef>
              <c:f>'F5 PM'!$AA$2:$AA$11</c:f>
              <c:numCache>
                <c:formatCode>General</c:formatCode>
                <c:ptCount val="10"/>
                <c:pt idx="3" formatCode="0">
                  <c:v>14979.82</c:v>
                </c:pt>
                <c:pt idx="6" formatCode="0">
                  <c:v>15511.691000000001</c:v>
                </c:pt>
                <c:pt idx="9" formatCode="0">
                  <c:v>15850.473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0995-F943-A7D1-2CDB22A46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1805280"/>
        <c:axId val="351806400"/>
      </c:scatterChart>
      <c:valAx>
        <c:axId val="3518052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>
                    <a:solidFill>
                      <a:schemeClr val="tx1"/>
                    </a:solidFill>
                  </a:rPr>
                  <a:t>Cultivation</a:t>
                </a:r>
                <a:r>
                  <a:rPr lang="es-ES_tradnl" baseline="0">
                    <a:solidFill>
                      <a:schemeClr val="tx1"/>
                    </a:solidFill>
                  </a:rPr>
                  <a:t> time (h)</a:t>
                </a:r>
                <a:endParaRPr lang="es-ES_tradnl">
                  <a:solidFill>
                    <a:schemeClr val="tx1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1806400"/>
        <c:crosses val="autoZero"/>
        <c:crossBetween val="midCat"/>
      </c:valAx>
      <c:valAx>
        <c:axId val="351806400"/>
        <c:scaling>
          <c:orientation val="minMax"/>
          <c:min val="1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_tradnl">
                    <a:solidFill>
                      <a:schemeClr val="tx1"/>
                    </a:solidFill>
                  </a:rPr>
                  <a:t>Mean</a:t>
                </a:r>
                <a:r>
                  <a:rPr lang="es-ES_tradnl" baseline="0">
                    <a:solidFill>
                      <a:schemeClr val="tx1"/>
                    </a:solidFill>
                  </a:rPr>
                  <a:t> Molecular Weight </a:t>
                </a:r>
                <a:r>
                  <a:rPr lang="es-ES_tradnl">
                    <a:solidFill>
                      <a:schemeClr val="tx1"/>
                    </a:solidFill>
                  </a:rPr>
                  <a:t> (kDa)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#,##0" sourceLinked="0"/>
        <c:majorTickMark val="cross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1805280"/>
        <c:crosses val="autoZero"/>
        <c:crossBetween val="midCat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66159364591339997"/>
          <c:y val="0.16067269470658033"/>
          <c:w val="0.33840627398210738"/>
          <c:h val="0.6716613948897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2C2E-CF31-2F4F-9B58-354399B0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Elsa Gómez Hernández</cp:lastModifiedBy>
  <cp:revision>3</cp:revision>
  <cp:lastPrinted>2015-05-12T18:31:00Z</cp:lastPrinted>
  <dcterms:created xsi:type="dcterms:W3CDTF">2019-01-14T23:33:00Z</dcterms:created>
  <dcterms:modified xsi:type="dcterms:W3CDTF">2019-01-14T23:34:00Z</dcterms:modified>
</cp:coreProperties>
</file>