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20FB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820FBF">
        <w:rPr>
          <w:rFonts w:asciiTheme="minorHAnsi" w:eastAsia="MS PGothic" w:hAnsiTheme="minorHAnsi"/>
          <w:b/>
          <w:bCs/>
          <w:sz w:val="28"/>
          <w:szCs w:val="28"/>
          <w:lang w:val="en-US"/>
        </w:rPr>
        <w:t>Nanofiltration removal of perfluorohexanoic acid: the rol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 of salts concentration and pH</w:t>
      </w:r>
    </w:p>
    <w:p w:rsidR="00DE0019" w:rsidRPr="00CE1451" w:rsidRDefault="00CE1451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CE14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Álvaro Soriano</w:t>
      </w:r>
      <w:r w:rsidR="00736B13" w:rsidRPr="00CE14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CE14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Daniel Gorri, </w:t>
      </w:r>
      <w:r w:rsidRPr="00CE1451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Ane Urtiaga</w:t>
      </w:r>
      <w:r w:rsidR="00DE0019" w:rsidRPr="00CE1451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05F36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="00CE1451" w:rsidRPr="00CE14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and Biomolecular Engineering, University of Cantabria. Av. Los </w:t>
      </w:r>
      <w:proofErr w:type="spellStart"/>
      <w:r w:rsidR="00CE1451" w:rsidRPr="00CE14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Castros</w:t>
      </w:r>
      <w:proofErr w:type="spellEnd"/>
      <w:r w:rsidR="00CE1451" w:rsidRPr="00CE14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46, Santander 39005,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65296F" w:rsidRPr="0065296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="0065296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65296F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65296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E145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urtiaga@unican.es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0E451E" w:rsidRDefault="000E451E" w:rsidP="000E451E">
      <w:pPr>
        <w:pStyle w:val="Prrafodelista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The removal of PFHxA from industrial process waters by t</w:t>
      </w:r>
      <w:r w:rsidR="00696437" w:rsidRPr="000E451E">
        <w:rPr>
          <w:rFonts w:asciiTheme="minorHAnsi" w:hAnsiTheme="minorHAnsi"/>
          <w:sz w:val="20"/>
          <w:lang w:val="en-US"/>
        </w:rPr>
        <w:t xml:space="preserve">wo NF membranes </w:t>
      </w:r>
      <w:proofErr w:type="gramStart"/>
      <w:r w:rsidR="00696437" w:rsidRPr="000E451E">
        <w:rPr>
          <w:rFonts w:asciiTheme="minorHAnsi" w:hAnsiTheme="minorHAnsi"/>
          <w:sz w:val="20"/>
          <w:lang w:val="en-US"/>
        </w:rPr>
        <w:t>w</w:t>
      </w:r>
      <w:r>
        <w:rPr>
          <w:rFonts w:asciiTheme="minorHAnsi" w:hAnsiTheme="minorHAnsi"/>
          <w:sz w:val="20"/>
          <w:lang w:val="en-US"/>
        </w:rPr>
        <w:t>as studied</w:t>
      </w:r>
      <w:proofErr w:type="gramEnd"/>
      <w:r>
        <w:rPr>
          <w:rFonts w:asciiTheme="minorHAnsi" w:hAnsiTheme="minorHAnsi"/>
          <w:sz w:val="20"/>
          <w:lang w:val="en-US"/>
        </w:rPr>
        <w:t>.</w:t>
      </w:r>
    </w:p>
    <w:p w:rsidR="00704BDF" w:rsidRPr="00EC66CC" w:rsidRDefault="006964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Excellent PFHxA rejection and </w:t>
      </w:r>
      <w:r w:rsidR="000E451E">
        <w:rPr>
          <w:rFonts w:asciiTheme="minorHAnsi" w:hAnsiTheme="minorHAnsi"/>
        </w:rPr>
        <w:t>intermediate</w:t>
      </w:r>
      <w:r>
        <w:rPr>
          <w:rFonts w:asciiTheme="minorHAnsi" w:hAnsiTheme="minorHAnsi"/>
        </w:rPr>
        <w:t xml:space="preserve"> fluxes when treating </w:t>
      </w:r>
      <w:r w:rsidR="000E451E">
        <w:rPr>
          <w:rFonts w:asciiTheme="minorHAnsi" w:hAnsiTheme="minorHAnsi"/>
        </w:rPr>
        <w:t>model</w:t>
      </w:r>
      <w:r>
        <w:rPr>
          <w:rFonts w:asciiTheme="minorHAnsi" w:hAnsiTheme="minorHAnsi"/>
        </w:rPr>
        <w:t xml:space="preserve"> PFHxA solutions</w:t>
      </w:r>
      <w:r w:rsidR="000E451E">
        <w:rPr>
          <w:rFonts w:asciiTheme="minorHAnsi" w:hAnsiTheme="minorHAnsi"/>
        </w:rPr>
        <w:t xml:space="preserve"> </w:t>
      </w:r>
      <w:proofErr w:type="gramStart"/>
      <w:r w:rsidR="000E451E">
        <w:rPr>
          <w:rFonts w:asciiTheme="minorHAnsi" w:hAnsiTheme="minorHAnsi"/>
        </w:rPr>
        <w:t>were observed</w:t>
      </w:r>
      <w:proofErr w:type="gramEnd"/>
      <w:r w:rsidR="00704BDF" w:rsidRPr="00EC66CC">
        <w:rPr>
          <w:rFonts w:asciiTheme="minorHAnsi" w:hAnsiTheme="minorHAnsi"/>
        </w:rPr>
        <w:t xml:space="preserve">. </w:t>
      </w:r>
    </w:p>
    <w:p w:rsidR="00704BDF" w:rsidRPr="004F21FF" w:rsidRDefault="00696437" w:rsidP="004F21F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Presence of salts in the water matrix severely decreased PFHxA rejection.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E52DF" w:rsidRDefault="00CB2C7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Perfluoroalkyl substances (PFASs) are a family of </w:t>
      </w:r>
      <w:proofErr w:type="gramStart"/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man-made</w:t>
      </w:r>
      <w:proofErr w:type="gramEnd"/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organic compounds classified as persistent organic pollutants due to their </w:t>
      </w:r>
      <w:r w:rsidR="009A72F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recalcitrance in the environment and their high bioaccumulation potential</w:t>
      </w:r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these reasons,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="00390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manufacturers are </w:t>
      </w:r>
      <w:r w:rsidR="0039068C"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progressively</w:t>
      </w:r>
      <w:r w:rsidR="00390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replacing</w:t>
      </w:r>
      <w:r w:rsidR="00390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regulated long-chain PFASs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6:2 fluorotelomers </w:t>
      </w:r>
      <w:r w:rsidR="009A72FA" w:rsidRPr="009A72F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shorter-chain perfluoroalkyl homologues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71D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pe</w:t>
      </w:r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2D71DA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fluorohexanoic acid (PFHxA)</w:t>
      </w:r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71D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hand, PFHxA</w:t>
      </w:r>
      <w:r w:rsid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</w:t>
      </w:r>
      <w:r w:rsidR="002D71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</w:t>
      </w:r>
      <w:r w:rsid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a 6:2 fluorotelomer alcohol biodegradation product</w:t>
      </w:r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80A0D" w:rsidRP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F89" w:rsidRP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80A0D" w:rsidRP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ncreasing production of </w:t>
      </w:r>
      <w:r w:rsidR="002D71D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substitutive compounds</w:t>
      </w:r>
      <w:r w:rsidR="00780A0D" w:rsidRP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leading</w:t>
      </w:r>
      <w:r w:rsidR="00780A0D" w:rsidRP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rising concentrati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ons of</w:t>
      </w:r>
      <w:r w:rsidR="00BA1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persistent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PFHxA in the environment.</w:t>
      </w:r>
      <w:r w:rsidR="00780A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67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conventional </w:t>
      </w:r>
      <w:proofErr w:type="gramStart"/>
      <w:r w:rsidR="00A76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wastewater</w:t>
      </w:r>
      <w:proofErr w:type="gramEnd"/>
      <w:r w:rsidR="00A767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treatments are ineffective in PFASs treatment, current research efforts 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focused on separation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(nanofiltration (NF), reverse osmosis and adsorption)</w:t>
      </w:r>
      <w:r w:rsidRPr="00CB2C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</w:t>
      </w:r>
      <w:r w:rsidR="00A76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dvanced oxidation technologies.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most of the studies focus on already phased-out long-chain PFASs at very low concentrations.</w:t>
      </w:r>
      <w:r w:rsidR="00A767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Treatment of industrial process streams, that constitute the major source of PFASs </w:t>
      </w:r>
      <w:r w:rsid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emissions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environment</w:t>
      </w:r>
      <w:r w:rsid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rarely studied. </w:t>
      </w:r>
      <w:r w:rsidR="00F8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Hence, this work studies the separation of PFHxA by nanofiltration at industrial emission levels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CE52DF" w:rsidP="004F21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PFHxA (C</w:t>
      </w:r>
      <w:r w:rsidRP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P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11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COOH) molecular weight is 314.05 g </w:t>
      </w:r>
      <w:r w:rsidRP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r w:rsidRPr="000D7E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P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Accordingly,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NF commercial membranes, ESNA1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LF and ESNA1-LF2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Hydranautics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recommended for water softening and pesticides removal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selected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FE1C9D" w:rsidRP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>NF membranes</w:t>
      </w:r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FE1C9D" w:rsidRP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proofErr w:type="gramEnd"/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</w:t>
      </w:r>
      <w:r w:rsidR="00FE1C9D" w:rsidRP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>PFHxA</w:t>
      </w:r>
      <w:r w:rsidR="00FE1C9D" w:rsidRP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rejection and permeate flux</w:t>
      </w:r>
      <w:r w:rsid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E1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pressure range 2.5-20 bar</w:t>
      </w:r>
      <w:r w:rsid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flat-sheet membrane coupons </w:t>
      </w:r>
      <w:proofErr w:type="gramStart"/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housed</w:t>
      </w:r>
      <w:proofErr w:type="gramEnd"/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cross-flow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filtration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 cell (SEPA-CF, GE </w:t>
      </w:r>
      <w:proofErr w:type="spellStart"/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Osmonics</w:t>
      </w:r>
      <w:proofErr w:type="spellEnd"/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feed solution</w:t>
      </w:r>
      <w:r w:rsidR="000D7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maintained at constant temperature</w:t>
      </w:r>
      <w:r w:rsid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(20</w:t>
      </w:r>
      <w:r w:rsidR="004F21F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 w:rsid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>C)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jacketed tank connected to a refrigeratio</w:t>
      </w:r>
      <w:r w:rsidR="000D7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 system and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7EA9" w:rsidRPr="000D7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cross-flow v</w:t>
      </w:r>
      <w:r w:rsidR="000D7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elocity was kept at 24.7 cm s</w:t>
      </w:r>
      <w:r w:rsidR="000D7EA9" w:rsidRPr="000D7E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98769D" w:rsidRPr="009876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variable-speed diaphragm pump. 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types of feed samples were prepared: (</w:t>
      </w:r>
      <w:proofErr w:type="spellStart"/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 mg L</w:t>
      </w:r>
      <w:r w:rsidR="004F2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PFHxA aqueous solutions at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neutral pH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(ii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) model solutions to emulate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salts content of 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 process waters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100 mg L</w:t>
      </w:r>
      <w:r w:rsidR="004F2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PFHxA, 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36 mg L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575 mg L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CaSO</w:t>
      </w:r>
      <w:r w:rsidR="004F21FF" w:rsidRPr="007C70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98 mg L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NaHCO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at pH = 7.8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4F21FF" w:rsidRP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± 0.</w:t>
      </w:r>
      <w:r w:rsidR="004F21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1. </w:t>
      </w:r>
      <w:r w:rsidR="007C7055" w:rsidRPr="007C70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PFHxA </w:t>
      </w:r>
      <w:proofErr w:type="gramStart"/>
      <w:r w:rsidR="007C70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7C7055" w:rsidRPr="007C7055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quantified</w:t>
      </w:r>
      <w:proofErr w:type="gramEnd"/>
      <w:r w:rsidR="007C7055" w:rsidRPr="007C70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UPLC-MS/MS</w:t>
      </w:r>
      <w:r w:rsidR="007C70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0E451E" w:rsidRPr="004F21FF" w:rsidRDefault="000E451E" w:rsidP="004F21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983E7F" w:rsidRDefault="00EA0BB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shows t</w:t>
      </w:r>
      <w:r w:rsidR="00F9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2B6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 of the water matrix on the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PFHxA</w:t>
      </w:r>
      <w:r w:rsidR="002B63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rejection (</w:t>
      </w:r>
      <w:r w:rsidR="002B6385" w:rsidRPr="002B638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</w:t>
      </w:r>
      <w:r w:rsidR="002B6385" w:rsidRPr="002B6385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obs</w:t>
      </w:r>
      <w:r w:rsidR="002B6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9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</w:t>
      </w:r>
      <w:r w:rsidR="002B6385" w:rsidRPr="002B6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volumetric flux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983E7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J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b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oth membranes</w:t>
      </w:r>
      <w:r w:rsidR="000E451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PFHxA rejection </w:t>
      </w:r>
      <w:proofErr w:type="gramStart"/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severely affected</w:t>
      </w:r>
      <w:proofErr w:type="gramEnd"/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chemistry of th</w:t>
      </w:r>
      <w:r w:rsidR="00D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e solution while the permeability remained reasonably constant.</w:t>
      </w:r>
      <w:r w:rsidR="00983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Whilst </w:t>
      </w:r>
      <w:r w:rsidR="00123F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high PFHxA rejection values were obtained </w:t>
      </w:r>
      <w:r w:rsidR="00975C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treating</w:t>
      </w:r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3F6C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pure PFHxA aqueous solutions (ESNA1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123F6C">
        <w:rPr>
          <w:rFonts w:asciiTheme="minorHAnsi" w:eastAsia="MS PGothic" w:hAnsiTheme="minorHAnsi"/>
          <w:color w:val="000000"/>
          <w:sz w:val="22"/>
          <w:szCs w:val="22"/>
          <w:lang w:val="en-US"/>
        </w:rPr>
        <w:t>LF: 96.1 – 99%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; ESNA1-</w:t>
      </w:r>
      <w:r w:rsidR="00123F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LF2: 95.4 – 97.9%), the presence of salts considerably </w:t>
      </w:r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reduced</w:t>
      </w:r>
      <w:r w:rsidR="00123F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rejection performance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(ESNA1-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LF: 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67.2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70.4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%; ESNA1- LF2: 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70.2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</w:t>
      </w:r>
      <w:r w:rsidR="001E0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76.5</w:t>
      </w:r>
      <w:r w:rsidR="00204C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%). </w:t>
      </w:r>
      <w:r w:rsidR="00AF09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could be attributed to </w:t>
      </w:r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high counter-ion concentration in the feed side of the membranes that could </w:t>
      </w:r>
      <w:r w:rsidR="00BE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induce</w:t>
      </w:r>
      <w:r w:rsidR="00AF0909" w:rsidRPr="00AF09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shielding effect on the </w:t>
      </w:r>
      <w:proofErr w:type="gramStart"/>
      <w:r w:rsidR="00AF0909" w:rsidRPr="00AF0909">
        <w:rPr>
          <w:rFonts w:asciiTheme="minorHAnsi" w:eastAsia="MS PGothic" w:hAnsiTheme="minorHAnsi"/>
          <w:color w:val="000000"/>
          <w:sz w:val="22"/>
          <w:szCs w:val="22"/>
          <w:lang w:val="en-US"/>
        </w:rPr>
        <w:t>negatively-charged</w:t>
      </w:r>
      <w:proofErr w:type="gramEnd"/>
      <w:r w:rsidR="00AF0909" w:rsidRPr="00AF09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of </w:t>
      </w:r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two NF membranes. Thus, the diminished electrostatic repulsion between the charged NF membranes surface and the </w:t>
      </w:r>
      <w:proofErr w:type="spellStart"/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perfluorohexanoate</w:t>
      </w:r>
      <w:proofErr w:type="spellEnd"/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 of PFHxA in solution at neutral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proofErr w:type="gramEnd"/>
      <w:r w:rsidR="004D6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would leave the steric-exclusion role as the dominant separation mechanism.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4B359A" w:rsidTr="004B359A">
        <w:tc>
          <w:tcPr>
            <w:tcW w:w="4388" w:type="dxa"/>
          </w:tcPr>
          <w:p w:rsidR="00F7564F" w:rsidRPr="00845ACC" w:rsidRDefault="00F96743" w:rsidP="004B359A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s-ES" w:eastAsia="es-ES"/>
              </w:rPr>
              <w:drawing>
                <wp:inline distT="0" distB="0" distL="0" distR="0" wp14:anchorId="66D4FF3C" wp14:editId="14507FBC">
                  <wp:extent cx="2090652" cy="1494000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652" cy="149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F7564F" w:rsidRDefault="00845ACC" w:rsidP="004B359A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s-ES" w:eastAsia="es-ES"/>
              </w:rPr>
              <w:drawing>
                <wp:inline distT="0" distB="0" distL="0" distR="0" wp14:anchorId="36A5D3B0">
                  <wp:extent cx="2093022" cy="1494000"/>
                  <wp:effectExtent l="0" t="0" r="254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22" cy="149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BDF" w:rsidRPr="009921DC" w:rsidRDefault="00704BDF" w:rsidP="009921D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>(</w:t>
      </w:r>
      <w:proofErr w:type="gramStart"/>
      <w:r w:rsidR="009921DC">
        <w:rPr>
          <w:rFonts w:asciiTheme="minorHAnsi" w:eastAsia="MS PGothic" w:hAnsiTheme="minorHAnsi"/>
          <w:color w:val="000000"/>
          <w:szCs w:val="18"/>
          <w:lang w:val="en-US"/>
        </w:rPr>
        <w:t>a</w:t>
      </w:r>
      <w:proofErr w:type="gramEnd"/>
      <w:r w:rsidR="009921DC">
        <w:rPr>
          <w:rFonts w:asciiTheme="minorHAnsi" w:eastAsia="MS PGothic" w:hAnsiTheme="minorHAnsi"/>
          <w:color w:val="000000"/>
          <w:szCs w:val="18"/>
          <w:lang w:val="en-US"/>
        </w:rPr>
        <w:t>):</w:t>
      </w:r>
      <w:r w:rsidRPr="00DE0019">
        <w:rPr>
          <w:rFonts w:asciiTheme="minorHAnsi" w:hAnsiTheme="minorHAnsi"/>
          <w:lang w:val="en-US"/>
        </w:rPr>
        <w:t xml:space="preserve"> </w:t>
      </w:r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>PFHxA observed rejection (</w:t>
      </w:r>
      <w:r w:rsidR="009921DC" w:rsidRPr="009921DC">
        <w:rPr>
          <w:rFonts w:asciiTheme="minorHAnsi" w:eastAsia="MS PGothic" w:hAnsiTheme="minorHAnsi"/>
          <w:i/>
          <w:color w:val="000000"/>
          <w:szCs w:val="18"/>
          <w:lang w:val="en-US"/>
        </w:rPr>
        <w:t>R</w:t>
      </w:r>
      <w:r w:rsidR="009921DC" w:rsidRPr="009921DC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obs</w:t>
      </w:r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 xml:space="preserve">and 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 xml:space="preserve">(b): </w:t>
      </w:r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>water flux (</w:t>
      </w:r>
      <w:proofErr w:type="spellStart"/>
      <w:r w:rsidR="009921DC" w:rsidRPr="009921DC">
        <w:rPr>
          <w:rFonts w:asciiTheme="minorHAnsi" w:eastAsia="MS PGothic" w:hAnsiTheme="minorHAnsi"/>
          <w:i/>
          <w:color w:val="000000"/>
          <w:szCs w:val="18"/>
          <w:lang w:val="en-US"/>
        </w:rPr>
        <w:t>J</w:t>
      </w:r>
      <w:r w:rsidR="009921DC" w:rsidRPr="009921DC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v</w:t>
      </w:r>
      <w:proofErr w:type="spellEnd"/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>) versus the effective pressure gradient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>. 100 mg L</w:t>
      </w:r>
      <w:r w:rsidR="009921DC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 xml:space="preserve">-1 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>of pure PFHxA aqueous solutions and PFHxA s</w:t>
      </w:r>
      <w:r w:rsidR="009921DC" w:rsidRPr="009921DC">
        <w:rPr>
          <w:rFonts w:asciiTheme="minorHAnsi" w:eastAsia="MS PGothic" w:hAnsiTheme="minorHAnsi"/>
          <w:color w:val="000000"/>
          <w:szCs w:val="18"/>
          <w:lang w:val="en-US"/>
        </w:rPr>
        <w:t>ynthetic process water feed</w:t>
      </w:r>
      <w:r w:rsidR="009921DC">
        <w:rPr>
          <w:rFonts w:asciiTheme="minorHAnsi" w:eastAsia="MS PGothic" w:hAnsiTheme="minorHAnsi"/>
          <w:color w:val="000000"/>
          <w:szCs w:val="18"/>
          <w:lang w:val="en-US"/>
        </w:rPr>
        <w:t xml:space="preserve"> with salts.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0B4C4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nanofiltration membranes (ESNA1-LF and ESNA1-LF2,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Hydranautics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tested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separation of persistent perfluorohexanoic acid </w:t>
      </w:r>
      <w:r w:rsidR="00B20960">
        <w:rPr>
          <w:rFonts w:asciiTheme="minorHAnsi" w:eastAsia="MS PGothic" w:hAnsiTheme="minorHAnsi"/>
          <w:color w:val="000000"/>
          <w:sz w:val="22"/>
          <w:szCs w:val="22"/>
          <w:lang w:val="en-US"/>
        </w:rPr>
        <w:t>(PFHxA) at concentration levels typically found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 process water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209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membranes showed excellent PFHxA rejection performance and 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intermediate</w:t>
      </w:r>
      <w:r w:rsidR="00B209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productivity</w:t>
      </w:r>
      <w:r w:rsidR="005C4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treating pure aqueous PFHxA solutions at neutral </w:t>
      </w:r>
      <w:proofErr w:type="spellStart"/>
      <w:r w:rsidR="005C4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B209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B209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</w:t>
      </w:r>
      <w:r w:rsidR="006D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presence of 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salts</w:t>
      </w:r>
      <w:r w:rsidR="006D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water matrix severely 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decreased PFHXA rejection. These findings point to a drastic change in the electrostatic repulsion </w:t>
      </w:r>
      <w:r w:rsidR="006D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mechanism between the dissociated PFHxA and the charged membranes surfaces, negatively 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influenced by the presence of positive </w:t>
      </w:r>
      <w:r w:rsidR="00CE52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divalent </w:t>
      </w:r>
      <w:r w:rsidR="00E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counter-ions</w:t>
      </w:r>
      <w:r w:rsidR="006D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Decontamination of complex water matrixes </w:t>
      </w:r>
      <w:proofErr w:type="gramStart"/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impacted</w:t>
      </w:r>
      <w:proofErr w:type="gramEnd"/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PFHxA </w:t>
      </w:r>
      <w:r w:rsidR="00820F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are </w:t>
      </w:r>
      <w:r w:rsidR="00246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generated in the </w:t>
      </w:r>
      <w:r w:rsidR="00820F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="00246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industry </w:t>
      </w:r>
      <w:r w:rsidR="00511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need tighter and more selective nanofiltration or reverse osmosis membranes.</w:t>
      </w:r>
    </w:p>
    <w:p w:rsidR="00CE52DF" w:rsidRDefault="00CE52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CE52DF" w:rsidRPr="00CE52DF" w:rsidRDefault="00CE52DF" w:rsidP="00CE52DF">
      <w:pPr>
        <w:snapToGrid w:val="0"/>
        <w:spacing w:after="120"/>
        <w:rPr>
          <w:rFonts w:asciiTheme="minorHAnsi" w:eastAsia="MS PGothic" w:hAnsiTheme="minorHAnsi"/>
          <w:b/>
          <w:color w:val="000000"/>
          <w:sz w:val="20"/>
          <w:lang w:val="en-US"/>
        </w:rPr>
      </w:pPr>
      <w:r w:rsidRPr="00CE52DF">
        <w:rPr>
          <w:rFonts w:asciiTheme="minorHAnsi" w:eastAsia="MS PGothic" w:hAnsiTheme="minorHAnsi"/>
          <w:b/>
          <w:color w:val="000000"/>
          <w:sz w:val="20"/>
          <w:lang w:val="en-US"/>
        </w:rPr>
        <w:t>Acknowledgments</w:t>
      </w:r>
      <w:r>
        <w:rPr>
          <w:rFonts w:asciiTheme="minorHAnsi" w:eastAsia="MS PGothic" w:hAnsiTheme="minorHAnsi"/>
          <w:b/>
          <w:color w:val="000000"/>
          <w:sz w:val="20"/>
          <w:lang w:val="en-US"/>
        </w:rPr>
        <w:t xml:space="preserve">. </w:t>
      </w:r>
      <w:r w:rsidRPr="00CE52DF">
        <w:rPr>
          <w:rFonts w:ascii="Calibri" w:hAnsi="Calibri"/>
          <w:sz w:val="20"/>
        </w:rPr>
        <w:t xml:space="preserve">Funding of project CTM2016-75509-R (MINECO Spain/FEDER) </w:t>
      </w:r>
      <w:proofErr w:type="gramStart"/>
      <w:r w:rsidRPr="00CE52DF">
        <w:rPr>
          <w:rFonts w:ascii="Calibri" w:hAnsi="Calibri"/>
          <w:sz w:val="20"/>
        </w:rPr>
        <w:t>is gratefully acknowledged</w:t>
      </w:r>
      <w:proofErr w:type="gramEnd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Default="009A42F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>Á</w:t>
      </w:r>
      <w:r w:rsidR="00511D16" w:rsidRPr="00511D16">
        <w:rPr>
          <w:rFonts w:asciiTheme="minorHAnsi" w:hAnsiTheme="minorHAnsi"/>
          <w:color w:val="000000"/>
          <w:lang w:val="es-ES"/>
        </w:rPr>
        <w:t>. Soriano, D. Gorri, A. Urtiaga</w:t>
      </w:r>
      <w:r w:rsidR="00704BDF" w:rsidRPr="00511D16">
        <w:rPr>
          <w:rFonts w:asciiTheme="minorHAnsi" w:hAnsiTheme="minorHAnsi"/>
          <w:color w:val="000000"/>
          <w:lang w:val="es-ES"/>
        </w:rPr>
        <w:t xml:space="preserve">, </w:t>
      </w:r>
      <w:proofErr w:type="spellStart"/>
      <w:r w:rsidR="00511D16">
        <w:rPr>
          <w:rFonts w:asciiTheme="minorHAnsi" w:hAnsiTheme="minorHAnsi"/>
          <w:color w:val="000000"/>
          <w:lang w:val="es-ES"/>
        </w:rPr>
        <w:t>Water</w:t>
      </w:r>
      <w:proofErr w:type="spellEnd"/>
      <w:r w:rsidR="00511D16">
        <w:rPr>
          <w:rFonts w:asciiTheme="minorHAnsi" w:hAnsiTheme="minorHAnsi"/>
          <w:color w:val="000000"/>
          <w:lang w:val="es-ES"/>
        </w:rPr>
        <w:t xml:space="preserve"> Res</w:t>
      </w:r>
      <w:r w:rsidR="00704BDF" w:rsidRPr="00511D16">
        <w:rPr>
          <w:rFonts w:asciiTheme="minorHAnsi" w:hAnsiTheme="minorHAnsi"/>
          <w:color w:val="000000"/>
          <w:lang w:val="es-ES"/>
        </w:rPr>
        <w:t xml:space="preserve">. </w:t>
      </w:r>
      <w:r w:rsidR="00511D16">
        <w:rPr>
          <w:rFonts w:asciiTheme="minorHAnsi" w:hAnsiTheme="minorHAnsi"/>
          <w:color w:val="000000"/>
          <w:lang w:val="es-ES"/>
        </w:rPr>
        <w:t>112 (2017</w:t>
      </w:r>
      <w:r w:rsidR="00704BDF" w:rsidRPr="00511D16">
        <w:rPr>
          <w:rFonts w:asciiTheme="minorHAnsi" w:hAnsiTheme="minorHAnsi"/>
          <w:color w:val="000000"/>
          <w:lang w:val="es-ES"/>
        </w:rPr>
        <w:t xml:space="preserve">) </w:t>
      </w:r>
      <w:r w:rsidR="00511D16">
        <w:rPr>
          <w:rFonts w:asciiTheme="minorHAnsi" w:hAnsiTheme="minorHAnsi"/>
          <w:color w:val="000000"/>
          <w:lang w:val="es-ES"/>
        </w:rPr>
        <w:t>147</w:t>
      </w:r>
      <w:r w:rsidR="00704BDF" w:rsidRPr="00511D16">
        <w:rPr>
          <w:rFonts w:asciiTheme="minorHAnsi" w:hAnsiTheme="minorHAnsi"/>
          <w:color w:val="000000"/>
          <w:lang w:val="es-ES"/>
        </w:rPr>
        <w:t>–</w:t>
      </w:r>
      <w:r w:rsidR="00511D16">
        <w:rPr>
          <w:rFonts w:asciiTheme="minorHAnsi" w:hAnsiTheme="minorHAnsi"/>
          <w:color w:val="000000"/>
          <w:lang w:val="es-ES"/>
        </w:rPr>
        <w:t>156</w:t>
      </w:r>
      <w:r w:rsidR="00704BDF" w:rsidRPr="00511D16">
        <w:rPr>
          <w:rFonts w:asciiTheme="minorHAnsi" w:hAnsiTheme="minorHAnsi"/>
          <w:color w:val="000000"/>
          <w:lang w:val="es-ES"/>
        </w:rPr>
        <w:t>.</w:t>
      </w:r>
    </w:p>
    <w:p w:rsidR="00511D16" w:rsidRDefault="00511D16" w:rsidP="00511D1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511D16">
        <w:rPr>
          <w:rFonts w:asciiTheme="minorHAnsi" w:hAnsiTheme="minorHAnsi"/>
          <w:color w:val="000000"/>
          <w:lang w:val="es-ES"/>
        </w:rPr>
        <w:t xml:space="preserve">A. Urtiaga, </w:t>
      </w:r>
      <w:r w:rsidR="009A42F4">
        <w:rPr>
          <w:rFonts w:asciiTheme="minorHAnsi" w:hAnsiTheme="minorHAnsi"/>
          <w:color w:val="000000"/>
          <w:lang w:val="es-ES"/>
        </w:rPr>
        <w:t>Á</w:t>
      </w:r>
      <w:r w:rsidR="009A42F4" w:rsidRPr="00511D16">
        <w:rPr>
          <w:rFonts w:asciiTheme="minorHAnsi" w:hAnsiTheme="minorHAnsi"/>
          <w:color w:val="000000"/>
          <w:lang w:val="es-ES"/>
        </w:rPr>
        <w:t>. Soriano</w:t>
      </w:r>
      <w:r w:rsidRPr="00511D16">
        <w:rPr>
          <w:rFonts w:asciiTheme="minorHAnsi" w:hAnsiTheme="minorHAnsi"/>
          <w:color w:val="000000"/>
          <w:lang w:val="es-ES"/>
        </w:rPr>
        <w:t xml:space="preserve">, </w:t>
      </w:r>
      <w:r w:rsidR="009A42F4">
        <w:rPr>
          <w:rFonts w:asciiTheme="minorHAnsi" w:hAnsiTheme="minorHAnsi"/>
          <w:color w:val="000000"/>
          <w:lang w:val="es-ES"/>
        </w:rPr>
        <w:t>J. Carrillo-Abad</w:t>
      </w:r>
      <w:r w:rsidRPr="00511D16">
        <w:rPr>
          <w:rFonts w:asciiTheme="minorHAnsi" w:hAnsiTheme="minorHAnsi"/>
          <w:color w:val="000000"/>
          <w:lang w:val="es-ES"/>
        </w:rPr>
        <w:t>,</w:t>
      </w:r>
      <w:r>
        <w:rPr>
          <w:rFonts w:asciiTheme="minorHAnsi" w:hAnsiTheme="minorHAnsi"/>
          <w:color w:val="000000"/>
          <w:lang w:val="es-ES"/>
        </w:rPr>
        <w:t xml:space="preserve"> </w:t>
      </w:r>
      <w:proofErr w:type="spellStart"/>
      <w:r>
        <w:rPr>
          <w:rFonts w:asciiTheme="minorHAnsi" w:hAnsiTheme="minorHAnsi"/>
          <w:color w:val="000000"/>
          <w:lang w:val="es-ES"/>
        </w:rPr>
        <w:t>Chemosphere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 201 (2018) 571</w:t>
      </w:r>
      <w:r w:rsidRPr="00511D16">
        <w:rPr>
          <w:rFonts w:asciiTheme="minorHAnsi" w:hAnsiTheme="minorHAnsi"/>
          <w:color w:val="000000"/>
          <w:lang w:val="es-ES"/>
        </w:rPr>
        <w:t>–</w:t>
      </w:r>
      <w:r>
        <w:rPr>
          <w:rFonts w:asciiTheme="minorHAnsi" w:hAnsiTheme="minorHAnsi"/>
          <w:color w:val="000000"/>
          <w:lang w:val="es-ES"/>
        </w:rPr>
        <w:t>577.</w:t>
      </w:r>
    </w:p>
    <w:p w:rsidR="00704BDF" w:rsidRPr="00CE52DF" w:rsidRDefault="00511D16" w:rsidP="00CE52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9A42F4">
        <w:rPr>
          <w:rFonts w:asciiTheme="minorHAnsi" w:hAnsiTheme="minorHAnsi"/>
          <w:color w:val="000000"/>
          <w:lang w:val="es-ES"/>
        </w:rPr>
        <w:t xml:space="preserve">A. Soriano, D. Gorri, A. Urtiaga, </w:t>
      </w:r>
      <w:r w:rsidR="009A42F4">
        <w:rPr>
          <w:rFonts w:asciiTheme="minorHAnsi" w:hAnsiTheme="minorHAnsi"/>
          <w:color w:val="000000"/>
          <w:lang w:val="es-ES"/>
        </w:rPr>
        <w:t xml:space="preserve">Sep. </w:t>
      </w:r>
      <w:proofErr w:type="spellStart"/>
      <w:r w:rsidR="009A42F4">
        <w:rPr>
          <w:rFonts w:asciiTheme="minorHAnsi" w:hAnsiTheme="minorHAnsi"/>
          <w:color w:val="000000"/>
          <w:lang w:val="es-ES"/>
        </w:rPr>
        <w:t>Purif</w:t>
      </w:r>
      <w:proofErr w:type="spellEnd"/>
      <w:r w:rsidR="009A42F4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="009A42F4">
        <w:rPr>
          <w:rFonts w:asciiTheme="minorHAnsi" w:hAnsiTheme="minorHAnsi"/>
          <w:color w:val="000000"/>
          <w:lang w:val="es-ES"/>
        </w:rPr>
        <w:t>T</w:t>
      </w:r>
      <w:bookmarkStart w:id="0" w:name="_GoBack"/>
      <w:bookmarkEnd w:id="0"/>
      <w:r w:rsidR="009A42F4">
        <w:rPr>
          <w:rFonts w:asciiTheme="minorHAnsi" w:hAnsiTheme="minorHAnsi"/>
          <w:color w:val="000000"/>
          <w:lang w:val="es-ES"/>
        </w:rPr>
        <w:t>echnol</w:t>
      </w:r>
      <w:proofErr w:type="spellEnd"/>
      <w:r w:rsidR="009A42F4">
        <w:rPr>
          <w:rFonts w:asciiTheme="minorHAnsi" w:hAnsiTheme="minorHAnsi"/>
          <w:color w:val="000000"/>
          <w:lang w:val="es-ES"/>
        </w:rPr>
        <w:t>. 208, (2019) 160</w:t>
      </w:r>
      <w:r w:rsidR="009A42F4" w:rsidRPr="00511D16">
        <w:rPr>
          <w:rFonts w:asciiTheme="minorHAnsi" w:hAnsiTheme="minorHAnsi"/>
          <w:color w:val="000000"/>
          <w:lang w:val="es-ES"/>
        </w:rPr>
        <w:t>–</w:t>
      </w:r>
      <w:r w:rsidR="009A42F4">
        <w:rPr>
          <w:rFonts w:asciiTheme="minorHAnsi" w:hAnsiTheme="minorHAnsi"/>
          <w:color w:val="000000"/>
          <w:lang w:val="es-ES"/>
        </w:rPr>
        <w:t>168.</w:t>
      </w:r>
    </w:p>
    <w:sectPr w:rsidR="00704BDF" w:rsidRPr="00CE52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67" w:rsidRDefault="008D1267" w:rsidP="004F5E36">
      <w:r>
        <w:separator/>
      </w:r>
    </w:p>
  </w:endnote>
  <w:endnote w:type="continuationSeparator" w:id="0">
    <w:p w:rsidR="008D1267" w:rsidRDefault="008D126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67" w:rsidRDefault="008D1267" w:rsidP="004F5E36">
      <w:r>
        <w:separator/>
      </w:r>
    </w:p>
  </w:footnote>
  <w:footnote w:type="continuationSeparator" w:id="0">
    <w:p w:rsidR="008D1267" w:rsidRDefault="008D126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5C5986" wp14:editId="4BE32B6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9FEC2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50480A1" wp14:editId="78C7908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2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FF93E9" wp14:editId="59DA0C9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2BB01" wp14:editId="586CD24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C5AA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4908"/>
    <w:rsid w:val="00062A9A"/>
    <w:rsid w:val="000A0082"/>
    <w:rsid w:val="000A03B2"/>
    <w:rsid w:val="000B4C4D"/>
    <w:rsid w:val="000D34BE"/>
    <w:rsid w:val="000D7EA9"/>
    <w:rsid w:val="000E36F1"/>
    <w:rsid w:val="000E3A73"/>
    <w:rsid w:val="000E414A"/>
    <w:rsid w:val="000E451E"/>
    <w:rsid w:val="00123F6C"/>
    <w:rsid w:val="0013121F"/>
    <w:rsid w:val="00134DE4"/>
    <w:rsid w:val="00150E59"/>
    <w:rsid w:val="00184AD6"/>
    <w:rsid w:val="001B65C1"/>
    <w:rsid w:val="001C684B"/>
    <w:rsid w:val="001C745C"/>
    <w:rsid w:val="001D53FC"/>
    <w:rsid w:val="001E0389"/>
    <w:rsid w:val="001F2EC7"/>
    <w:rsid w:val="00204C02"/>
    <w:rsid w:val="002065DB"/>
    <w:rsid w:val="002447EF"/>
    <w:rsid w:val="00246D56"/>
    <w:rsid w:val="00251550"/>
    <w:rsid w:val="0027221A"/>
    <w:rsid w:val="00275B61"/>
    <w:rsid w:val="002B6385"/>
    <w:rsid w:val="002D1F12"/>
    <w:rsid w:val="002D71DA"/>
    <w:rsid w:val="003009B7"/>
    <w:rsid w:val="0030469C"/>
    <w:rsid w:val="003723D4"/>
    <w:rsid w:val="0039068C"/>
    <w:rsid w:val="003A7D1C"/>
    <w:rsid w:val="00401351"/>
    <w:rsid w:val="0046164A"/>
    <w:rsid w:val="00462DCD"/>
    <w:rsid w:val="004B359A"/>
    <w:rsid w:val="004D1162"/>
    <w:rsid w:val="004D6625"/>
    <w:rsid w:val="004E4DD6"/>
    <w:rsid w:val="004F21FF"/>
    <w:rsid w:val="004F2688"/>
    <w:rsid w:val="004F5E36"/>
    <w:rsid w:val="005119A5"/>
    <w:rsid w:val="00511D16"/>
    <w:rsid w:val="005278B7"/>
    <w:rsid w:val="005346C8"/>
    <w:rsid w:val="005918F1"/>
    <w:rsid w:val="00594E9F"/>
    <w:rsid w:val="005B61E6"/>
    <w:rsid w:val="005C4440"/>
    <w:rsid w:val="005C77E1"/>
    <w:rsid w:val="005D6A2F"/>
    <w:rsid w:val="005E1A82"/>
    <w:rsid w:val="005F0A28"/>
    <w:rsid w:val="005F0E5E"/>
    <w:rsid w:val="00620DEE"/>
    <w:rsid w:val="00625639"/>
    <w:rsid w:val="0064184D"/>
    <w:rsid w:val="0065296F"/>
    <w:rsid w:val="00660E3E"/>
    <w:rsid w:val="00662E74"/>
    <w:rsid w:val="00696437"/>
    <w:rsid w:val="006A58D2"/>
    <w:rsid w:val="006C5579"/>
    <w:rsid w:val="006D4E4A"/>
    <w:rsid w:val="00704BDF"/>
    <w:rsid w:val="00706EC0"/>
    <w:rsid w:val="00736B13"/>
    <w:rsid w:val="007447F3"/>
    <w:rsid w:val="007661C8"/>
    <w:rsid w:val="00780A0D"/>
    <w:rsid w:val="007C7055"/>
    <w:rsid w:val="007D52CD"/>
    <w:rsid w:val="00813288"/>
    <w:rsid w:val="008168FC"/>
    <w:rsid w:val="00820FBF"/>
    <w:rsid w:val="00845ACC"/>
    <w:rsid w:val="008479A2"/>
    <w:rsid w:val="0087637F"/>
    <w:rsid w:val="008A1512"/>
    <w:rsid w:val="008D0BEB"/>
    <w:rsid w:val="008D1267"/>
    <w:rsid w:val="008E566E"/>
    <w:rsid w:val="00901EB6"/>
    <w:rsid w:val="009450CE"/>
    <w:rsid w:val="0095164B"/>
    <w:rsid w:val="00975C16"/>
    <w:rsid w:val="00983E7F"/>
    <w:rsid w:val="0098769D"/>
    <w:rsid w:val="009921DC"/>
    <w:rsid w:val="00996483"/>
    <w:rsid w:val="009A42F4"/>
    <w:rsid w:val="009A72FA"/>
    <w:rsid w:val="009E788A"/>
    <w:rsid w:val="00A1763D"/>
    <w:rsid w:val="00A17CEC"/>
    <w:rsid w:val="00A27EF0"/>
    <w:rsid w:val="00A76763"/>
    <w:rsid w:val="00A76EFC"/>
    <w:rsid w:val="00A9626B"/>
    <w:rsid w:val="00A97F29"/>
    <w:rsid w:val="00AB0964"/>
    <w:rsid w:val="00AE377D"/>
    <w:rsid w:val="00AF0909"/>
    <w:rsid w:val="00B20960"/>
    <w:rsid w:val="00B61DBF"/>
    <w:rsid w:val="00BA10FD"/>
    <w:rsid w:val="00BC30C9"/>
    <w:rsid w:val="00BE3E58"/>
    <w:rsid w:val="00BE47EC"/>
    <w:rsid w:val="00C01616"/>
    <w:rsid w:val="00C0162B"/>
    <w:rsid w:val="00C144FE"/>
    <w:rsid w:val="00C345B1"/>
    <w:rsid w:val="00C40142"/>
    <w:rsid w:val="00C57182"/>
    <w:rsid w:val="00C655FD"/>
    <w:rsid w:val="00C867B1"/>
    <w:rsid w:val="00C94434"/>
    <w:rsid w:val="00CA1C95"/>
    <w:rsid w:val="00CA5A9C"/>
    <w:rsid w:val="00CB2C70"/>
    <w:rsid w:val="00CC6090"/>
    <w:rsid w:val="00CD5FE2"/>
    <w:rsid w:val="00CE1451"/>
    <w:rsid w:val="00CE52DF"/>
    <w:rsid w:val="00D02B4C"/>
    <w:rsid w:val="00D05F36"/>
    <w:rsid w:val="00D40B0C"/>
    <w:rsid w:val="00D77D39"/>
    <w:rsid w:val="00D84576"/>
    <w:rsid w:val="00DB697E"/>
    <w:rsid w:val="00DE0019"/>
    <w:rsid w:val="00DE264A"/>
    <w:rsid w:val="00E041E7"/>
    <w:rsid w:val="00E23CA1"/>
    <w:rsid w:val="00E23E04"/>
    <w:rsid w:val="00E36617"/>
    <w:rsid w:val="00E409A8"/>
    <w:rsid w:val="00E7209D"/>
    <w:rsid w:val="00EA0BB6"/>
    <w:rsid w:val="00EA50E1"/>
    <w:rsid w:val="00EC4090"/>
    <w:rsid w:val="00EE0131"/>
    <w:rsid w:val="00EF719E"/>
    <w:rsid w:val="00F30C64"/>
    <w:rsid w:val="00F7564F"/>
    <w:rsid w:val="00F80F89"/>
    <w:rsid w:val="00F9077C"/>
    <w:rsid w:val="00F96743"/>
    <w:rsid w:val="00FB730C"/>
    <w:rsid w:val="00FC2695"/>
    <w:rsid w:val="00FC3E03"/>
    <w:rsid w:val="00FE1C9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DDC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69643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EA0BB6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locked/>
    <w:rsid w:val="00CE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ACAE-8554-4953-994B-1175D8AC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Ane Urtiaga</cp:lastModifiedBy>
  <cp:revision>2</cp:revision>
  <cp:lastPrinted>2015-05-12T18:31:00Z</cp:lastPrinted>
  <dcterms:created xsi:type="dcterms:W3CDTF">2019-01-14T22:06:00Z</dcterms:created>
  <dcterms:modified xsi:type="dcterms:W3CDTF">2019-01-14T22:06:00Z</dcterms:modified>
</cp:coreProperties>
</file>