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F5538C" w:rsidRDefault="00F5538C" w:rsidP="00F5538C">
      <w:pPr>
        <w:snapToGrid w:val="0"/>
        <w:spacing w:after="360"/>
        <w:jc w:val="center"/>
        <w:rPr>
          <w:rFonts w:eastAsia="MS PGothic"/>
          <w:b/>
          <w:bCs/>
          <w:sz w:val="28"/>
          <w:szCs w:val="28"/>
          <w:lang w:val="en-US"/>
        </w:rPr>
      </w:pPr>
      <w:bookmarkStart w:id="0" w:name="_GoBack"/>
      <w:bookmarkEnd w:id="0"/>
      <w:r>
        <w:rPr>
          <w:rFonts w:eastAsia="MS PGothic"/>
          <w:b/>
          <w:bCs/>
          <w:sz w:val="28"/>
          <w:szCs w:val="28"/>
          <w:lang w:val="en-US"/>
        </w:rPr>
        <w:lastRenderedPageBreak/>
        <w:t>Methanol synthesis in a stirred batch reactor – application of the total pressure method and reaction-diffusion modelling</w:t>
      </w:r>
    </w:p>
    <w:p w:rsidR="00F5538C" w:rsidRDefault="00F5538C" w:rsidP="00F5538C">
      <w:pPr>
        <w:snapToGrid w:val="0"/>
        <w:jc w:val="center"/>
        <w:rPr>
          <w:rFonts w:eastAsia="MS PGothic"/>
          <w:bCs/>
          <w:i/>
          <w:iCs/>
          <w:sz w:val="20"/>
          <w:lang w:val="en-US"/>
        </w:rPr>
      </w:pPr>
    </w:p>
    <w:p w:rsidR="00F5538C" w:rsidRPr="002E61F2" w:rsidRDefault="00F5538C" w:rsidP="00F5538C">
      <w:pPr>
        <w:jc w:val="center"/>
        <w:rPr>
          <w:sz w:val="24"/>
          <w:szCs w:val="24"/>
          <w:lang w:val="es-VE"/>
        </w:rPr>
      </w:pPr>
      <w:proofErr w:type="spellStart"/>
      <w:r w:rsidRPr="00923E5D">
        <w:rPr>
          <w:sz w:val="24"/>
          <w:szCs w:val="24"/>
          <w:lang w:val="es-VE"/>
        </w:rPr>
        <w:t>Pasi</w:t>
      </w:r>
      <w:proofErr w:type="spellEnd"/>
      <w:r w:rsidRPr="00923E5D">
        <w:rPr>
          <w:sz w:val="24"/>
          <w:szCs w:val="24"/>
          <w:lang w:val="es-VE"/>
        </w:rPr>
        <w:t xml:space="preserve"> Tolvanen</w:t>
      </w:r>
      <w:r>
        <w:rPr>
          <w:sz w:val="24"/>
          <w:szCs w:val="24"/>
          <w:vertAlign w:val="superscript"/>
          <w:lang w:val="es-VE"/>
        </w:rPr>
        <w:t>1</w:t>
      </w:r>
      <w:r w:rsidRPr="00923E5D">
        <w:rPr>
          <w:sz w:val="24"/>
          <w:szCs w:val="24"/>
          <w:lang w:val="es-VE"/>
        </w:rPr>
        <w:t xml:space="preserve">, </w:t>
      </w:r>
      <w:proofErr w:type="spellStart"/>
      <w:r>
        <w:rPr>
          <w:sz w:val="24"/>
          <w:szCs w:val="24"/>
          <w:lang w:val="es-VE"/>
        </w:rPr>
        <w:t>Vincenzo</w:t>
      </w:r>
      <w:proofErr w:type="spellEnd"/>
      <w:r>
        <w:rPr>
          <w:sz w:val="24"/>
          <w:szCs w:val="24"/>
          <w:lang w:val="es-VE"/>
        </w:rPr>
        <w:t xml:space="preserve"> Russo</w:t>
      </w:r>
      <w:r w:rsidRPr="00923E5D">
        <w:rPr>
          <w:sz w:val="24"/>
          <w:szCs w:val="24"/>
          <w:vertAlign w:val="superscript"/>
          <w:lang w:val="es-VE"/>
        </w:rPr>
        <w:t>1</w:t>
      </w:r>
      <w:proofErr w:type="gramStart"/>
      <w:r>
        <w:rPr>
          <w:sz w:val="24"/>
          <w:szCs w:val="24"/>
          <w:vertAlign w:val="superscript"/>
          <w:lang w:val="es-VE"/>
        </w:rPr>
        <w:t>,2</w:t>
      </w:r>
      <w:proofErr w:type="gramEnd"/>
      <w:r>
        <w:rPr>
          <w:sz w:val="24"/>
          <w:szCs w:val="24"/>
          <w:lang w:val="es-VE"/>
        </w:rPr>
        <w:t xml:space="preserve">, </w:t>
      </w:r>
      <w:proofErr w:type="spellStart"/>
      <w:r w:rsidRPr="002E61F2">
        <w:rPr>
          <w:sz w:val="24"/>
          <w:szCs w:val="24"/>
          <w:lang w:val="es-VE"/>
        </w:rPr>
        <w:t>Kari</w:t>
      </w:r>
      <w:proofErr w:type="spellEnd"/>
      <w:r w:rsidRPr="00923E5D">
        <w:rPr>
          <w:sz w:val="24"/>
          <w:szCs w:val="24"/>
          <w:lang w:val="es-VE"/>
        </w:rPr>
        <w:t xml:space="preserve"> Eränen</w:t>
      </w:r>
      <w:r w:rsidRPr="00923E5D">
        <w:rPr>
          <w:sz w:val="24"/>
          <w:szCs w:val="24"/>
          <w:vertAlign w:val="superscript"/>
          <w:lang w:val="es-VE"/>
        </w:rPr>
        <w:t>1</w:t>
      </w:r>
      <w:r>
        <w:rPr>
          <w:sz w:val="24"/>
          <w:szCs w:val="24"/>
          <w:lang w:val="es-VE"/>
        </w:rPr>
        <w:t xml:space="preserve">, </w:t>
      </w:r>
      <w:r w:rsidRPr="002E61F2">
        <w:rPr>
          <w:sz w:val="24"/>
          <w:szCs w:val="24"/>
          <w:u w:val="single"/>
          <w:lang w:val="es-VE"/>
        </w:rPr>
        <w:t xml:space="preserve"> </w:t>
      </w:r>
      <w:r>
        <w:rPr>
          <w:sz w:val="24"/>
          <w:szCs w:val="24"/>
          <w:u w:val="single"/>
          <w:lang w:val="es-VE"/>
        </w:rPr>
        <w:t>Tapio Salmi</w:t>
      </w:r>
      <w:r>
        <w:rPr>
          <w:sz w:val="24"/>
          <w:szCs w:val="24"/>
          <w:u w:val="single"/>
          <w:vertAlign w:val="superscript"/>
          <w:lang w:val="es-VE"/>
        </w:rPr>
        <w:t>1*</w:t>
      </w:r>
      <w:r w:rsidRPr="00923E5D">
        <w:rPr>
          <w:sz w:val="24"/>
          <w:szCs w:val="24"/>
          <w:lang w:val="es-VE"/>
        </w:rPr>
        <w:t>,</w:t>
      </w:r>
    </w:p>
    <w:p w:rsidR="00F5538C" w:rsidRPr="00923E5D" w:rsidRDefault="00F5538C" w:rsidP="00F5538C">
      <w:pPr>
        <w:jc w:val="center"/>
        <w:rPr>
          <w:sz w:val="24"/>
          <w:szCs w:val="24"/>
          <w:lang w:val="es-VE"/>
        </w:rPr>
      </w:pPr>
    </w:p>
    <w:p w:rsidR="00F5538C" w:rsidRPr="00307D6D" w:rsidRDefault="00F5538C" w:rsidP="00F5538C">
      <w:pPr>
        <w:jc w:val="center"/>
        <w:rPr>
          <w:i/>
        </w:rPr>
      </w:pPr>
      <w:r w:rsidRPr="00307D6D">
        <w:rPr>
          <w:i/>
        </w:rPr>
        <w:t xml:space="preserve">1 Laboratory of Industrial Chemistry &amp; Reaction Engineering, Department of Chemical Engineering, Johan </w:t>
      </w:r>
      <w:proofErr w:type="spellStart"/>
      <w:r w:rsidRPr="00307D6D">
        <w:rPr>
          <w:i/>
        </w:rPr>
        <w:t>Gadolin</w:t>
      </w:r>
      <w:proofErr w:type="spellEnd"/>
      <w:r w:rsidRPr="00307D6D">
        <w:rPr>
          <w:i/>
        </w:rPr>
        <w:t xml:space="preserve"> Process Chemistry Centre, </w:t>
      </w:r>
      <w:proofErr w:type="spellStart"/>
      <w:r w:rsidRPr="00307D6D">
        <w:rPr>
          <w:i/>
        </w:rPr>
        <w:t>Åbo</w:t>
      </w:r>
      <w:proofErr w:type="spellEnd"/>
      <w:r w:rsidRPr="00307D6D">
        <w:rPr>
          <w:i/>
        </w:rPr>
        <w:t xml:space="preserve"> </w:t>
      </w:r>
      <w:proofErr w:type="spellStart"/>
      <w:r w:rsidRPr="00307D6D">
        <w:rPr>
          <w:i/>
        </w:rPr>
        <w:t>Akademi</w:t>
      </w:r>
      <w:proofErr w:type="spellEnd"/>
      <w:r w:rsidRPr="00307D6D">
        <w:rPr>
          <w:i/>
        </w:rPr>
        <w:t xml:space="preserve"> University, FI-20500 </w:t>
      </w:r>
      <w:proofErr w:type="spellStart"/>
      <w:r w:rsidRPr="00307D6D">
        <w:rPr>
          <w:i/>
        </w:rPr>
        <w:t>Åbo</w:t>
      </w:r>
      <w:proofErr w:type="spellEnd"/>
      <w:r w:rsidRPr="00307D6D">
        <w:rPr>
          <w:i/>
        </w:rPr>
        <w:t>-Turku, Finland</w:t>
      </w:r>
    </w:p>
    <w:p w:rsidR="00F5538C" w:rsidRPr="00DD395D" w:rsidRDefault="00F5538C" w:rsidP="00F5538C">
      <w:pPr>
        <w:jc w:val="center"/>
        <w:rPr>
          <w:i/>
          <w:szCs w:val="18"/>
          <w:lang w:val="en-US"/>
        </w:rPr>
      </w:pPr>
      <w:r w:rsidRPr="00DD395D">
        <w:rPr>
          <w:szCs w:val="18"/>
          <w:vertAlign w:val="superscript"/>
          <w:lang w:val="en-US"/>
        </w:rPr>
        <w:t>2</w:t>
      </w:r>
      <w:r w:rsidRPr="00DD395D">
        <w:rPr>
          <w:i/>
          <w:szCs w:val="18"/>
          <w:lang w:val="en-US"/>
        </w:rPr>
        <w:t>Università di Napoli ‘’Federico II’’, Chemical Science Department, IT-80126 Napoli</w:t>
      </w:r>
      <w:r>
        <w:rPr>
          <w:i/>
          <w:szCs w:val="18"/>
          <w:lang w:val="en-US"/>
        </w:rPr>
        <w:t>,</w:t>
      </w:r>
      <w:r w:rsidRPr="00DD395D">
        <w:rPr>
          <w:i/>
          <w:szCs w:val="18"/>
          <w:lang w:val="en-US"/>
        </w:rPr>
        <w:t xml:space="preserve"> Italy</w:t>
      </w:r>
    </w:p>
    <w:p w:rsidR="00F5538C" w:rsidRDefault="00F5538C" w:rsidP="00F5538C">
      <w:pPr>
        <w:snapToGrid w:val="0"/>
        <w:jc w:val="center"/>
        <w:rPr>
          <w:rFonts w:eastAsia="MS PGothic"/>
          <w:bCs/>
          <w:i/>
          <w:iCs/>
          <w:color w:val="000000"/>
          <w:sz w:val="20"/>
          <w:lang w:val="en-US"/>
        </w:rPr>
      </w:pPr>
    </w:p>
    <w:p w:rsidR="00F5538C" w:rsidRDefault="00F5538C" w:rsidP="00F5538C">
      <w:pPr>
        <w:snapToGrid w:val="0"/>
        <w:jc w:val="center"/>
        <w:rPr>
          <w:rFonts w:eastAsia="MS PGothic"/>
          <w:bCs/>
          <w:i/>
          <w:iCs/>
          <w:sz w:val="20"/>
          <w:lang w:val="en-US"/>
        </w:rPr>
      </w:pPr>
      <w:r w:rsidRPr="00DE0019">
        <w:rPr>
          <w:rFonts w:eastAsia="MS PGothic"/>
          <w:bCs/>
          <w:i/>
          <w:iCs/>
          <w:color w:val="000000"/>
          <w:sz w:val="20"/>
          <w:lang w:val="en-US"/>
        </w:rPr>
        <w:t>*Corresponding author</w:t>
      </w:r>
      <w:r w:rsidRPr="00DE0019">
        <w:rPr>
          <w:rFonts w:eastAsia="MS PGothic"/>
          <w:bCs/>
          <w:i/>
          <w:iCs/>
          <w:sz w:val="20"/>
          <w:lang w:val="en-US" w:eastAsia="ko-KR"/>
        </w:rPr>
        <w:t>:</w:t>
      </w:r>
      <w:r w:rsidRPr="00DE0019">
        <w:rPr>
          <w:rFonts w:eastAsia="MS PGothic"/>
          <w:bCs/>
          <w:i/>
          <w:iCs/>
          <w:sz w:val="20"/>
          <w:lang w:val="en-US"/>
        </w:rPr>
        <w:t xml:space="preserve"> </w:t>
      </w:r>
      <w:r>
        <w:rPr>
          <w:rFonts w:eastAsia="MS PGothic"/>
          <w:bCs/>
          <w:i/>
          <w:iCs/>
          <w:sz w:val="20"/>
          <w:lang w:val="en-US"/>
        </w:rPr>
        <w:t>tapio.salmi@abo.fi</w:t>
      </w:r>
    </w:p>
    <w:p w:rsidR="00F5538C" w:rsidRPr="00EC66CC" w:rsidRDefault="00F5538C" w:rsidP="00F5538C">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5538C" w:rsidRDefault="00F5538C" w:rsidP="00F5538C">
      <w:pPr>
        <w:pStyle w:val="AbstractBody"/>
        <w:numPr>
          <w:ilvl w:val="0"/>
          <w:numId w:val="16"/>
        </w:numPr>
        <w:rPr>
          <w:rFonts w:asciiTheme="minorHAnsi" w:hAnsiTheme="minorHAnsi"/>
        </w:rPr>
      </w:pPr>
      <w:r w:rsidRPr="007E3624">
        <w:rPr>
          <w:rFonts w:asciiTheme="minorHAnsi" w:hAnsiTheme="minorHAnsi"/>
        </w:rPr>
        <w:t>The theory for the total pressure me</w:t>
      </w:r>
      <w:r>
        <w:rPr>
          <w:rFonts w:asciiTheme="minorHAnsi" w:hAnsiTheme="minorHAnsi"/>
        </w:rPr>
        <w:t>t</w:t>
      </w:r>
      <w:r w:rsidRPr="007E3624">
        <w:rPr>
          <w:rFonts w:asciiTheme="minorHAnsi" w:hAnsiTheme="minorHAnsi"/>
        </w:rPr>
        <w:t xml:space="preserve">hod applied on the study of heterogeneously catalyzed kinetics was presented </w:t>
      </w:r>
    </w:p>
    <w:p w:rsidR="00F5538C" w:rsidRDefault="00F5538C" w:rsidP="00F5538C">
      <w:pPr>
        <w:pStyle w:val="AbstractBody"/>
        <w:numPr>
          <w:ilvl w:val="0"/>
          <w:numId w:val="16"/>
        </w:numPr>
        <w:rPr>
          <w:rFonts w:asciiTheme="minorHAnsi" w:hAnsiTheme="minorHAnsi"/>
        </w:rPr>
      </w:pPr>
      <w:r>
        <w:rPr>
          <w:rFonts w:asciiTheme="minorHAnsi" w:hAnsiTheme="minorHAnsi"/>
        </w:rPr>
        <w:t xml:space="preserve">Experiments on methanol synthesis was carried out in a intensively stirred batch reactor </w:t>
      </w:r>
    </w:p>
    <w:p w:rsidR="00F5538C" w:rsidRDefault="00F5538C" w:rsidP="00F5538C">
      <w:pPr>
        <w:pStyle w:val="AbstractBody"/>
        <w:numPr>
          <w:ilvl w:val="0"/>
          <w:numId w:val="16"/>
        </w:numPr>
        <w:rPr>
          <w:rFonts w:asciiTheme="minorHAnsi" w:hAnsiTheme="minorHAnsi"/>
        </w:rPr>
      </w:pPr>
      <w:r>
        <w:rPr>
          <w:rFonts w:asciiTheme="minorHAnsi" w:hAnsiTheme="minorHAnsi"/>
        </w:rPr>
        <w:t>The reaction-diffusion model for porous particles were used to interpret the data and to determine the kinetic parameters</w:t>
      </w:r>
    </w:p>
    <w:p w:rsidR="00F5538C" w:rsidRDefault="00F5538C" w:rsidP="00F5538C">
      <w:pPr>
        <w:pStyle w:val="AbstractBody"/>
        <w:numPr>
          <w:ilvl w:val="0"/>
          <w:numId w:val="16"/>
        </w:numPr>
        <w:rPr>
          <w:rFonts w:asciiTheme="minorHAnsi" w:hAnsiTheme="minorHAnsi"/>
        </w:rPr>
      </w:pPr>
      <w:r>
        <w:rPr>
          <w:rFonts w:asciiTheme="minorHAnsi" w:hAnsiTheme="minorHAnsi"/>
        </w:rPr>
        <w:t>The applicability of the total pressure method was demonstrated for methanol synthesis and generic examples</w:t>
      </w:r>
    </w:p>
    <w:p w:rsidR="00F5538C" w:rsidRPr="00F5538C" w:rsidRDefault="00F5538C" w:rsidP="00F5538C">
      <w:pPr>
        <w:pStyle w:val="ListParagraph"/>
        <w:numPr>
          <w:ilvl w:val="0"/>
          <w:numId w:val="18"/>
        </w:numPr>
        <w:snapToGrid w:val="0"/>
        <w:spacing w:before="240" w:line="300" w:lineRule="auto"/>
        <w:ind w:left="357" w:hanging="357"/>
        <w:rPr>
          <w:rFonts w:eastAsia="MS PGothic"/>
          <w:b/>
          <w:bCs/>
          <w:color w:val="000000"/>
          <w:lang w:val="en-US"/>
        </w:rPr>
      </w:pPr>
      <w:r w:rsidRPr="00F5538C">
        <w:rPr>
          <w:rFonts w:eastAsia="MS PGothic"/>
          <w:b/>
          <w:bCs/>
          <w:color w:val="000000"/>
          <w:lang w:val="en-US"/>
        </w:rPr>
        <w:t>Introduction</w:t>
      </w:r>
    </w:p>
    <w:p w:rsidR="00F5538C" w:rsidRPr="00F5538C" w:rsidRDefault="00F5538C" w:rsidP="00F5538C">
      <w:pPr>
        <w:rPr>
          <w:rFonts w:asciiTheme="minorHAnsi" w:hAnsiTheme="minorHAnsi"/>
          <w:sz w:val="22"/>
          <w:szCs w:val="22"/>
          <w:lang w:val="en-US"/>
        </w:rPr>
      </w:pPr>
      <w:r w:rsidRPr="00F5538C">
        <w:rPr>
          <w:rFonts w:asciiTheme="minorHAnsi" w:hAnsiTheme="minorHAnsi"/>
          <w:sz w:val="22"/>
          <w:szCs w:val="22"/>
          <w:lang w:val="en-US"/>
        </w:rPr>
        <w:t xml:space="preserve">The total pressure method is well-known for the measurement of the kinetics of homogeneous gas-phase reactions. If the number of molecules change in a gas-phase process, the total pressure in a closed reactor vessel changes indicating the progress of the reaction. The total pressure method can be applied to heterogeneously catalyzed gas-phase reactions, too. In this work, the general theory for the interpretation of kinetic data in </w:t>
      </w:r>
      <w:r>
        <w:rPr>
          <w:rFonts w:asciiTheme="minorHAnsi" w:hAnsiTheme="minorHAnsi"/>
          <w:sz w:val="22"/>
          <w:szCs w:val="22"/>
          <w:lang w:val="en-US"/>
        </w:rPr>
        <w:t>stirred batch</w:t>
      </w:r>
      <w:r w:rsidRPr="00F5538C">
        <w:rPr>
          <w:rFonts w:asciiTheme="minorHAnsi" w:hAnsiTheme="minorHAnsi"/>
          <w:sz w:val="22"/>
          <w:szCs w:val="22"/>
          <w:lang w:val="en-US"/>
        </w:rPr>
        <w:t xml:space="preserve"> reactors is presented. The concept was applied to the synthesis of methanol from carbon monoxide and hydrogen on a commercial copper-based catalyst.</w:t>
      </w:r>
    </w:p>
    <w:p w:rsidR="00F5538C" w:rsidRPr="00F5538C" w:rsidRDefault="00F5538C" w:rsidP="00F5538C">
      <w:pPr>
        <w:snapToGrid w:val="0"/>
        <w:spacing w:before="240" w:line="300" w:lineRule="auto"/>
        <w:rPr>
          <w:rFonts w:asciiTheme="minorHAnsi" w:eastAsia="MS PGothic" w:hAnsiTheme="minorHAnsi"/>
          <w:color w:val="000000"/>
          <w:sz w:val="22"/>
          <w:szCs w:val="22"/>
          <w:lang w:val="en-US"/>
        </w:rPr>
      </w:pPr>
      <w:r w:rsidRPr="00F5538C">
        <w:rPr>
          <w:rFonts w:asciiTheme="minorHAnsi" w:eastAsia="MS PGothic" w:hAnsiTheme="minorHAnsi"/>
          <w:b/>
          <w:bCs/>
          <w:color w:val="000000"/>
          <w:sz w:val="22"/>
          <w:szCs w:val="22"/>
          <w:lang w:val="en-US"/>
        </w:rPr>
        <w:t>2. Methods</w:t>
      </w:r>
    </w:p>
    <w:p w:rsidR="00F5538C" w:rsidRPr="00F5538C" w:rsidRDefault="00F5538C" w:rsidP="00F5538C">
      <w:pPr>
        <w:snapToGrid w:val="0"/>
        <w:spacing w:after="120"/>
        <w:rPr>
          <w:rFonts w:asciiTheme="minorHAnsi" w:hAnsiTheme="minorHAnsi"/>
          <w:sz w:val="22"/>
          <w:szCs w:val="22"/>
        </w:rPr>
      </w:pPr>
      <w:r w:rsidRPr="00F5538C">
        <w:rPr>
          <w:rFonts w:asciiTheme="minorHAnsi" w:hAnsiTheme="minorHAnsi"/>
          <w:sz w:val="22"/>
          <w:szCs w:val="22"/>
          <w:lang w:val="en-US"/>
        </w:rPr>
        <w:t xml:space="preserve">The catalyst particles were placed in a spinning impeller which rotated at high speed, typically 300-600 rpm. The volumes of the autoclave reactor and the gas phase were constant. Catalyst particles of equal sizes were used in all the experiments and isothermal conditions prevailed. The reaction temperatures and pressures were 150-250ºC and 10-30 bar, respectively. The classical modelling approach, based on simultaneous chemical reactions and diffusion in porous media was applied. This implies that that separate mass balances are valid for the gas-phase components in the gas bulk and in the catalyst pores. The catalyst particles were presumed to be chemically (activity, number of active sites) and physically (particle size, porosity, tortuosity, surface area) equal. Thus the aspects of particle size distribution and chemical inhomogeneity of the catalyst surface were ignored. </w:t>
      </w:r>
      <w:r w:rsidRPr="00F5538C">
        <w:rPr>
          <w:rFonts w:asciiTheme="minorHAnsi" w:hAnsiTheme="minorHAnsi"/>
          <w:sz w:val="22"/>
          <w:szCs w:val="22"/>
        </w:rPr>
        <w:t xml:space="preserve"> </w:t>
      </w:r>
    </w:p>
    <w:p w:rsidR="00F5538C" w:rsidRPr="00F5538C" w:rsidRDefault="00F5538C" w:rsidP="00F5538C">
      <w:pPr>
        <w:rPr>
          <w:rFonts w:asciiTheme="minorHAnsi" w:hAnsiTheme="minorHAnsi"/>
          <w:sz w:val="22"/>
          <w:szCs w:val="22"/>
        </w:rPr>
      </w:pPr>
    </w:p>
    <w:p w:rsidR="00F5538C" w:rsidRPr="00F5538C" w:rsidRDefault="00F5538C" w:rsidP="00F5538C">
      <w:pPr>
        <w:rPr>
          <w:rFonts w:asciiTheme="minorHAnsi" w:hAnsiTheme="minorHAnsi"/>
          <w:sz w:val="22"/>
          <w:szCs w:val="22"/>
          <w:lang w:val="en-US"/>
        </w:rPr>
      </w:pPr>
      <w:r w:rsidRPr="00F5538C">
        <w:rPr>
          <w:rFonts w:asciiTheme="minorHAnsi" w:hAnsiTheme="minorHAnsi"/>
          <w:sz w:val="22"/>
          <w:szCs w:val="22"/>
          <w:lang w:val="en-US"/>
        </w:rPr>
        <w:lastRenderedPageBreak/>
        <w:t xml:space="preserve">The model for the catalyst particles in the rotating device is </w:t>
      </w:r>
    </w:p>
    <w:p w:rsidR="00F5538C" w:rsidRPr="00F5538C" w:rsidRDefault="00F5538C" w:rsidP="00F5538C">
      <w:pPr>
        <w:snapToGrid w:val="0"/>
        <w:spacing w:after="120"/>
        <w:rPr>
          <w:rFonts w:asciiTheme="minorHAnsi" w:eastAsia="MS PGothic" w:hAnsiTheme="minorHAnsi"/>
          <w:color w:val="000000"/>
          <w:sz w:val="22"/>
          <w:szCs w:val="22"/>
          <w:lang w:val="en-US"/>
        </w:rPr>
      </w:pPr>
      <w:r w:rsidRPr="00F5538C">
        <w:rPr>
          <w:rFonts w:asciiTheme="minorHAnsi" w:hAnsiTheme="minorHAnsi"/>
          <w:position w:val="-32"/>
          <w:sz w:val="22"/>
          <w:szCs w:val="22"/>
        </w:rPr>
        <w:object w:dxaOrig="3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6.25pt" o:ole="">
            <v:imagedata r:id="rId11" o:title=""/>
          </v:shape>
          <o:OLEObject Type="Embed" ProgID="Equation.3" ShapeID="_x0000_i1025" DrawAspect="Content" ObjectID="_1609006136" r:id="rId12"/>
        </w:object>
      </w:r>
      <w:r w:rsidRPr="00F5538C">
        <w:rPr>
          <w:rFonts w:asciiTheme="minorHAnsi" w:hAnsiTheme="minorHAnsi"/>
          <w:sz w:val="22"/>
          <w:szCs w:val="22"/>
          <w:lang w:val="en-US"/>
        </w:rPr>
        <w:t xml:space="preserve"> </w:t>
      </w:r>
      <w:r w:rsidRPr="00F5538C">
        <w:rPr>
          <w:rFonts w:asciiTheme="minorHAnsi" w:hAnsiTheme="minorHAnsi"/>
          <w:sz w:val="22"/>
          <w:szCs w:val="22"/>
          <w:lang w:val="en-US"/>
        </w:rPr>
        <w:tab/>
      </w:r>
      <w:r w:rsidRPr="00F5538C">
        <w:rPr>
          <w:rFonts w:asciiTheme="minorHAnsi" w:hAnsiTheme="minorHAnsi"/>
          <w:sz w:val="22"/>
          <w:szCs w:val="22"/>
          <w:lang w:val="en-US"/>
        </w:rPr>
        <w:tab/>
      </w:r>
      <w:r w:rsidRPr="00F5538C">
        <w:rPr>
          <w:rFonts w:asciiTheme="minorHAnsi" w:hAnsiTheme="minorHAnsi"/>
          <w:sz w:val="22"/>
          <w:szCs w:val="22"/>
          <w:lang w:val="en-US"/>
        </w:rPr>
        <w:tab/>
      </w:r>
    </w:p>
    <w:p w:rsidR="00F5538C" w:rsidRPr="00F5538C" w:rsidRDefault="00F5538C" w:rsidP="00F5538C">
      <w:pPr>
        <w:snapToGrid w:val="0"/>
        <w:spacing w:before="240" w:line="300" w:lineRule="auto"/>
        <w:rPr>
          <w:rFonts w:asciiTheme="minorHAnsi" w:eastAsia="MS PGothic" w:hAnsiTheme="minorHAnsi"/>
          <w:bCs/>
          <w:color w:val="000000"/>
          <w:sz w:val="22"/>
          <w:szCs w:val="22"/>
          <w:lang w:val="en-US"/>
        </w:rPr>
      </w:pPr>
      <w:proofErr w:type="gramStart"/>
      <w:r w:rsidRPr="00F5538C">
        <w:rPr>
          <w:rFonts w:asciiTheme="minorHAnsi" w:eastAsia="MS PGothic" w:hAnsiTheme="minorHAnsi"/>
          <w:bCs/>
          <w:color w:val="000000"/>
          <w:sz w:val="22"/>
          <w:szCs w:val="22"/>
          <w:lang w:val="en-US"/>
        </w:rPr>
        <w:t>where</w:t>
      </w:r>
      <w:proofErr w:type="gramEnd"/>
      <w:r w:rsidRPr="00F5538C">
        <w:rPr>
          <w:rFonts w:asciiTheme="minorHAnsi" w:eastAsia="MS PGothic" w:hAnsiTheme="minorHAnsi"/>
          <w:bCs/>
          <w:color w:val="000000"/>
          <w:sz w:val="22"/>
          <w:szCs w:val="22"/>
          <w:lang w:val="en-US"/>
        </w:rPr>
        <w:t xml:space="preserve"> </w:t>
      </w:r>
      <w:r w:rsidRPr="00F5538C">
        <w:rPr>
          <w:rFonts w:asciiTheme="minorHAnsi" w:eastAsia="MS PGothic" w:hAnsiTheme="minorHAnsi"/>
          <w:bCs/>
          <w:i/>
          <w:color w:val="000000"/>
          <w:sz w:val="22"/>
          <w:szCs w:val="22"/>
          <w:lang w:val="en-US"/>
        </w:rPr>
        <w:t>x</w:t>
      </w:r>
      <w:r w:rsidRPr="00F5538C">
        <w:rPr>
          <w:rFonts w:asciiTheme="minorHAnsi" w:eastAsia="MS PGothic" w:hAnsiTheme="minorHAnsi"/>
          <w:bCs/>
          <w:color w:val="000000"/>
          <w:sz w:val="22"/>
          <w:szCs w:val="22"/>
          <w:lang w:val="en-US"/>
        </w:rPr>
        <w:t xml:space="preserve"> = the dimensionless particle coordinate, </w:t>
      </w:r>
      <w:r w:rsidRPr="00F5538C">
        <w:rPr>
          <w:rFonts w:asciiTheme="minorHAnsi" w:eastAsia="MS PGothic" w:hAnsiTheme="minorHAnsi"/>
          <w:bCs/>
          <w:i/>
          <w:color w:val="000000"/>
          <w:sz w:val="22"/>
          <w:szCs w:val="22"/>
          <w:lang w:val="en-US"/>
        </w:rPr>
        <w:t>R</w:t>
      </w:r>
      <w:r w:rsidRPr="00F5538C">
        <w:rPr>
          <w:rFonts w:asciiTheme="minorHAnsi" w:eastAsia="MS PGothic" w:hAnsiTheme="minorHAnsi"/>
          <w:bCs/>
          <w:color w:val="000000"/>
          <w:sz w:val="22"/>
          <w:szCs w:val="22"/>
          <w:lang w:val="en-US"/>
        </w:rPr>
        <w:t xml:space="preserve"> = particle radius, </w:t>
      </w:r>
      <w:r w:rsidRPr="00F5538C">
        <w:rPr>
          <w:rFonts w:asciiTheme="minorHAnsi" w:eastAsia="MS PGothic" w:hAnsiTheme="minorHAnsi"/>
          <w:bCs/>
          <w:i/>
          <w:color w:val="000000"/>
          <w:sz w:val="22"/>
          <w:szCs w:val="22"/>
          <w:lang w:val="en-US"/>
        </w:rPr>
        <w:t>s</w:t>
      </w:r>
      <w:r w:rsidRPr="00F5538C">
        <w:rPr>
          <w:rFonts w:asciiTheme="minorHAnsi" w:eastAsia="MS PGothic" w:hAnsiTheme="minorHAnsi"/>
          <w:bCs/>
          <w:color w:val="000000"/>
          <w:sz w:val="22"/>
          <w:szCs w:val="22"/>
          <w:lang w:val="en-US"/>
        </w:rPr>
        <w:t xml:space="preserve"> = shape factor, </w:t>
      </w:r>
      <w:proofErr w:type="spellStart"/>
      <w:r w:rsidRPr="00F5538C">
        <w:rPr>
          <w:rFonts w:asciiTheme="minorHAnsi" w:eastAsia="MS PGothic" w:hAnsiTheme="minorHAnsi"/>
          <w:bCs/>
          <w:i/>
          <w:color w:val="000000"/>
          <w:sz w:val="22"/>
          <w:szCs w:val="22"/>
          <w:lang w:val="en-US"/>
        </w:rPr>
        <w:t>r</w:t>
      </w:r>
      <w:r w:rsidRPr="00F5538C">
        <w:rPr>
          <w:rFonts w:asciiTheme="minorHAnsi" w:eastAsia="MS PGothic" w:hAnsiTheme="minorHAnsi"/>
          <w:bCs/>
          <w:color w:val="000000"/>
          <w:sz w:val="22"/>
          <w:szCs w:val="22"/>
          <w:vertAlign w:val="subscript"/>
          <w:lang w:val="en-US"/>
        </w:rPr>
        <w:t>i</w:t>
      </w:r>
      <w:proofErr w:type="spellEnd"/>
      <w:r w:rsidRPr="00F5538C">
        <w:rPr>
          <w:rFonts w:asciiTheme="minorHAnsi" w:eastAsia="MS PGothic" w:hAnsiTheme="minorHAnsi"/>
          <w:bCs/>
          <w:color w:val="000000"/>
          <w:sz w:val="22"/>
          <w:szCs w:val="22"/>
          <w:lang w:val="en-US"/>
        </w:rPr>
        <w:t xml:space="preserve">= the generation rate of component </w:t>
      </w:r>
      <w:proofErr w:type="spellStart"/>
      <w:r w:rsidRPr="00F5538C">
        <w:rPr>
          <w:rFonts w:asciiTheme="minorHAnsi" w:eastAsia="MS PGothic" w:hAnsiTheme="minorHAnsi"/>
          <w:bCs/>
          <w:i/>
          <w:color w:val="000000"/>
          <w:sz w:val="22"/>
          <w:szCs w:val="22"/>
          <w:lang w:val="en-US"/>
        </w:rPr>
        <w:t>i</w:t>
      </w:r>
      <w:proofErr w:type="spellEnd"/>
      <w:r w:rsidRPr="00F5538C">
        <w:rPr>
          <w:rFonts w:asciiTheme="minorHAnsi" w:eastAsia="MS PGothic" w:hAnsiTheme="minorHAnsi"/>
          <w:bCs/>
          <w:color w:val="000000"/>
          <w:sz w:val="22"/>
          <w:szCs w:val="22"/>
          <w:lang w:val="en-US"/>
        </w:rPr>
        <w:t xml:space="preserve">, </w:t>
      </w:r>
      <w:proofErr w:type="spellStart"/>
      <w:r w:rsidRPr="00F5538C">
        <w:rPr>
          <w:rFonts w:asciiTheme="minorHAnsi" w:eastAsia="MS PGothic" w:hAnsiTheme="minorHAnsi"/>
          <w:bCs/>
          <w:color w:val="000000"/>
          <w:sz w:val="22"/>
          <w:szCs w:val="22"/>
          <w:lang w:val="en-US"/>
        </w:rPr>
        <w:t>ρ</w:t>
      </w:r>
      <w:r w:rsidRPr="00F5538C">
        <w:rPr>
          <w:rFonts w:asciiTheme="minorHAnsi" w:eastAsia="MS PGothic" w:hAnsiTheme="minorHAnsi"/>
          <w:bCs/>
          <w:color w:val="000000"/>
          <w:sz w:val="22"/>
          <w:szCs w:val="22"/>
          <w:vertAlign w:val="subscript"/>
          <w:lang w:val="en-US"/>
        </w:rPr>
        <w:t>P</w:t>
      </w:r>
      <w:proofErr w:type="spellEnd"/>
      <w:r w:rsidRPr="00F5538C">
        <w:rPr>
          <w:rFonts w:asciiTheme="minorHAnsi" w:eastAsia="MS PGothic" w:hAnsiTheme="minorHAnsi"/>
          <w:bCs/>
          <w:color w:val="000000"/>
          <w:sz w:val="22"/>
          <w:szCs w:val="22"/>
          <w:lang w:val="en-US"/>
        </w:rPr>
        <w:t xml:space="preserve"> = particle density, ϵ</w:t>
      </w:r>
      <w:r w:rsidRPr="00F5538C">
        <w:rPr>
          <w:rFonts w:asciiTheme="minorHAnsi" w:eastAsia="MS PGothic" w:hAnsiTheme="minorHAnsi"/>
          <w:bCs/>
          <w:color w:val="000000"/>
          <w:sz w:val="22"/>
          <w:szCs w:val="22"/>
          <w:vertAlign w:val="subscript"/>
          <w:lang w:val="en-US"/>
        </w:rPr>
        <w:t>P</w:t>
      </w:r>
      <w:r w:rsidRPr="00F5538C">
        <w:rPr>
          <w:rFonts w:asciiTheme="minorHAnsi" w:eastAsia="MS PGothic" w:hAnsiTheme="minorHAnsi"/>
          <w:bCs/>
          <w:color w:val="000000"/>
          <w:sz w:val="22"/>
          <w:szCs w:val="22"/>
          <w:lang w:val="en-US"/>
        </w:rPr>
        <w:t xml:space="preserve"> = particle porosity, </w:t>
      </w:r>
      <w:r w:rsidRPr="00F5538C">
        <w:rPr>
          <w:rFonts w:asciiTheme="minorHAnsi" w:eastAsia="MS PGothic" w:hAnsiTheme="minorHAnsi"/>
          <w:bCs/>
          <w:i/>
          <w:color w:val="000000"/>
          <w:sz w:val="22"/>
          <w:szCs w:val="22"/>
          <w:lang w:val="en-US"/>
        </w:rPr>
        <w:t>D</w:t>
      </w:r>
      <w:r w:rsidRPr="00F5538C">
        <w:rPr>
          <w:rFonts w:asciiTheme="minorHAnsi" w:eastAsia="MS PGothic" w:hAnsiTheme="minorHAnsi"/>
          <w:bCs/>
          <w:color w:val="000000"/>
          <w:sz w:val="22"/>
          <w:szCs w:val="22"/>
          <w:vertAlign w:val="subscript"/>
          <w:lang w:val="en-US"/>
        </w:rPr>
        <w:t>ei</w:t>
      </w:r>
      <w:r w:rsidRPr="00F5538C">
        <w:rPr>
          <w:rFonts w:asciiTheme="minorHAnsi" w:eastAsia="MS PGothic" w:hAnsiTheme="minorHAnsi"/>
          <w:bCs/>
          <w:color w:val="000000"/>
          <w:sz w:val="22"/>
          <w:szCs w:val="22"/>
          <w:lang w:val="en-US"/>
        </w:rPr>
        <w:t xml:space="preserve"> = effective diffusion coefficient. For the gas bulk surrounding the spinning </w:t>
      </w:r>
      <w:r w:rsidR="00920C39">
        <w:rPr>
          <w:rFonts w:asciiTheme="minorHAnsi" w:eastAsia="MS PGothic" w:hAnsiTheme="minorHAnsi"/>
          <w:bCs/>
          <w:color w:val="000000"/>
          <w:sz w:val="22"/>
          <w:szCs w:val="22"/>
          <w:lang w:val="en-US"/>
        </w:rPr>
        <w:t>impeller</w:t>
      </w:r>
      <w:r w:rsidRPr="00F5538C">
        <w:rPr>
          <w:rFonts w:asciiTheme="minorHAnsi" w:eastAsia="MS PGothic" w:hAnsiTheme="minorHAnsi"/>
          <w:bCs/>
          <w:color w:val="000000"/>
          <w:sz w:val="22"/>
          <w:szCs w:val="22"/>
          <w:lang w:val="en-US"/>
        </w:rPr>
        <w:t>, the balance equation is given by</w:t>
      </w:r>
    </w:p>
    <w:p w:rsidR="00F5538C" w:rsidRPr="00F5538C" w:rsidRDefault="00F5538C" w:rsidP="00F5538C">
      <w:pPr>
        <w:snapToGrid w:val="0"/>
        <w:spacing w:before="240" w:line="300" w:lineRule="auto"/>
        <w:rPr>
          <w:rFonts w:asciiTheme="minorHAnsi" w:eastAsia="MS PGothic" w:hAnsiTheme="minorHAnsi"/>
          <w:bCs/>
          <w:color w:val="000000"/>
          <w:sz w:val="22"/>
          <w:szCs w:val="22"/>
          <w:lang w:val="en-US"/>
        </w:rPr>
      </w:pPr>
      <w:r w:rsidRPr="00F5538C">
        <w:rPr>
          <w:rFonts w:asciiTheme="minorHAnsi" w:hAnsiTheme="minorHAnsi"/>
          <w:position w:val="-32"/>
          <w:sz w:val="22"/>
          <w:szCs w:val="22"/>
        </w:rPr>
        <w:object w:dxaOrig="2640" w:dyaOrig="700">
          <v:shape id="_x0000_i1026" type="#_x0000_t75" style="width:107.25pt;height:29.25pt" o:ole="">
            <v:imagedata r:id="rId13" o:title=""/>
          </v:shape>
          <o:OLEObject Type="Embed" ProgID="Equation.3" ShapeID="_x0000_i1026" DrawAspect="Content" ObjectID="_1609006137" r:id="rId14"/>
        </w:object>
      </w:r>
    </w:p>
    <w:p w:rsidR="00F5538C" w:rsidRPr="00F5538C" w:rsidRDefault="00F5538C" w:rsidP="00F5538C">
      <w:pPr>
        <w:snapToGrid w:val="0"/>
        <w:spacing w:before="240" w:line="300" w:lineRule="auto"/>
        <w:rPr>
          <w:rFonts w:asciiTheme="minorHAnsi" w:eastAsia="MS PGothic" w:hAnsiTheme="minorHAnsi"/>
          <w:bCs/>
          <w:color w:val="000000"/>
          <w:sz w:val="22"/>
          <w:szCs w:val="22"/>
          <w:lang w:val="en-US"/>
        </w:rPr>
      </w:pPr>
      <w:proofErr w:type="gramStart"/>
      <w:r w:rsidRPr="00F5538C">
        <w:rPr>
          <w:rFonts w:asciiTheme="minorHAnsi" w:eastAsia="MS PGothic" w:hAnsiTheme="minorHAnsi"/>
          <w:bCs/>
          <w:color w:val="000000"/>
          <w:sz w:val="22"/>
          <w:szCs w:val="22"/>
          <w:lang w:val="en-US"/>
        </w:rPr>
        <w:t>where</w:t>
      </w:r>
      <w:proofErr w:type="gramEnd"/>
      <w:r w:rsidRPr="00F5538C">
        <w:rPr>
          <w:rFonts w:asciiTheme="minorHAnsi" w:eastAsia="MS PGothic" w:hAnsiTheme="minorHAnsi"/>
          <w:bCs/>
          <w:color w:val="000000"/>
          <w:sz w:val="22"/>
          <w:szCs w:val="22"/>
          <w:lang w:val="en-US"/>
        </w:rPr>
        <w:t xml:space="preserve"> </w:t>
      </w:r>
      <w:proofErr w:type="spellStart"/>
      <w:r w:rsidRPr="00F5538C">
        <w:rPr>
          <w:rFonts w:asciiTheme="minorHAnsi" w:eastAsia="MS PGothic" w:hAnsiTheme="minorHAnsi"/>
          <w:bCs/>
          <w:i/>
          <w:color w:val="000000"/>
          <w:sz w:val="22"/>
          <w:szCs w:val="22"/>
          <w:lang w:val="en-US"/>
        </w:rPr>
        <w:t>n</w:t>
      </w:r>
      <w:r w:rsidRPr="00F5538C">
        <w:rPr>
          <w:rFonts w:asciiTheme="minorHAnsi" w:eastAsia="MS PGothic" w:hAnsiTheme="minorHAnsi"/>
          <w:bCs/>
          <w:color w:val="000000"/>
          <w:sz w:val="22"/>
          <w:szCs w:val="22"/>
          <w:vertAlign w:val="subscript"/>
          <w:lang w:val="en-US"/>
        </w:rPr>
        <w:t>P</w:t>
      </w:r>
      <w:proofErr w:type="spellEnd"/>
      <w:r w:rsidRPr="00F5538C">
        <w:rPr>
          <w:rFonts w:asciiTheme="minorHAnsi" w:eastAsia="MS PGothic" w:hAnsiTheme="minorHAnsi"/>
          <w:bCs/>
          <w:color w:val="000000"/>
          <w:sz w:val="22"/>
          <w:szCs w:val="22"/>
          <w:lang w:val="en-US"/>
        </w:rPr>
        <w:t xml:space="preserve"> and </w:t>
      </w:r>
      <w:r w:rsidRPr="00F5538C">
        <w:rPr>
          <w:rFonts w:asciiTheme="minorHAnsi" w:eastAsia="MS PGothic" w:hAnsiTheme="minorHAnsi"/>
          <w:bCs/>
          <w:i/>
          <w:color w:val="000000"/>
          <w:sz w:val="22"/>
          <w:szCs w:val="22"/>
          <w:lang w:val="en-US"/>
        </w:rPr>
        <w:t>A</w:t>
      </w:r>
      <w:r w:rsidRPr="00F5538C">
        <w:rPr>
          <w:rFonts w:asciiTheme="minorHAnsi" w:eastAsia="MS PGothic" w:hAnsiTheme="minorHAnsi"/>
          <w:bCs/>
          <w:color w:val="000000"/>
          <w:sz w:val="22"/>
          <w:szCs w:val="22"/>
          <w:vertAlign w:val="subscript"/>
          <w:lang w:val="en-US"/>
        </w:rPr>
        <w:t>P</w:t>
      </w:r>
      <w:r w:rsidRPr="00F5538C">
        <w:rPr>
          <w:rFonts w:asciiTheme="minorHAnsi" w:eastAsia="MS PGothic" w:hAnsiTheme="minorHAnsi"/>
          <w:bCs/>
          <w:color w:val="000000"/>
          <w:sz w:val="22"/>
          <w:szCs w:val="22"/>
          <w:lang w:val="en-US"/>
        </w:rPr>
        <w:t xml:space="preserve"> denote the number of particles and their outer surface area, respectively. </w:t>
      </w:r>
      <w:r w:rsidRPr="00F5538C">
        <w:rPr>
          <w:rFonts w:asciiTheme="minorHAnsi" w:eastAsia="MS PGothic" w:hAnsiTheme="minorHAnsi"/>
          <w:bCs/>
          <w:i/>
          <w:color w:val="000000"/>
          <w:sz w:val="22"/>
          <w:szCs w:val="22"/>
          <w:lang w:val="en-US"/>
        </w:rPr>
        <w:t>V</w:t>
      </w:r>
      <w:r w:rsidRPr="00F5538C">
        <w:rPr>
          <w:rFonts w:asciiTheme="minorHAnsi" w:eastAsia="MS PGothic" w:hAnsiTheme="minorHAnsi"/>
          <w:bCs/>
          <w:color w:val="000000"/>
          <w:sz w:val="22"/>
          <w:szCs w:val="22"/>
          <w:vertAlign w:val="subscript"/>
          <w:lang w:val="en-US"/>
        </w:rPr>
        <w:t>G</w:t>
      </w:r>
      <w:r w:rsidRPr="00F5538C">
        <w:rPr>
          <w:rFonts w:asciiTheme="minorHAnsi" w:eastAsia="MS PGothic" w:hAnsiTheme="minorHAnsi"/>
          <w:bCs/>
          <w:color w:val="000000"/>
          <w:sz w:val="22"/>
          <w:szCs w:val="22"/>
          <w:lang w:val="en-US"/>
        </w:rPr>
        <w:t xml:space="preserve"> is the gas volume. The model was solved numerically and the parameters were estimated from collected total pressure data.</w:t>
      </w:r>
    </w:p>
    <w:p w:rsidR="00F5538C" w:rsidRPr="00F5538C" w:rsidRDefault="00F5538C" w:rsidP="00F5538C">
      <w:pPr>
        <w:snapToGrid w:val="0"/>
        <w:spacing w:before="240" w:line="300" w:lineRule="auto"/>
        <w:rPr>
          <w:rFonts w:asciiTheme="minorHAnsi" w:eastAsia="MS PGothic" w:hAnsiTheme="minorHAnsi"/>
          <w:color w:val="000000"/>
          <w:sz w:val="22"/>
          <w:szCs w:val="22"/>
          <w:lang w:val="en-US"/>
        </w:rPr>
      </w:pPr>
      <w:r w:rsidRPr="00F5538C">
        <w:rPr>
          <w:rFonts w:asciiTheme="minorHAnsi" w:eastAsia="MS PGothic" w:hAnsiTheme="minorHAnsi"/>
          <w:b/>
          <w:bCs/>
          <w:color w:val="000000"/>
          <w:sz w:val="22"/>
          <w:szCs w:val="22"/>
          <w:lang w:val="en-US"/>
        </w:rPr>
        <w:t>3. Results and discussion</w:t>
      </w:r>
    </w:p>
    <w:p w:rsidR="00F5538C" w:rsidRPr="00F5538C" w:rsidRDefault="00F5538C" w:rsidP="00F5538C">
      <w:pPr>
        <w:rPr>
          <w:rFonts w:asciiTheme="minorHAnsi" w:hAnsiTheme="minorHAnsi"/>
          <w:noProof/>
          <w:sz w:val="22"/>
          <w:szCs w:val="22"/>
          <w:lang w:val="en-US" w:eastAsia="sv-FI"/>
        </w:rPr>
      </w:pP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results</w:t>
      </w:r>
      <w:proofErr w:type="spellEnd"/>
      <w:r w:rsidRPr="00F5538C">
        <w:rPr>
          <w:rFonts w:asciiTheme="minorHAnsi" w:hAnsiTheme="minorHAnsi"/>
          <w:sz w:val="22"/>
          <w:szCs w:val="22"/>
          <w:lang w:val="es-US"/>
        </w:rPr>
        <w:t xml:space="preserve"> of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sensitivity</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analysis</w:t>
      </w:r>
      <w:proofErr w:type="spellEnd"/>
      <w:r w:rsidRPr="00F5538C">
        <w:rPr>
          <w:rFonts w:asciiTheme="minorHAnsi" w:hAnsiTheme="minorHAnsi"/>
          <w:sz w:val="22"/>
          <w:szCs w:val="22"/>
          <w:lang w:val="es-US"/>
        </w:rPr>
        <w:t xml:space="preserve"> of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model</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revealed</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that</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increase</w:t>
      </w:r>
      <w:proofErr w:type="spellEnd"/>
      <w:r w:rsidRPr="00F5538C">
        <w:rPr>
          <w:rFonts w:asciiTheme="minorHAnsi" w:hAnsiTheme="minorHAnsi"/>
          <w:sz w:val="22"/>
          <w:szCs w:val="22"/>
          <w:lang w:val="es-US"/>
        </w:rPr>
        <w:t xml:space="preserve"> of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kinetic</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constant</w:t>
      </w:r>
      <w:proofErr w:type="spellEnd"/>
      <w:r w:rsidRPr="00F5538C">
        <w:rPr>
          <w:rFonts w:asciiTheme="minorHAnsi" w:hAnsiTheme="minorHAnsi"/>
          <w:sz w:val="22"/>
          <w:szCs w:val="22"/>
          <w:lang w:val="es-US"/>
        </w:rPr>
        <w:t xml:space="preserve"> leads to a </w:t>
      </w:r>
      <w:proofErr w:type="spellStart"/>
      <w:r w:rsidRPr="00F5538C">
        <w:rPr>
          <w:rFonts w:asciiTheme="minorHAnsi" w:hAnsiTheme="minorHAnsi"/>
          <w:sz w:val="22"/>
          <w:szCs w:val="22"/>
          <w:lang w:val="es-US"/>
        </w:rPr>
        <w:t>faster</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decrease</w:t>
      </w:r>
      <w:proofErr w:type="spellEnd"/>
      <w:r w:rsidRPr="00F5538C">
        <w:rPr>
          <w:rFonts w:asciiTheme="minorHAnsi" w:hAnsiTheme="minorHAnsi"/>
          <w:sz w:val="22"/>
          <w:szCs w:val="22"/>
          <w:lang w:val="es-US"/>
        </w:rPr>
        <w:t xml:space="preserve"> of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overall</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pressure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initial</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pressure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plays</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an</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activating</w:t>
      </w:r>
      <w:proofErr w:type="spellEnd"/>
      <w:r w:rsidRPr="00F5538C">
        <w:rPr>
          <w:rFonts w:asciiTheme="minorHAnsi" w:hAnsiTheme="minorHAnsi"/>
          <w:sz w:val="22"/>
          <w:szCs w:val="22"/>
          <w:lang w:val="es-US"/>
        </w:rPr>
        <w:t xml:space="preserve"> role </w:t>
      </w:r>
      <w:proofErr w:type="spellStart"/>
      <w:r w:rsidRPr="00F5538C">
        <w:rPr>
          <w:rFonts w:asciiTheme="minorHAnsi" w:hAnsiTheme="minorHAnsi"/>
          <w:sz w:val="22"/>
          <w:szCs w:val="22"/>
          <w:lang w:val="es-US"/>
        </w:rPr>
        <w:t>on</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reaction</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kinetics</w:t>
      </w:r>
      <w:proofErr w:type="spellEnd"/>
      <w:r w:rsidRPr="00F5538C">
        <w:rPr>
          <w:rFonts w:asciiTheme="minorHAnsi" w:hAnsiTheme="minorHAnsi"/>
          <w:sz w:val="22"/>
          <w:szCs w:val="22"/>
          <w:lang w:val="es-US"/>
        </w:rPr>
        <w:t xml:space="preserve"> as </w:t>
      </w:r>
      <w:proofErr w:type="spellStart"/>
      <w:r w:rsidRPr="00F5538C">
        <w:rPr>
          <w:rFonts w:asciiTheme="minorHAnsi" w:hAnsiTheme="minorHAnsi"/>
          <w:sz w:val="22"/>
          <w:szCs w:val="22"/>
          <w:lang w:val="es-US"/>
        </w:rPr>
        <w:t>well</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By</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working</w:t>
      </w:r>
      <w:proofErr w:type="spellEnd"/>
      <w:r w:rsidRPr="00F5538C">
        <w:rPr>
          <w:rFonts w:asciiTheme="minorHAnsi" w:hAnsiTheme="minorHAnsi"/>
          <w:sz w:val="22"/>
          <w:szCs w:val="22"/>
          <w:lang w:val="es-US"/>
        </w:rPr>
        <w:t xml:space="preserve"> at </w:t>
      </w:r>
      <w:proofErr w:type="spellStart"/>
      <w:r w:rsidRPr="00F5538C">
        <w:rPr>
          <w:rFonts w:asciiTheme="minorHAnsi" w:hAnsiTheme="minorHAnsi"/>
          <w:sz w:val="22"/>
          <w:szCs w:val="22"/>
          <w:lang w:val="es-US"/>
        </w:rPr>
        <w:t>higher</w:t>
      </w:r>
      <w:proofErr w:type="spellEnd"/>
      <w:r w:rsidRPr="00F5538C">
        <w:rPr>
          <w:rFonts w:asciiTheme="minorHAnsi" w:hAnsiTheme="minorHAnsi"/>
          <w:sz w:val="22"/>
          <w:szCs w:val="22"/>
          <w:lang w:val="es-US"/>
        </w:rPr>
        <w:t xml:space="preserve"> H</w:t>
      </w:r>
      <w:r w:rsidRPr="00F5538C">
        <w:rPr>
          <w:rFonts w:asciiTheme="minorHAnsi" w:hAnsiTheme="minorHAnsi"/>
          <w:sz w:val="22"/>
          <w:szCs w:val="22"/>
          <w:vertAlign w:val="subscript"/>
          <w:lang w:val="es-US"/>
        </w:rPr>
        <w:t>2</w:t>
      </w:r>
      <w:r w:rsidRPr="00F5538C">
        <w:rPr>
          <w:rFonts w:asciiTheme="minorHAnsi" w:hAnsiTheme="minorHAnsi"/>
          <w:sz w:val="22"/>
          <w:szCs w:val="22"/>
          <w:lang w:val="es-US"/>
        </w:rPr>
        <w:t xml:space="preserve">/CO ratio, a </w:t>
      </w:r>
      <w:proofErr w:type="spellStart"/>
      <w:r w:rsidRPr="00F5538C">
        <w:rPr>
          <w:rFonts w:asciiTheme="minorHAnsi" w:hAnsiTheme="minorHAnsi"/>
          <w:sz w:val="22"/>
          <w:szCs w:val="22"/>
          <w:lang w:val="es-US"/>
        </w:rPr>
        <w:t>lower</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rate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is</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observed</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Examples</w:t>
      </w:r>
      <w:proofErr w:type="spellEnd"/>
      <w:r w:rsidRPr="00F5538C">
        <w:rPr>
          <w:rFonts w:asciiTheme="minorHAnsi" w:hAnsiTheme="minorHAnsi"/>
          <w:sz w:val="22"/>
          <w:szCs w:val="22"/>
          <w:lang w:val="es-US"/>
        </w:rPr>
        <w:t xml:space="preserve"> of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intraparticle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profiles</w:t>
      </w:r>
      <w:proofErr w:type="spellEnd"/>
      <w:r w:rsidRPr="00F5538C">
        <w:rPr>
          <w:rFonts w:asciiTheme="minorHAnsi" w:hAnsiTheme="minorHAnsi"/>
          <w:sz w:val="22"/>
          <w:szCs w:val="22"/>
          <w:lang w:val="es-US"/>
        </w:rPr>
        <w:t xml:space="preserve"> of </w:t>
      </w:r>
      <w:proofErr w:type="spellStart"/>
      <w:r w:rsidRPr="00F5538C">
        <w:rPr>
          <w:rFonts w:asciiTheme="minorHAnsi" w:hAnsiTheme="minorHAnsi"/>
          <w:sz w:val="22"/>
          <w:szCs w:val="22"/>
          <w:lang w:val="es-US"/>
        </w:rPr>
        <w:t>carbon</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monoxide</w:t>
      </w:r>
      <w:proofErr w:type="spellEnd"/>
      <w:r w:rsidRPr="00F5538C">
        <w:rPr>
          <w:rFonts w:asciiTheme="minorHAnsi" w:hAnsiTheme="minorHAnsi"/>
          <w:sz w:val="22"/>
          <w:szCs w:val="22"/>
          <w:lang w:val="es-US"/>
        </w:rPr>
        <w:t xml:space="preserve"> and </w:t>
      </w:r>
      <w:proofErr w:type="spellStart"/>
      <w:r w:rsidRPr="00F5538C">
        <w:rPr>
          <w:rFonts w:asciiTheme="minorHAnsi" w:hAnsiTheme="minorHAnsi"/>
          <w:sz w:val="22"/>
          <w:szCs w:val="22"/>
          <w:lang w:val="es-US"/>
        </w:rPr>
        <w:t>hydrogen</w:t>
      </w:r>
      <w:proofErr w:type="spellEnd"/>
      <w:r w:rsidRPr="00F5538C">
        <w:rPr>
          <w:rFonts w:asciiTheme="minorHAnsi" w:hAnsiTheme="minorHAnsi"/>
          <w:sz w:val="22"/>
          <w:szCs w:val="22"/>
          <w:lang w:val="es-US"/>
        </w:rPr>
        <w:t xml:space="preserve"> are </w:t>
      </w:r>
      <w:proofErr w:type="spellStart"/>
      <w:r w:rsidRPr="00F5538C">
        <w:rPr>
          <w:rFonts w:asciiTheme="minorHAnsi" w:hAnsiTheme="minorHAnsi"/>
          <w:sz w:val="22"/>
          <w:szCs w:val="22"/>
          <w:lang w:val="es-US"/>
        </w:rPr>
        <w:t>displayed</w:t>
      </w:r>
      <w:proofErr w:type="spellEnd"/>
      <w:r w:rsidRPr="00F5538C">
        <w:rPr>
          <w:rFonts w:asciiTheme="minorHAnsi" w:hAnsiTheme="minorHAnsi"/>
          <w:sz w:val="22"/>
          <w:szCs w:val="22"/>
          <w:lang w:val="es-US"/>
        </w:rPr>
        <w:t xml:space="preserve"> in Figure 1, </w:t>
      </w:r>
      <w:proofErr w:type="spellStart"/>
      <w:r w:rsidRPr="00F5538C">
        <w:rPr>
          <w:rFonts w:asciiTheme="minorHAnsi" w:hAnsiTheme="minorHAnsi"/>
          <w:sz w:val="22"/>
          <w:szCs w:val="22"/>
          <w:lang w:val="es-US"/>
        </w:rPr>
        <w:t>which</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confirms</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role of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internal</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diffusion</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effect</w:t>
      </w:r>
      <w:proofErr w:type="spellEnd"/>
      <w:r w:rsidRPr="00F5538C">
        <w:rPr>
          <w:rFonts w:asciiTheme="minorHAnsi" w:hAnsiTheme="minorHAnsi"/>
          <w:sz w:val="22"/>
          <w:szCs w:val="22"/>
          <w:lang w:val="es-US"/>
        </w:rPr>
        <w:t xml:space="preserve"> in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catalyst</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pores</w:t>
      </w:r>
      <w:proofErr w:type="spellEnd"/>
      <w:r w:rsidRPr="00F5538C">
        <w:rPr>
          <w:rFonts w:asciiTheme="minorHAnsi" w:hAnsiTheme="minorHAnsi"/>
          <w:sz w:val="22"/>
          <w:szCs w:val="22"/>
          <w:lang w:val="es-US"/>
        </w:rPr>
        <w:t xml:space="preserve"> as </w:t>
      </w:r>
      <w:proofErr w:type="spellStart"/>
      <w:r w:rsidRPr="00F5538C">
        <w:rPr>
          <w:rFonts w:asciiTheme="minorHAnsi" w:hAnsiTheme="minorHAnsi"/>
          <w:sz w:val="22"/>
          <w:szCs w:val="22"/>
          <w:lang w:val="es-US"/>
        </w:rPr>
        <w:t>concentration</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gradients</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appear</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inside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the</w:t>
      </w:r>
      <w:proofErr w:type="spellEnd"/>
      <w:r w:rsidRPr="00F5538C">
        <w:rPr>
          <w:rFonts w:asciiTheme="minorHAnsi" w:hAnsiTheme="minorHAnsi"/>
          <w:sz w:val="22"/>
          <w:szCs w:val="22"/>
          <w:lang w:val="es-US"/>
        </w:rPr>
        <w:t xml:space="preserve"> </w:t>
      </w:r>
      <w:proofErr w:type="spellStart"/>
      <w:r w:rsidRPr="00F5538C">
        <w:rPr>
          <w:rFonts w:asciiTheme="minorHAnsi" w:hAnsiTheme="minorHAnsi"/>
          <w:sz w:val="22"/>
          <w:szCs w:val="22"/>
          <w:lang w:val="es-US"/>
        </w:rPr>
        <w:t>particles</w:t>
      </w:r>
      <w:proofErr w:type="spellEnd"/>
      <w:r w:rsidRPr="00F5538C">
        <w:rPr>
          <w:rFonts w:asciiTheme="minorHAnsi" w:hAnsiTheme="minorHAnsi"/>
          <w:sz w:val="22"/>
          <w:szCs w:val="22"/>
          <w:lang w:val="es-US"/>
        </w:rPr>
        <w:t>.</w:t>
      </w:r>
      <w:r w:rsidRPr="00F5538C">
        <w:rPr>
          <w:rFonts w:asciiTheme="minorHAnsi" w:hAnsiTheme="minorHAnsi"/>
          <w:noProof/>
          <w:sz w:val="22"/>
          <w:szCs w:val="22"/>
          <w:lang w:val="en-US" w:eastAsia="sv-FI"/>
        </w:rPr>
        <w:t xml:space="preserve"> </w:t>
      </w:r>
    </w:p>
    <w:p w:rsidR="00F5538C" w:rsidRPr="00F5538C" w:rsidRDefault="00F5538C" w:rsidP="00F5538C">
      <w:pPr>
        <w:jc w:val="left"/>
        <w:rPr>
          <w:rFonts w:asciiTheme="minorHAnsi" w:hAnsiTheme="minorHAnsi"/>
          <w:sz w:val="22"/>
          <w:szCs w:val="22"/>
          <w:lang w:val="es-US"/>
        </w:rPr>
      </w:pPr>
      <w:r w:rsidRPr="00F5538C">
        <w:rPr>
          <w:rFonts w:asciiTheme="minorHAnsi" w:hAnsiTheme="minorHAnsi"/>
          <w:noProof/>
          <w:sz w:val="22"/>
          <w:szCs w:val="22"/>
          <w:lang w:val="sv-FI" w:eastAsia="sv-FI"/>
        </w:rPr>
        <w:drawing>
          <wp:inline distT="0" distB="0" distL="0" distR="0" wp14:anchorId="251B913E" wp14:editId="2D9FC41A">
            <wp:extent cx="2810462" cy="2151701"/>
            <wp:effectExtent l="0" t="0" r="9525" b="127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9438" cy="2150917"/>
                    </a:xfrm>
                    <a:prstGeom prst="rect">
                      <a:avLst/>
                    </a:prstGeom>
                    <a:noFill/>
                    <a:ln>
                      <a:noFill/>
                    </a:ln>
                  </pic:spPr>
                </pic:pic>
              </a:graphicData>
            </a:graphic>
          </wp:inline>
        </w:drawing>
      </w:r>
      <w:r w:rsidRPr="00F5538C">
        <w:rPr>
          <w:rFonts w:asciiTheme="minorHAnsi" w:hAnsiTheme="minorHAnsi"/>
          <w:noProof/>
          <w:sz w:val="22"/>
          <w:szCs w:val="22"/>
          <w:lang w:val="sv-FI" w:eastAsia="sv-FI"/>
        </w:rPr>
        <w:drawing>
          <wp:inline distT="0" distB="0" distL="0" distR="0" wp14:anchorId="6532E559" wp14:editId="6C95613E">
            <wp:extent cx="2733675" cy="2092912"/>
            <wp:effectExtent l="0" t="0" r="0" b="3175"/>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2679" cy="2092149"/>
                    </a:xfrm>
                    <a:prstGeom prst="rect">
                      <a:avLst/>
                    </a:prstGeom>
                    <a:noFill/>
                    <a:ln>
                      <a:noFill/>
                    </a:ln>
                  </pic:spPr>
                </pic:pic>
              </a:graphicData>
            </a:graphic>
          </wp:inline>
        </w:drawing>
      </w:r>
    </w:p>
    <w:p w:rsidR="00F5538C" w:rsidRPr="00F5538C" w:rsidRDefault="00F5538C" w:rsidP="00F5538C">
      <w:pPr>
        <w:snapToGrid w:val="0"/>
        <w:spacing w:after="120"/>
        <w:jc w:val="center"/>
        <w:rPr>
          <w:rFonts w:asciiTheme="minorHAnsi" w:eastAsia="MS PGothic" w:hAnsiTheme="minorHAnsi"/>
          <w:color w:val="000000"/>
          <w:sz w:val="22"/>
          <w:szCs w:val="22"/>
          <w:lang w:val="en-US"/>
        </w:rPr>
      </w:pPr>
      <w:proofErr w:type="gramStart"/>
      <w:r w:rsidRPr="00F5538C">
        <w:rPr>
          <w:rFonts w:asciiTheme="minorHAnsi" w:eastAsia="MS PGothic" w:hAnsiTheme="minorHAnsi"/>
          <w:b/>
          <w:color w:val="000000"/>
          <w:sz w:val="22"/>
          <w:szCs w:val="22"/>
          <w:lang w:val="en-US"/>
        </w:rPr>
        <w:t>Figure 1</w:t>
      </w:r>
      <w:r w:rsidRPr="00F5538C">
        <w:rPr>
          <w:rFonts w:asciiTheme="minorHAnsi" w:eastAsia="MS PGothic" w:hAnsiTheme="minorHAnsi"/>
          <w:b/>
          <w:color w:val="000000"/>
          <w:sz w:val="22"/>
          <w:szCs w:val="22"/>
          <w:lang w:val="en-US" w:eastAsia="ko-KR"/>
        </w:rPr>
        <w:t>.</w:t>
      </w:r>
      <w:proofErr w:type="gramEnd"/>
      <w:r w:rsidRPr="00F5538C">
        <w:rPr>
          <w:rFonts w:asciiTheme="minorHAnsi" w:eastAsia="MS PGothic" w:hAnsiTheme="minorHAnsi"/>
          <w:color w:val="000000"/>
          <w:sz w:val="22"/>
          <w:szCs w:val="22"/>
          <w:lang w:val="en-US"/>
        </w:rPr>
        <w:t xml:space="preserve"> </w:t>
      </w:r>
      <w:r w:rsidRPr="00F5538C">
        <w:rPr>
          <w:rFonts w:asciiTheme="minorHAnsi" w:hAnsiTheme="minorHAnsi"/>
          <w:sz w:val="22"/>
          <w:szCs w:val="22"/>
          <w:lang w:val="en-US"/>
        </w:rPr>
        <w:t xml:space="preserve"> </w:t>
      </w:r>
      <w:r>
        <w:rPr>
          <w:rFonts w:asciiTheme="minorHAnsi" w:hAnsiTheme="minorHAnsi"/>
          <w:sz w:val="22"/>
          <w:szCs w:val="22"/>
          <w:lang w:val="en-US"/>
        </w:rPr>
        <w:t>CO</w:t>
      </w:r>
      <w:r w:rsidRPr="00F5538C">
        <w:rPr>
          <w:rFonts w:asciiTheme="minorHAnsi" w:hAnsiTheme="minorHAnsi"/>
          <w:sz w:val="22"/>
          <w:szCs w:val="22"/>
          <w:lang w:val="en-US"/>
        </w:rPr>
        <w:t xml:space="preserve"> (A) and </w:t>
      </w:r>
      <w:r>
        <w:rPr>
          <w:rFonts w:asciiTheme="minorHAnsi" w:hAnsiTheme="minorHAnsi"/>
          <w:sz w:val="22"/>
          <w:szCs w:val="22"/>
          <w:lang w:val="en-US"/>
        </w:rPr>
        <w:t>H</w:t>
      </w:r>
      <w:r w:rsidRPr="00F5538C">
        <w:rPr>
          <w:rFonts w:asciiTheme="minorHAnsi" w:hAnsiTheme="minorHAnsi"/>
          <w:sz w:val="22"/>
          <w:szCs w:val="22"/>
          <w:vertAlign w:val="subscript"/>
          <w:lang w:val="en-US"/>
        </w:rPr>
        <w:t>2</w:t>
      </w:r>
      <w:r w:rsidRPr="00F5538C">
        <w:rPr>
          <w:rFonts w:asciiTheme="minorHAnsi" w:hAnsiTheme="minorHAnsi"/>
          <w:sz w:val="22"/>
          <w:szCs w:val="22"/>
          <w:lang w:val="en-US"/>
        </w:rPr>
        <w:t xml:space="preserve"> (B) concentration profiles inside the catalyst particle. </w:t>
      </w:r>
    </w:p>
    <w:p w:rsidR="00F5538C" w:rsidRPr="00F5538C" w:rsidRDefault="00F5538C" w:rsidP="00F5538C">
      <w:pPr>
        <w:snapToGrid w:val="0"/>
        <w:spacing w:before="240" w:line="300" w:lineRule="auto"/>
        <w:rPr>
          <w:rFonts w:asciiTheme="minorHAnsi" w:eastAsia="MS PGothic" w:hAnsiTheme="minorHAnsi"/>
          <w:color w:val="000000"/>
          <w:sz w:val="22"/>
          <w:szCs w:val="22"/>
          <w:lang w:val="en-US" w:eastAsia="ko-KR"/>
        </w:rPr>
      </w:pPr>
      <w:r w:rsidRPr="00F5538C">
        <w:rPr>
          <w:rFonts w:asciiTheme="minorHAnsi" w:eastAsia="MS PGothic" w:hAnsiTheme="minorHAnsi"/>
          <w:b/>
          <w:bCs/>
          <w:color w:val="000000"/>
          <w:sz w:val="22"/>
          <w:szCs w:val="22"/>
          <w:lang w:val="en-US"/>
        </w:rPr>
        <w:t>4. Conclusion</w:t>
      </w:r>
      <w:r w:rsidRPr="00F5538C">
        <w:rPr>
          <w:rFonts w:asciiTheme="minorHAnsi" w:eastAsia="MS PGothic" w:hAnsiTheme="minorHAnsi"/>
          <w:b/>
          <w:bCs/>
          <w:color w:val="000000"/>
          <w:sz w:val="22"/>
          <w:szCs w:val="22"/>
          <w:lang w:val="en-US" w:eastAsia="ko-KR"/>
        </w:rPr>
        <w:t>s</w:t>
      </w:r>
    </w:p>
    <w:p w:rsidR="00F5538C" w:rsidRPr="00F5538C" w:rsidRDefault="00F5538C" w:rsidP="00F5538C">
      <w:pPr>
        <w:snapToGrid w:val="0"/>
        <w:spacing w:after="120"/>
        <w:rPr>
          <w:rFonts w:asciiTheme="minorHAnsi" w:hAnsiTheme="minorHAnsi"/>
          <w:sz w:val="22"/>
          <w:szCs w:val="22"/>
          <w:lang w:val="en-US"/>
        </w:rPr>
      </w:pPr>
      <w:r w:rsidRPr="00F5538C">
        <w:rPr>
          <w:rFonts w:asciiTheme="minorHAnsi" w:hAnsiTheme="minorHAnsi"/>
          <w:sz w:val="22"/>
          <w:szCs w:val="22"/>
          <w:lang w:val="en-US"/>
        </w:rPr>
        <w:t xml:space="preserve">Rapid methods are very valuable in the determination of the kinetic and mass transfer effects for heterogeneously catalyzed reactions. The total pressure method is a classical tool in the measurement of the kinetics of gas-phase reactions. It can be successfully applied to the kinetics of gas-phase processes enhanced by solid catalysts. A general theory for the analysis of heterogeneously catalyzed gas-phase kinetics in stirred batch reactors was presented for the case of the kinetic control and combined kinetic-diffusion control. The concept was successfully applied to gas-phase synthesis of methanol from carbon monoxide and hydrogen. </w:t>
      </w:r>
    </w:p>
    <w:sectPr w:rsidR="00F5538C" w:rsidRPr="00F5538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E4" w:rsidRDefault="00B609E4" w:rsidP="004F5E36">
      <w:r>
        <w:separator/>
      </w:r>
    </w:p>
  </w:endnote>
  <w:endnote w:type="continuationSeparator" w:id="0">
    <w:p w:rsidR="00B609E4" w:rsidRDefault="00B609E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E4" w:rsidRDefault="00B609E4" w:rsidP="004F5E36">
      <w:r>
        <w:separator/>
      </w:r>
    </w:p>
  </w:footnote>
  <w:footnote w:type="continuationSeparator" w:id="0">
    <w:p w:rsidR="00B609E4" w:rsidRDefault="00B609E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sv-FI" w:eastAsia="sv-FI"/>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sv-FI" w:eastAsia="sv-FI"/>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sv-FI" w:eastAsia="sv-FI"/>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sv-FI" w:eastAsia="sv-FI"/>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C255439"/>
    <w:multiLevelType w:val="hybridMultilevel"/>
    <w:tmpl w:val="F066197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6"/>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63556"/>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C5579"/>
    <w:rsid w:val="00704BDF"/>
    <w:rsid w:val="00736B13"/>
    <w:rsid w:val="007447F3"/>
    <w:rsid w:val="007661C8"/>
    <w:rsid w:val="007D52CD"/>
    <w:rsid w:val="007F2689"/>
    <w:rsid w:val="00813288"/>
    <w:rsid w:val="008168FC"/>
    <w:rsid w:val="00847321"/>
    <w:rsid w:val="008479A2"/>
    <w:rsid w:val="0087637F"/>
    <w:rsid w:val="008A1512"/>
    <w:rsid w:val="008D0BEB"/>
    <w:rsid w:val="008E566E"/>
    <w:rsid w:val="00901EB6"/>
    <w:rsid w:val="00920C39"/>
    <w:rsid w:val="00940D1E"/>
    <w:rsid w:val="009450CE"/>
    <w:rsid w:val="0095164B"/>
    <w:rsid w:val="00996483"/>
    <w:rsid w:val="009E788A"/>
    <w:rsid w:val="00A1763D"/>
    <w:rsid w:val="00A17CEC"/>
    <w:rsid w:val="00A27EF0"/>
    <w:rsid w:val="00A76EFC"/>
    <w:rsid w:val="00A97F29"/>
    <w:rsid w:val="00AB0964"/>
    <w:rsid w:val="00AE377D"/>
    <w:rsid w:val="00B609E4"/>
    <w:rsid w:val="00B61DBF"/>
    <w:rsid w:val="00BC30C9"/>
    <w:rsid w:val="00BE3E58"/>
    <w:rsid w:val="00C01616"/>
    <w:rsid w:val="00C0162B"/>
    <w:rsid w:val="00C345B1"/>
    <w:rsid w:val="00C40142"/>
    <w:rsid w:val="00C57182"/>
    <w:rsid w:val="00C655FD"/>
    <w:rsid w:val="00C94434"/>
    <w:rsid w:val="00CA1C95"/>
    <w:rsid w:val="00CA5A9C"/>
    <w:rsid w:val="00CD5FE2"/>
    <w:rsid w:val="00D02B4C"/>
    <w:rsid w:val="00D84576"/>
    <w:rsid w:val="00DE0019"/>
    <w:rsid w:val="00DE264A"/>
    <w:rsid w:val="00E041E7"/>
    <w:rsid w:val="00E23CA1"/>
    <w:rsid w:val="00E409A8"/>
    <w:rsid w:val="00E47211"/>
    <w:rsid w:val="00E7209D"/>
    <w:rsid w:val="00EA50E1"/>
    <w:rsid w:val="00EE0131"/>
    <w:rsid w:val="00F30C64"/>
    <w:rsid w:val="00F5538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F5538C"/>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F5538C"/>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2B149-C5D3-4DCB-A340-CDC09F3E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3706</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Tapio Salmi</cp:lastModifiedBy>
  <cp:revision>2</cp:revision>
  <cp:lastPrinted>2019-01-14T19:09:00Z</cp:lastPrinted>
  <dcterms:created xsi:type="dcterms:W3CDTF">2019-01-14T19:23:00Z</dcterms:created>
  <dcterms:modified xsi:type="dcterms:W3CDTF">2019-01-14T19:23:00Z</dcterms:modified>
</cp:coreProperties>
</file>