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151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12"/>
          <w:headerReference w:type="first" r:id="rId13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3DFF3DE" w14:textId="3D44D7FC" w:rsidR="00704BDF" w:rsidRPr="00674E0D" w:rsidRDefault="00C84AE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E7116">
        <w:rPr>
          <w:rFonts w:asciiTheme="minorHAnsi" w:eastAsia="MS PGothic" w:hAnsiTheme="minorHAnsi"/>
          <w:b/>
          <w:bCs/>
          <w:sz w:val="28"/>
          <w:szCs w:val="28"/>
          <w:lang w:val="en-US"/>
        </w:rPr>
        <w:t>Sorption enhanced dimethyl ether synthesis</w:t>
      </w:r>
      <w:r w:rsidR="0008148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</w:t>
      </w:r>
      <w:r w:rsidR="005E711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high carbon efficiencies</w:t>
      </w:r>
    </w:p>
    <w:p w14:paraId="619B5454" w14:textId="432F35A1" w:rsidR="00DE0019" w:rsidRPr="00C84AE5" w:rsidRDefault="00C84AE5" w:rsidP="00704BDF">
      <w:pPr>
        <w:snapToGrid w:val="0"/>
        <w:spacing w:after="120"/>
        <w:jc w:val="center"/>
        <w:rPr>
          <w:rFonts w:eastAsia="SimSun"/>
          <w:color w:val="000000"/>
          <w:lang w:val="nl-NL" w:eastAsia="zh-CN"/>
        </w:rPr>
      </w:pPr>
      <w:r w:rsidRPr="00C84AE5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Jasper van Kampen</w:t>
      </w:r>
      <w:r w:rsidR="00704BDF" w:rsidRPr="00C84AE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Pr="00C84AE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,2</w:t>
      </w:r>
      <w:r w:rsidRPr="00C84AE5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 Ju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r</w:t>
      </w:r>
      <w:r w:rsidRPr="00C84AE5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riaan B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oon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 Jaap Vente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 Martin van Sint Annaland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2</w:t>
      </w:r>
      <w:r w:rsidR="00DE0019" w:rsidRPr="00C84AE5">
        <w:rPr>
          <w:rFonts w:eastAsia="SimSun"/>
          <w:color w:val="000000"/>
          <w:lang w:val="nl-NL" w:eastAsia="zh-CN"/>
        </w:rPr>
        <w:t xml:space="preserve"> </w:t>
      </w:r>
    </w:p>
    <w:p w14:paraId="0D6F4240" w14:textId="24B04F14" w:rsidR="00F47F92" w:rsidRPr="00F47F92" w:rsidRDefault="00704BDF" w:rsidP="00F47F92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</w:rPr>
      </w:pPr>
      <w:r w:rsidRPr="00F47F9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F47F92" w:rsidRPr="00F47F92">
        <w:rPr>
          <w:rFonts w:asciiTheme="minorHAnsi" w:eastAsia="MS PGothic" w:hAnsiTheme="minorHAnsi" w:cstheme="minorHAnsi"/>
          <w:i/>
          <w:iCs/>
          <w:color w:val="000000"/>
          <w:sz w:val="20"/>
        </w:rPr>
        <w:t>Sustainable Process Technology, ECN</w:t>
      </w:r>
      <w:r w:rsidR="00833A67">
        <w:rPr>
          <w:rFonts w:asciiTheme="minorHAnsi" w:eastAsia="MS PGothic" w:hAnsiTheme="minorHAnsi" w:cstheme="minorHAnsi"/>
          <w:i/>
          <w:iCs/>
          <w:color w:val="000000"/>
          <w:sz w:val="20"/>
        </w:rPr>
        <w:t>/TNO</w:t>
      </w:r>
      <w:r w:rsidR="00F47F92" w:rsidRPr="00F47F92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, </w:t>
      </w:r>
      <w:proofErr w:type="spellStart"/>
      <w:r w:rsidR="00F47F92" w:rsidRPr="00F47F92">
        <w:rPr>
          <w:rFonts w:asciiTheme="minorHAnsi" w:eastAsia="MS PGothic" w:hAnsiTheme="minorHAnsi" w:cstheme="minorHAnsi"/>
          <w:i/>
          <w:iCs/>
          <w:color w:val="000000"/>
          <w:sz w:val="20"/>
        </w:rPr>
        <w:t>Petten</w:t>
      </w:r>
      <w:proofErr w:type="spellEnd"/>
      <w:r w:rsidR="00F47F92" w:rsidRPr="00F47F92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, The Netherlands; </w:t>
      </w:r>
      <w:r w:rsidR="00F47F92" w:rsidRPr="00F47F92">
        <w:rPr>
          <w:rFonts w:asciiTheme="minorHAnsi" w:eastAsia="MS PGothic" w:hAnsiTheme="minorHAnsi" w:cstheme="minorHAnsi"/>
          <w:i/>
          <w:iCs/>
          <w:color w:val="000000"/>
          <w:sz w:val="20"/>
        </w:rPr>
        <w:br/>
        <w:t xml:space="preserve">2 Chemical Process Intensification, TU/e, Eindhoven, The Netherlands </w:t>
      </w:r>
    </w:p>
    <w:p w14:paraId="370ACC0F" w14:textId="10D1296F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C84AE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jasper.vankampen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84AE5">
        <w:rPr>
          <w:rFonts w:asciiTheme="minorHAnsi" w:eastAsia="MS PGothic" w:hAnsiTheme="minorHAnsi"/>
          <w:bCs/>
          <w:i/>
          <w:iCs/>
          <w:sz w:val="20"/>
          <w:lang w:val="en-US"/>
        </w:rPr>
        <w:t>tno.nl</w:t>
      </w:r>
    </w:p>
    <w:p w14:paraId="3443209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66B72AF" w14:textId="3BDCC6C8" w:rsidR="00A13990" w:rsidRPr="00A13990" w:rsidRDefault="00A13990" w:rsidP="00A13990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A13990">
        <w:rPr>
          <w:rFonts w:asciiTheme="minorHAnsi" w:hAnsiTheme="minorHAnsi"/>
          <w:sz w:val="20"/>
          <w:lang w:val="en-US"/>
        </w:rPr>
        <w:t>SEDMES: direct synthesis of DME from syngas</w:t>
      </w:r>
      <w:r>
        <w:rPr>
          <w:rFonts w:asciiTheme="minorHAnsi" w:hAnsiTheme="minorHAnsi"/>
          <w:sz w:val="20"/>
          <w:lang w:val="en-US"/>
        </w:rPr>
        <w:t xml:space="preserve"> and CO</w:t>
      </w:r>
      <w:r>
        <w:rPr>
          <w:rFonts w:asciiTheme="minorHAnsi" w:hAnsiTheme="minorHAnsi"/>
          <w:sz w:val="20"/>
          <w:vertAlign w:val="subscript"/>
          <w:lang w:val="en-US"/>
        </w:rPr>
        <w:t>2</w:t>
      </w:r>
      <w:r w:rsidRPr="00A13990">
        <w:rPr>
          <w:rFonts w:asciiTheme="minorHAnsi" w:hAnsiTheme="minorHAnsi"/>
          <w:sz w:val="20"/>
          <w:lang w:val="en-US"/>
        </w:rPr>
        <w:t xml:space="preserve"> by in situ H</w:t>
      </w:r>
      <w:r w:rsidRPr="00A13990">
        <w:rPr>
          <w:rFonts w:asciiTheme="minorHAnsi" w:hAnsiTheme="minorHAnsi"/>
          <w:sz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lang w:val="en-US"/>
        </w:rPr>
        <w:t>O adsorption.</w:t>
      </w:r>
    </w:p>
    <w:p w14:paraId="74B1076B" w14:textId="38F2605A" w:rsidR="00AD347F" w:rsidRDefault="00D624FA" w:rsidP="00AD347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8B7743">
        <w:rPr>
          <w:rFonts w:asciiTheme="minorHAnsi" w:hAnsiTheme="minorHAnsi"/>
        </w:rPr>
        <w:t xml:space="preserve"> dynamic cycle model </w:t>
      </w:r>
      <w:r w:rsidR="0025728A">
        <w:rPr>
          <w:rFonts w:asciiTheme="minorHAnsi" w:hAnsiTheme="minorHAnsi"/>
        </w:rPr>
        <w:t>adequately</w:t>
      </w:r>
      <w:r w:rsidR="008B7743" w:rsidRPr="008B7743">
        <w:rPr>
          <w:rFonts w:asciiTheme="minorHAnsi" w:hAnsiTheme="minorHAnsi"/>
        </w:rPr>
        <w:t xml:space="preserve"> describes</w:t>
      </w:r>
      <w:r w:rsidR="008B7743">
        <w:rPr>
          <w:rFonts w:asciiTheme="minorHAnsi" w:hAnsiTheme="minorHAnsi"/>
        </w:rPr>
        <w:t xml:space="preserve"> the SEDMES experimental results.</w:t>
      </w:r>
      <w:r w:rsidR="008B7743" w:rsidRPr="008B7743">
        <w:rPr>
          <w:rFonts w:asciiTheme="minorHAnsi" w:hAnsiTheme="minorHAnsi"/>
        </w:rPr>
        <w:t xml:space="preserve"> </w:t>
      </w:r>
    </w:p>
    <w:p w14:paraId="0EC28057" w14:textId="6A288011" w:rsidR="00704BDF" w:rsidRPr="003C5B13" w:rsidRDefault="00B40F2F" w:rsidP="00AD347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C5B13">
        <w:rPr>
          <w:rFonts w:asciiTheme="minorHAnsi" w:hAnsiTheme="minorHAnsi"/>
        </w:rPr>
        <w:t>T</w:t>
      </w:r>
      <w:r w:rsidR="00AD347F" w:rsidRPr="003C5B13">
        <w:rPr>
          <w:rFonts w:asciiTheme="minorHAnsi" w:hAnsiTheme="minorHAnsi"/>
        </w:rPr>
        <w:t xml:space="preserve">he </w:t>
      </w:r>
      <w:r w:rsidR="00CC3607" w:rsidRPr="003C5B13">
        <w:rPr>
          <w:rFonts w:asciiTheme="minorHAnsi" w:hAnsiTheme="minorHAnsi"/>
        </w:rPr>
        <w:t>working</w:t>
      </w:r>
      <w:r w:rsidR="003C5B13" w:rsidRPr="003C5B13">
        <w:rPr>
          <w:rFonts w:asciiTheme="minorHAnsi" w:hAnsiTheme="minorHAnsi"/>
        </w:rPr>
        <w:t xml:space="preserve"> capacity can be tuned by the  adsorption and regeneration conditions.</w:t>
      </w:r>
    </w:p>
    <w:p w14:paraId="2EC601AA" w14:textId="3624287E" w:rsidR="003C5B13" w:rsidRPr="003C5B13" w:rsidRDefault="003C5B13" w:rsidP="00AD347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C5B13">
        <w:rPr>
          <w:rFonts w:asciiTheme="minorHAnsi" w:hAnsiTheme="minorHAnsi"/>
        </w:rPr>
        <w:t>Cyclic stability confirmed for more than 100 cycles.</w:t>
      </w:r>
    </w:p>
    <w:p w14:paraId="490EA689" w14:textId="77777777" w:rsidR="00B40F2F" w:rsidRPr="00AD347F" w:rsidRDefault="00B40F2F" w:rsidP="00B40F2F">
      <w:pPr>
        <w:pStyle w:val="AbstractBody"/>
        <w:ind w:left="1440"/>
        <w:rPr>
          <w:rFonts w:asciiTheme="minorHAnsi" w:hAnsiTheme="minorHAnsi"/>
        </w:rPr>
      </w:pPr>
    </w:p>
    <w:p w14:paraId="56C231FE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C216519" w14:textId="0340285F" w:rsidR="00E5685B" w:rsidRDefault="00B17CAF" w:rsidP="00B80954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</w:rPr>
        <w:t>Utilisation of CO</w:t>
      </w:r>
      <w:r w:rsidRPr="00245DF8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is expected to play a crucial role to enable </w:t>
      </w:r>
      <w:r w:rsidR="0025728A">
        <w:rPr>
          <w:rFonts w:asciiTheme="minorHAnsi" w:eastAsia="MS PGothic" w:hAnsiTheme="minorHAnsi" w:cstheme="minorHAnsi"/>
          <w:color w:val="000000"/>
          <w:sz w:val="22"/>
          <w:szCs w:val="22"/>
        </w:rPr>
        <w:t>sustainable</w:t>
      </w:r>
      <w:r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industrial production of carbon-based products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>, the large-scale storage and transport of renewable energy, and the production of renewable fuels. An important criterion for the value chain for converting the available CO</w:t>
      </w:r>
      <w:r w:rsidR="00FD6F9B" w:rsidRPr="00245DF8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</w:rPr>
        <w:t>2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, e.g. from biogenic origin, is a high carbon efficiency </w:t>
      </w:r>
      <w:r w:rsidR="00960F3C">
        <w:rPr>
          <w:rFonts w:asciiTheme="minorHAnsi" w:eastAsia="MS PGothic" w:hAnsiTheme="minorHAnsi" w:cstheme="minorHAnsi"/>
          <w:color w:val="000000"/>
          <w:sz w:val="22"/>
          <w:szCs w:val="22"/>
        </w:rPr>
        <w:t>[1].</w:t>
      </w:r>
      <w:r w:rsidR="00245DF8">
        <w:t xml:space="preserve"> 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>Very high carbon efficiencies have indeed been demonstrated for the conversion of synthesis gas and CO</w:t>
      </w:r>
      <w:r w:rsidR="00FD6F9B" w:rsidRPr="00245DF8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</w:rPr>
        <w:t>2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to DME (</w:t>
      </w:r>
      <w:r w:rsidR="00B80954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clean 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>alternative fuel and platform chemical) by sorption</w:t>
      </w:r>
      <w:r w:rsidR="00421A64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</w:t>
      </w:r>
      <w:r w:rsidR="00FD6F9B">
        <w:rPr>
          <w:rFonts w:asciiTheme="minorHAnsi" w:eastAsia="MS PGothic" w:hAnsiTheme="minorHAnsi" w:cstheme="minorHAnsi"/>
          <w:color w:val="000000"/>
          <w:sz w:val="22"/>
          <w:szCs w:val="22"/>
        </w:rPr>
        <w:t>enhanced DME synthesis (SEDMES)</w:t>
      </w:r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[</w:t>
      </w:r>
      <w:r w:rsidR="00421A64">
        <w:rPr>
          <w:rFonts w:asciiTheme="minorHAnsi" w:eastAsia="MS PGothic" w:hAnsiTheme="minorHAnsi" w:cstheme="minorHAnsi"/>
          <w:color w:val="000000"/>
          <w:sz w:val="22"/>
          <w:szCs w:val="22"/>
        </w:rPr>
        <w:t>2, 3</w:t>
      </w:r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], in which water is removed in situ by the use of a solid adsorbent. The concept is based on Le </w:t>
      </w:r>
      <w:proofErr w:type="spellStart"/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>Cha</w:t>
      </w:r>
      <w:bookmarkStart w:id="0" w:name="_GoBack"/>
      <w:bookmarkEnd w:id="0"/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>telier’s</w:t>
      </w:r>
      <w:proofErr w:type="spellEnd"/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principle stating that reactant conversion to products in an equilibrium limited reaction is increased by selectively removing reaction products. Experimental proof-of-principle has shown increased DME yield, improved selectivity towards DME over methanol and reduced CO</w:t>
      </w:r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</w:rPr>
        <w:t>2</w:t>
      </w:r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content in the product [</w:t>
      </w:r>
      <w:r w:rsidR="00421A64">
        <w:rPr>
          <w:rFonts w:asciiTheme="minorHAnsi" w:eastAsia="MS PGothic" w:hAnsiTheme="minorHAnsi" w:cstheme="minorHAnsi"/>
          <w:color w:val="000000"/>
          <w:sz w:val="22"/>
          <w:szCs w:val="22"/>
        </w:rPr>
        <w:t>2</w:t>
      </w:r>
      <w:r w:rsidR="001E201E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, </w:t>
      </w:r>
      <w:r w:rsidR="00421A64">
        <w:rPr>
          <w:rFonts w:asciiTheme="minorHAnsi" w:eastAsia="MS PGothic" w:hAnsiTheme="minorHAnsi" w:cstheme="minorHAnsi"/>
          <w:color w:val="000000"/>
          <w:sz w:val="22"/>
          <w:szCs w:val="22"/>
        </w:rPr>
        <w:t>4</w:t>
      </w:r>
      <w:r w:rsidR="00BA1106" w:rsidRPr="00BA1106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]. </w:t>
      </w:r>
      <w:r w:rsidR="00455950" w:rsidRPr="004559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This contribution will present an elaborate model study on the</w:t>
      </w:r>
      <w:r w:rsidR="00737BA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cyclic</w:t>
      </w:r>
      <w:r w:rsidR="00455950" w:rsidRPr="004559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SEDMES process</w:t>
      </w:r>
      <w:r w:rsidR="00172B7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which is conducted in parallel to </w:t>
      </w:r>
      <w:r w:rsidR="00421A6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 </w:t>
      </w:r>
      <w:r w:rsidR="00172B7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experimental research line</w:t>
      </w:r>
      <w:r w:rsidR="00455950" w:rsidRPr="004559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</w:rPr>
        <w:t>The combination of</w:t>
      </w:r>
      <w:r w:rsidR="00E5685B" w:rsidRPr="00D361AD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theory and experim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</w:rPr>
        <w:t>ents in a fundamental way</w:t>
      </w:r>
      <w:r w:rsidR="00E5685B" w:rsidRPr="00D361AD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is crucial for a proper understanding of this type of process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</w:rPr>
        <w:t>.</w:t>
      </w:r>
    </w:p>
    <w:p w14:paraId="1664CB8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F558716" w14:textId="0608CB0A" w:rsidR="00C806FC" w:rsidRPr="00C806FC" w:rsidRDefault="00C806FC" w:rsidP="00FA4C99">
      <w:pPr>
        <w:snapToGrid w:val="0"/>
        <w:spacing w:after="120"/>
        <w:rPr>
          <w:rFonts w:asciiTheme="minorHAnsi" w:eastAsia="MS PGothic" w:hAnsiTheme="minorHAnsi" w:cstheme="minorHAnsi"/>
          <w:i/>
          <w:color w:val="000000"/>
          <w:sz w:val="22"/>
          <w:szCs w:val="22"/>
        </w:rPr>
      </w:pP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Both </w:t>
      </w:r>
      <w:r w:rsidR="00AA6D97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a 1D dynamic cycle 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model</w:t>
      </w:r>
      <w:r w:rsidR="00AA6D97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was developed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</w:t>
      </w:r>
      <w:r w:rsidR="0008148A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and verified 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using </w:t>
      </w:r>
      <w:proofErr w:type="spellStart"/>
      <w:r w:rsidR="00AA6D97">
        <w:rPr>
          <w:rFonts w:asciiTheme="minorHAnsi" w:eastAsia="MS PGothic" w:hAnsiTheme="minorHAnsi" w:cstheme="minorHAnsi"/>
          <w:color w:val="000000"/>
          <w:sz w:val="22"/>
          <w:szCs w:val="22"/>
        </w:rPr>
        <w:t>Matlab</w:t>
      </w:r>
      <w:proofErr w:type="spellEnd"/>
      <w:r w:rsidR="0008148A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, 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and transient experiments</w:t>
      </w:r>
      <w:r w:rsidR="0025728A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in a packed-bed reactor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were performed for various</w:t>
      </w:r>
      <w:r w:rsidR="0008148A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stoichiometric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feed compositions and inert N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</w:rPr>
        <w:t>2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, Ar. Commercial copper/zinc oxide/alumina catalyst and commercial zeolite A steam adsorbent (</w:t>
      </w:r>
      <w:r w:rsidR="00AA6D97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mixed in different </w:t>
      </w:r>
      <w:r w:rsidR="0025728A">
        <w:rPr>
          <w:rFonts w:asciiTheme="minorHAnsi" w:eastAsia="MS PGothic" w:hAnsiTheme="minorHAnsi" w:cstheme="minorHAnsi"/>
          <w:color w:val="000000"/>
          <w:sz w:val="22"/>
          <w:szCs w:val="22"/>
        </w:rPr>
        <w:t>ratio</w:t>
      </w:r>
      <w:r w:rsidR="00AA6D97">
        <w:rPr>
          <w:rFonts w:asciiTheme="minorHAnsi" w:eastAsia="MS PGothic" w:hAnsiTheme="minorHAnsi" w:cstheme="minorHAnsi"/>
          <w:color w:val="000000"/>
          <w:sz w:val="22"/>
          <w:szCs w:val="22"/>
        </w:rPr>
        <w:t>s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) were used experimentally</w:t>
      </w:r>
      <w:r w:rsidR="002B1CF7">
        <w:rPr>
          <w:rFonts w:asciiTheme="minorHAnsi" w:eastAsia="MS PGothic" w:hAnsiTheme="minorHAnsi" w:cstheme="minorHAnsi"/>
          <w:color w:val="000000"/>
          <w:sz w:val="22"/>
          <w:szCs w:val="22"/>
        </w:rPr>
        <w:t>. Adsorption was conducted at 2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5</w:t>
      </w:r>
      <w:r w:rsidR="002B1CF7">
        <w:rPr>
          <w:rFonts w:asciiTheme="minorHAnsi" w:eastAsia="MS PGothic" w:hAnsiTheme="minorHAnsi" w:cstheme="minorHAnsi"/>
          <w:color w:val="000000"/>
          <w:sz w:val="22"/>
          <w:szCs w:val="22"/>
        </w:rPr>
        <w:t>0-300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> °C, 25</w:t>
      </w:r>
      <w:r w:rsidR="002B1CF7">
        <w:rPr>
          <w:rFonts w:asciiTheme="minorHAnsi" w:eastAsia="MS PGothic" w:hAnsiTheme="minorHAnsi" w:cstheme="minorHAnsi"/>
          <w:color w:val="000000"/>
          <w:sz w:val="22"/>
          <w:szCs w:val="22"/>
        </w:rPr>
        <w:t>-40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bar(a) and with different feed gas compositions. Regeneration was done by switching to dry gas, depressu</w:t>
      </w:r>
      <w:r w:rsidR="0025728A">
        <w:rPr>
          <w:rFonts w:asciiTheme="minorHAnsi" w:eastAsia="MS PGothic" w:hAnsiTheme="minorHAnsi" w:cstheme="minorHAnsi"/>
          <w:color w:val="000000"/>
          <w:sz w:val="22"/>
          <w:szCs w:val="22"/>
        </w:rPr>
        <w:t>risation and eventual heating</w:t>
      </w:r>
      <w:r w:rsidRPr="00C806F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to 400 °C. Analysis was done by a combination of mass spectrometry and GC.</w:t>
      </w:r>
    </w:p>
    <w:p w14:paraId="6BA1FD1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8C1296C" w14:textId="77A9F5EE" w:rsidR="00467793" w:rsidRDefault="0025728A" w:rsidP="00FA4C99">
      <w:pPr>
        <w:keepNext/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of a</w:t>
      </w:r>
      <w:r w:rsidR="00911971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ative breakthrough experiment of sorption enhanced DME synthesis are</w:t>
      </w:r>
      <w:r w:rsidR="00911971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in </w:t>
      </w:r>
      <w:r w:rsidR="00467793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67793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_Ref532389522 \h  \* MERGEFORMAT </w:instrText>
      </w:r>
      <w:r w:rsidR="00467793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467793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67793" w:rsidRPr="00197263">
        <w:rPr>
          <w:rFonts w:asciiTheme="minorHAnsi" w:hAnsiTheme="minorHAnsi" w:cstheme="minorHAnsi"/>
          <w:sz w:val="22"/>
          <w:szCs w:val="22"/>
        </w:rPr>
        <w:t xml:space="preserve">Figure </w:t>
      </w:r>
      <w:r w:rsidR="00467793" w:rsidRPr="00197263">
        <w:rPr>
          <w:rFonts w:asciiTheme="minorHAnsi" w:hAnsiTheme="minorHAnsi" w:cstheme="minorHAnsi"/>
          <w:noProof/>
          <w:sz w:val="22"/>
          <w:szCs w:val="22"/>
        </w:rPr>
        <w:t>1</w:t>
      </w:r>
      <w:r w:rsidR="00467793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Pre-breakthrough of steam, DME and unconverted CO are the primary products. After steam breakthrough the concentration of DME drops, accompanied with the breakthrough of 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methanol</w:t>
      </w:r>
      <w:r w:rsidR="00DF3C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indicating saturation of the adsorbent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As can be seen in 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_Ref532389522 \h </w:instrText>
      </w:r>
      <w:r w:rsid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\* MERGEFORMAT </w:instrTex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9F58CE" w:rsidRPr="00197263">
        <w:rPr>
          <w:rFonts w:asciiTheme="minorHAnsi" w:hAnsiTheme="minorHAnsi" w:cstheme="minorHAnsi"/>
          <w:sz w:val="22"/>
          <w:szCs w:val="22"/>
        </w:rPr>
        <w:t xml:space="preserve">Figure </w:t>
      </w:r>
      <w:r w:rsidR="009F58CE" w:rsidRPr="00197263">
        <w:rPr>
          <w:rFonts w:asciiTheme="minorHAnsi" w:hAnsiTheme="minorHAnsi" w:cstheme="minorHAnsi"/>
          <w:noProof/>
          <w:sz w:val="22"/>
          <w:szCs w:val="22"/>
        </w:rPr>
        <w:t>1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dynamic cycle model, using reaction kinetics and a water adsorption isotherm from literature,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adequately</w:t>
      </w:r>
      <w:r w:rsidR="00DC42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describes</w:t>
      </w:r>
      <w:r w:rsidR="00CB6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experimental results</w:t>
      </w:r>
      <w:r w:rsidR="009F58CE" w:rsidRPr="0019726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36E1A" w:rsidRPr="00C36E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</w:t>
      </w:r>
      <w:r w:rsidR="001A6866" w:rsidRPr="004559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elaborate model study</w:t>
      </w:r>
      <w:r w:rsidR="001A686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supported by experimental work, shows an operating window for the SEDMES process.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example,</w:t>
      </w:r>
      <w:r w:rsidR="00FA450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Figure 2 shows a process trade-off between carbon selectivity and productivity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various space velocities</w:t>
      </w:r>
      <w:r w:rsidR="00FA450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r w:rsidR="00E5685B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he 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working</w:t>
      </w:r>
      <w:r w:rsidR="00E5685B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capacity 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 a key parameter f</w:t>
      </w:r>
      <w:r w:rsidR="008A1084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or optimizing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SEDMES process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Improving this capacity can</w:t>
      </w:r>
      <w:r w:rsidR="00E5685B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be done by optimizing the reactive adsorption conditions</w:t>
      </w:r>
      <w:r w:rsidR="008A10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such as the space velocity,</w:t>
      </w:r>
      <w:r w:rsidR="00E5685B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by optimizing the </w:t>
      </w:r>
      <w:r w:rsid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inherent </w:t>
      </w:r>
      <w:r w:rsidR="00E5685B" w:rsidRPr="00E568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regeneration procedure.</w:t>
      </w:r>
    </w:p>
    <w:p w14:paraId="6E99DDBD" w14:textId="0914ED5B" w:rsidR="0027112B" w:rsidRDefault="0027112B" w:rsidP="0027112B">
      <w:pPr>
        <w:keepNext/>
        <w:snapToGrid w:val="0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7109" wp14:editId="2BB4C839">
                <wp:simplePos x="0" y="0"/>
                <wp:positionH relativeFrom="column">
                  <wp:posOffset>3060700</wp:posOffset>
                </wp:positionH>
                <wp:positionV relativeFrom="paragraph">
                  <wp:posOffset>1860550</wp:posOffset>
                </wp:positionV>
                <wp:extent cx="293751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82BCC" w14:textId="6C858C02" w:rsidR="0027112B" w:rsidRPr="0027112B" w:rsidRDefault="0027112B" w:rsidP="0027112B">
                            <w:pPr>
                              <w:pStyle w:val="Caption"/>
                              <w:jc w:val="left"/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  <w:szCs w:val="20"/>
                              </w:rPr>
                            </w:pPr>
                            <w:r w:rsidRPr="0027112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2.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Model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carbon selectivity v</w:t>
                            </w:r>
                            <w:r w:rsidR="0015569F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s.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 xml:space="preserve"> productivity for GHSV of 380, 760 and 1520 hr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vertAlign w:val="superscript"/>
                              </w:rPr>
                              <w:t>-1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 xml:space="preserve"> at 30 bar(a), 275 °C, feed H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vertAlign w:val="subscript"/>
                              </w:rPr>
                              <w:t>2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:CO:CO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vertAlign w:val="subscript"/>
                              </w:rPr>
                              <w:t>2</w:t>
                            </w:r>
                            <w:r w:rsidR="003C76C2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vertAlign w:val="subscript"/>
                              </w:rPr>
                              <w:t xml:space="preserve"> </w:t>
                            </w:r>
                            <w:r w:rsidR="003C76C2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 xml:space="preserve">= </w:t>
                            </w:r>
                            <w:r w:rsidRPr="0027112B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8:1:2 (regeneration to 400 °C).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271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pt;margin-top:146.5pt;width:231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osKwIAAF0EAAAOAAAAZHJzL2Uyb0RvYy54bWysVMFu2zAMvQ/YPwi6L05StOuMOEWWIsOA&#10;oi2QDD0rshwLkEWNUmJnXz9KttOt22nYRaFI6snvPSqLu64x7KTQa7AFn02mnCkrodT2UPBvu82H&#10;W858ELYUBqwq+Fl5frd8/27RulzNoQZTKmQEYn3euoLXIbg8y7ysVSP8BJyyVKwAGxFoi4esRNES&#10;emOy+XR6k7WApUOQynvK3vdFvkz4VaVkeKoqrwIzBadvC2nFtO7jmi0XIj+gcLWWw2eIf/iKRmhL&#10;l16g7kUQ7Ij6D6hGSwQPVZhIaDKoKi1V4kBsZtM3bLa1cCpxIXG8u8jk/x+sfDw9I9NlwckoKxqy&#10;aKe6wD5Dx26jOq3zOTVtHbWFjtLk8pj3lIykuwqb+Et0GNVJ5/NF2wgmKTn/dPXxekYlSbWbq+uI&#10;kb0edejDFwUNi0HBkYxLeorTgw9969gSb/JgdLnRxsRNLKwNspMgk9taBzWA/9ZlbOy1EE/1gDGT&#10;RX49jxiFbt8NpPdQnokzQj8z3smNposehA/PAmlIiAsNfniipTLQFhyGiLMa8Mff8rGfvKMqZy0N&#10;XcH996NAxZn5asnVOKFjgGOwHwN7bNZAFGf0pJxMIR3AYMawQmhe6D2s4i1UElbSXQUPY7gO/ejT&#10;e5JqtUpNNIdOhAe7dTJCj4LuuheBbrAjkIuPMI6jyN+40vcmX9zqGEjiZFkUtFdx0JlmOJk+vLf4&#10;SH7dp67Xf4XlTwAAAP//AwBQSwMEFAAGAAgAAAAhALalqKziAAAACwEAAA8AAABkcnMvZG93bnJl&#10;di54bWxMjzFPwzAQhXck/oN1SCyIOk2tqE3jVFUFAywVoUs3N77GgfgcxU4b/j2GBba7e0/vvlds&#10;JtuxCw6+dSRhPkuAIdVOt9RIOLw/Py6B+aBIq84RSvhCD5vy9qZQuXZXesNLFRoWQ8jnSoIJoc85&#10;97VBq/zM9UhRO7vBqhDXoeF6UNcYbjueJknGrWopfjCqx53B+rMarYS9OO7Nw3h+et2KxfByGHfZ&#10;R1NJeX83bdfAAk7hzww/+BEdysh0ciNpzzoJYpnGLkFCulrEITpWQmTATr+XOfCy4P87lN8AAAD/&#10;/wMAUEsBAi0AFAAGAAgAAAAhALaDOJL+AAAA4QEAABMAAAAAAAAAAAAAAAAAAAAAAFtDb250ZW50&#10;X1R5cGVzXS54bWxQSwECLQAUAAYACAAAACEAOP0h/9YAAACUAQAACwAAAAAAAAAAAAAAAAAvAQAA&#10;X3JlbHMvLnJlbHNQSwECLQAUAAYACAAAACEA7ez6LCsCAABdBAAADgAAAAAAAAAAAAAAAAAuAgAA&#10;ZHJzL2Uyb0RvYy54bWxQSwECLQAUAAYACAAAACEAtqWorOIAAAALAQAADwAAAAAAAAAAAAAAAACF&#10;BAAAZHJzL2Rvd25yZXYueG1sUEsFBgAAAAAEAAQA8wAAAJQFAAAAAA==&#10;" stroked="f">
                <v:textbox style="mso-fit-shape-to-text:t" inset="0,0,0,0">
                  <w:txbxContent>
                    <w:p w14:paraId="1DD82BCC" w14:textId="6C858C02" w:rsidR="0027112B" w:rsidRPr="0027112B" w:rsidRDefault="0027112B" w:rsidP="0027112B">
                      <w:pPr>
                        <w:pStyle w:val="Caption"/>
                        <w:jc w:val="left"/>
                        <w:rPr>
                          <w:rFonts w:asciiTheme="minorHAnsi" w:hAnsiTheme="minorHAnsi" w:cstheme="minorHAnsi"/>
                          <w:noProof/>
                          <w:color w:val="auto"/>
                          <w:szCs w:val="20"/>
                        </w:rPr>
                      </w:pPr>
                      <w:r w:rsidRPr="0027112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Figure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2.</w:t>
                      </w:r>
                      <w:r w:rsidRPr="0027112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Model</w:t>
                      </w:r>
                      <w:r w:rsidRPr="0027112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carbon selectivity v</w:t>
                      </w:r>
                      <w:r w:rsidR="0015569F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s.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 xml:space="preserve"> productivity for GHSV of 380, 760 and 1520 hr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  <w:vertAlign w:val="superscript"/>
                        </w:rPr>
                        <w:t>-1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 xml:space="preserve"> at 30 bar(a), 275 °C, feed H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  <w:vertAlign w:val="subscript"/>
                        </w:rPr>
                        <w:t>2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:CO:CO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  <w:vertAlign w:val="subscript"/>
                        </w:rPr>
                        <w:t>2</w:t>
                      </w:r>
                      <w:r w:rsidR="003C76C2">
                        <w:rPr>
                          <w:rFonts w:asciiTheme="minorHAnsi" w:hAnsiTheme="minorHAnsi" w:cstheme="minorHAnsi"/>
                          <w:b w:val="0"/>
                          <w:color w:val="auto"/>
                          <w:vertAlign w:val="subscript"/>
                        </w:rPr>
                        <w:t xml:space="preserve"> </w:t>
                      </w:r>
                      <w:r w:rsidR="003C76C2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 xml:space="preserve">= </w:t>
                      </w:r>
                      <w:r w:rsidRPr="0027112B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8:1:2 (regeneration to 400 °C).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927BC">
        <w:rPr>
          <w:noProof/>
        </w:rPr>
        <w:drawing>
          <wp:anchor distT="0" distB="0" distL="114300" distR="114300" simplePos="0" relativeHeight="251658240" behindDoc="0" locked="0" layoutInCell="1" allowOverlap="1" wp14:anchorId="13BC9A83" wp14:editId="7F3DF262">
            <wp:simplePos x="0" y="0"/>
            <wp:positionH relativeFrom="column">
              <wp:posOffset>3060700</wp:posOffset>
            </wp:positionH>
            <wp:positionV relativeFrom="paragraph">
              <wp:posOffset>3810</wp:posOffset>
            </wp:positionV>
            <wp:extent cx="29376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432" y="21265"/>
                <wp:lineTo x="2143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2E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6790D390" wp14:editId="2AB7A7CD">
            <wp:extent cx="2937600" cy="180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0023" w14:textId="25AFD062" w:rsidR="0027112B" w:rsidRPr="0027112B" w:rsidRDefault="0027112B" w:rsidP="0027112B">
      <w:pPr>
        <w:pStyle w:val="Caption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Figure </w:t>
      </w:r>
      <w:r w:rsidRPr="0027112B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 xml:space="preserve">. </w:t>
      </w:r>
      <w:r w:rsidRPr="0027112B">
        <w:rPr>
          <w:rFonts w:asciiTheme="minorHAnsi" w:hAnsiTheme="minorHAnsi" w:cstheme="minorHAnsi"/>
          <w:b w:val="0"/>
          <w:color w:val="auto"/>
        </w:rPr>
        <w:t>Breakthrough experiment (points) and model prediction (lines) at 40 bar(a), 275 °C, feed H</w:t>
      </w:r>
      <w:r w:rsidRPr="0027112B">
        <w:rPr>
          <w:rFonts w:asciiTheme="minorHAnsi" w:hAnsiTheme="minorHAnsi" w:cstheme="minorHAnsi"/>
          <w:b w:val="0"/>
          <w:color w:val="auto"/>
          <w:vertAlign w:val="subscript"/>
        </w:rPr>
        <w:t>2</w:t>
      </w:r>
      <w:r w:rsidRPr="0027112B">
        <w:rPr>
          <w:rFonts w:asciiTheme="minorHAnsi" w:hAnsiTheme="minorHAnsi" w:cstheme="minorHAnsi"/>
          <w:b w:val="0"/>
          <w:color w:val="auto"/>
        </w:rPr>
        <w:t>:CO:CO</w:t>
      </w:r>
      <w:r w:rsidRPr="0027112B">
        <w:rPr>
          <w:rFonts w:asciiTheme="minorHAnsi" w:hAnsiTheme="minorHAnsi" w:cstheme="minorHAnsi"/>
          <w:b w:val="0"/>
          <w:color w:val="auto"/>
          <w:vertAlign w:val="subscript"/>
        </w:rPr>
        <w:t>2</w:t>
      </w:r>
      <w:r w:rsidR="003C76C2">
        <w:rPr>
          <w:rFonts w:asciiTheme="minorHAnsi" w:hAnsiTheme="minorHAnsi" w:cstheme="minorHAnsi"/>
          <w:b w:val="0"/>
          <w:color w:val="auto"/>
          <w:vertAlign w:val="subscript"/>
        </w:rPr>
        <w:t xml:space="preserve"> </w:t>
      </w:r>
      <w:r w:rsidR="003C76C2">
        <w:rPr>
          <w:rFonts w:asciiTheme="minorHAnsi" w:hAnsiTheme="minorHAnsi" w:cstheme="minorHAnsi"/>
          <w:b w:val="0"/>
          <w:color w:val="auto"/>
        </w:rPr>
        <w:t xml:space="preserve">= </w:t>
      </w:r>
      <w:r w:rsidRPr="0027112B">
        <w:rPr>
          <w:rFonts w:asciiTheme="minorHAnsi" w:hAnsiTheme="minorHAnsi" w:cstheme="minorHAnsi"/>
          <w:b w:val="0"/>
          <w:color w:val="auto"/>
        </w:rPr>
        <w:t>8:1:2 (regeneration to 4</w:t>
      </w:r>
      <w:r w:rsidR="003C76C2">
        <w:rPr>
          <w:rFonts w:asciiTheme="minorHAnsi" w:hAnsiTheme="minorHAnsi" w:cstheme="minorHAnsi"/>
          <w:b w:val="0"/>
          <w:color w:val="auto"/>
        </w:rPr>
        <w:t>00 °C)</w:t>
      </w:r>
    </w:p>
    <w:p w14:paraId="59AF9E07" w14:textId="1D564A15" w:rsidR="006848FA" w:rsidRPr="006848FA" w:rsidRDefault="006848FA" w:rsidP="006848FA"/>
    <w:p w14:paraId="6333C2A4" w14:textId="074AEC1B" w:rsidR="00E625B1" w:rsidRDefault="006848FA" w:rsidP="00FA4C99">
      <w:pPr>
        <w:spacing w:line="22" w:lineRule="atLeast"/>
        <w:rPr>
          <w:rFonts w:asciiTheme="minorHAnsi" w:eastAsia="MS PGothic" w:hAnsiTheme="minorHAnsi" w:cstheme="minorHAnsi"/>
          <w:sz w:val="22"/>
          <w:szCs w:val="22"/>
        </w:rPr>
      </w:pPr>
      <w:r>
        <w:rPr>
          <w:rFonts w:asciiTheme="minorHAnsi" w:eastAsia="MS PGothic" w:hAnsiTheme="minorHAnsi" w:cstheme="minorHAnsi"/>
          <w:sz w:val="22"/>
          <w:szCs w:val="22"/>
        </w:rPr>
        <w:t xml:space="preserve">In parallel to </w:t>
      </w:r>
      <w:r w:rsidR="00201052">
        <w:rPr>
          <w:rFonts w:asciiTheme="minorHAnsi" w:eastAsia="MS PGothic" w:hAnsiTheme="minorHAnsi" w:cstheme="minorHAnsi"/>
          <w:sz w:val="22"/>
          <w:szCs w:val="22"/>
        </w:rPr>
        <w:t>the dynamic SEDMES cycle model development, different commercial catalyst</w:t>
      </w:r>
      <w:r w:rsidR="00254828">
        <w:rPr>
          <w:rFonts w:asciiTheme="minorHAnsi" w:eastAsia="MS PGothic" w:hAnsiTheme="minorHAnsi" w:cstheme="minorHAnsi"/>
          <w:sz w:val="22"/>
          <w:szCs w:val="22"/>
        </w:rPr>
        <w:t>s</w:t>
      </w:r>
      <w:r w:rsidR="00201052">
        <w:rPr>
          <w:rFonts w:asciiTheme="minorHAnsi" w:eastAsia="MS PGothic" w:hAnsiTheme="minorHAnsi" w:cstheme="minorHAnsi"/>
          <w:sz w:val="22"/>
          <w:szCs w:val="22"/>
        </w:rPr>
        <w:t xml:space="preserve"> and steam adsorbents are tested and </w:t>
      </w:r>
      <w:r w:rsidR="00254828">
        <w:rPr>
          <w:rFonts w:asciiTheme="minorHAnsi" w:eastAsia="MS PGothic" w:hAnsiTheme="minorHAnsi" w:cstheme="minorHAnsi"/>
          <w:sz w:val="22"/>
          <w:szCs w:val="22"/>
        </w:rPr>
        <w:t>prove to be</w:t>
      </w:r>
      <w:r w:rsidR="00201052">
        <w:rPr>
          <w:rFonts w:asciiTheme="minorHAnsi" w:eastAsia="MS PGothic" w:hAnsiTheme="minorHAnsi" w:cstheme="minorHAnsi"/>
          <w:sz w:val="22"/>
          <w:szCs w:val="22"/>
        </w:rPr>
        <w:t xml:space="preserve"> promising for further development of the process</w:t>
      </w:r>
      <w:r w:rsidR="00A91F6F">
        <w:rPr>
          <w:rFonts w:asciiTheme="minorHAnsi" w:eastAsia="MS PGothic" w:hAnsiTheme="minorHAnsi" w:cstheme="minorHAnsi"/>
          <w:sz w:val="22"/>
          <w:szCs w:val="22"/>
        </w:rPr>
        <w:t xml:space="preserve"> to industrial relevant conditions</w:t>
      </w:r>
      <w:r w:rsidR="00201052">
        <w:rPr>
          <w:rFonts w:asciiTheme="minorHAnsi" w:eastAsia="MS PGothic" w:hAnsiTheme="minorHAnsi" w:cstheme="minorHAnsi"/>
          <w:sz w:val="22"/>
          <w:szCs w:val="22"/>
        </w:rPr>
        <w:t>.</w:t>
      </w:r>
      <w:r w:rsidR="008432B9">
        <w:rPr>
          <w:rFonts w:asciiTheme="minorHAnsi" w:eastAsia="MS PGothic" w:hAnsiTheme="minorHAnsi" w:cstheme="minorHAnsi"/>
          <w:sz w:val="22"/>
          <w:szCs w:val="22"/>
        </w:rPr>
        <w:t xml:space="preserve"> Experimental campaigns</w:t>
      </w:r>
      <w:r w:rsidR="00C4035B">
        <w:rPr>
          <w:rFonts w:asciiTheme="minorHAnsi" w:eastAsia="MS PGothic" w:hAnsiTheme="minorHAnsi" w:cstheme="minorHAnsi"/>
          <w:sz w:val="22"/>
          <w:szCs w:val="22"/>
        </w:rPr>
        <w:t>, more than 100 cycles without observed degradation,</w:t>
      </w:r>
      <w:r w:rsidR="008432B9">
        <w:rPr>
          <w:rFonts w:asciiTheme="minorHAnsi" w:eastAsia="MS PGothic" w:hAnsiTheme="minorHAnsi" w:cstheme="minorHAnsi"/>
          <w:sz w:val="22"/>
          <w:szCs w:val="22"/>
        </w:rPr>
        <w:t xml:space="preserve"> support the model study</w:t>
      </w:r>
      <w:r w:rsidR="00D84421">
        <w:rPr>
          <w:rFonts w:asciiTheme="minorHAnsi" w:eastAsia="MS PGothic" w:hAnsiTheme="minorHAnsi" w:cstheme="minorHAnsi"/>
          <w:sz w:val="22"/>
          <w:szCs w:val="22"/>
        </w:rPr>
        <w:t xml:space="preserve"> indicating </w:t>
      </w:r>
      <w:r w:rsidR="00A91F6F">
        <w:rPr>
          <w:rFonts w:asciiTheme="minorHAnsi" w:eastAsia="MS PGothic" w:hAnsiTheme="minorHAnsi" w:cstheme="minorHAnsi"/>
          <w:sz w:val="22"/>
          <w:szCs w:val="22"/>
        </w:rPr>
        <w:t xml:space="preserve">high carbon efficiency to DME and reduced </w:t>
      </w:r>
      <w:r w:rsidR="00A91F6F" w:rsidRPr="00A91F6F">
        <w:rPr>
          <w:rFonts w:asciiTheme="minorHAnsi" w:eastAsia="MS PGothic" w:hAnsiTheme="minorHAnsi" w:cstheme="minorHAnsi"/>
          <w:sz w:val="22"/>
          <w:szCs w:val="22"/>
        </w:rPr>
        <w:t>CO</w:t>
      </w:r>
      <w:r w:rsidR="00A91F6F">
        <w:rPr>
          <w:rFonts w:asciiTheme="minorHAnsi" w:eastAsia="MS PGothic" w:hAnsiTheme="minorHAnsi" w:cstheme="minorHAnsi"/>
          <w:sz w:val="22"/>
          <w:szCs w:val="22"/>
        </w:rPr>
        <w:softHyphen/>
      </w:r>
      <w:r w:rsidR="00A91F6F">
        <w:rPr>
          <w:rFonts w:asciiTheme="minorHAnsi" w:eastAsia="MS PGothic" w:hAnsiTheme="minorHAnsi" w:cstheme="minorHAnsi"/>
          <w:sz w:val="22"/>
          <w:szCs w:val="22"/>
          <w:vertAlign w:val="subscript"/>
        </w:rPr>
        <w:t>2</w:t>
      </w:r>
      <w:r w:rsidR="00A91F6F">
        <w:rPr>
          <w:rFonts w:asciiTheme="minorHAnsi" w:eastAsia="MS PGothic" w:hAnsiTheme="minorHAnsi" w:cstheme="minorHAnsi"/>
          <w:sz w:val="22"/>
          <w:szCs w:val="22"/>
        </w:rPr>
        <w:t xml:space="preserve"> content in the product for a typical SEDMES operating window. </w:t>
      </w:r>
      <w:r w:rsidR="00201052">
        <w:rPr>
          <w:rFonts w:asciiTheme="minorHAnsi" w:eastAsia="MS PGothic" w:hAnsiTheme="minorHAnsi" w:cstheme="minorHAnsi"/>
          <w:sz w:val="22"/>
          <w:szCs w:val="22"/>
        </w:rPr>
        <w:t>The</w:t>
      </w:r>
      <w:r w:rsidR="00D84421">
        <w:rPr>
          <w:rFonts w:asciiTheme="minorHAnsi" w:eastAsia="MS PGothic" w:hAnsiTheme="minorHAnsi" w:cstheme="minorHAnsi"/>
          <w:sz w:val="22"/>
          <w:szCs w:val="22"/>
        </w:rPr>
        <w:t xml:space="preserve"> </w:t>
      </w:r>
      <w:r w:rsidR="00201052">
        <w:rPr>
          <w:rFonts w:asciiTheme="minorHAnsi" w:eastAsia="MS PGothic" w:hAnsiTheme="minorHAnsi" w:cstheme="minorHAnsi"/>
          <w:sz w:val="22"/>
          <w:szCs w:val="22"/>
        </w:rPr>
        <w:t>testing focuses on obtaining relevant data as input for validation and tun</w:t>
      </w:r>
      <w:r w:rsidR="00F8264D">
        <w:rPr>
          <w:rFonts w:asciiTheme="minorHAnsi" w:eastAsia="MS PGothic" w:hAnsiTheme="minorHAnsi" w:cstheme="minorHAnsi"/>
          <w:sz w:val="22"/>
          <w:szCs w:val="22"/>
        </w:rPr>
        <w:t>ing of the SEDMES model, which i</w:t>
      </w:r>
      <w:r w:rsidR="00A91F6F">
        <w:rPr>
          <w:rFonts w:asciiTheme="minorHAnsi" w:eastAsia="MS PGothic" w:hAnsiTheme="minorHAnsi" w:cstheme="minorHAnsi"/>
          <w:sz w:val="22"/>
          <w:szCs w:val="22"/>
        </w:rPr>
        <w:t>n</w:t>
      </w:r>
      <w:r w:rsidR="00201052">
        <w:rPr>
          <w:rFonts w:asciiTheme="minorHAnsi" w:eastAsia="MS PGothic" w:hAnsiTheme="minorHAnsi" w:cstheme="minorHAnsi"/>
          <w:sz w:val="22"/>
          <w:szCs w:val="22"/>
        </w:rPr>
        <w:t xml:space="preserve"> turn is used for the scale-up of the SEDMES process towards full cycle validation with continuous </w:t>
      </w:r>
      <w:r w:rsidR="00D84421">
        <w:rPr>
          <w:rFonts w:asciiTheme="minorHAnsi" w:eastAsia="MS PGothic" w:hAnsiTheme="minorHAnsi" w:cstheme="minorHAnsi"/>
          <w:sz w:val="22"/>
          <w:szCs w:val="22"/>
        </w:rPr>
        <w:t xml:space="preserve">DME </w:t>
      </w:r>
      <w:r w:rsidR="00201052">
        <w:rPr>
          <w:rFonts w:asciiTheme="minorHAnsi" w:eastAsia="MS PGothic" w:hAnsiTheme="minorHAnsi" w:cstheme="minorHAnsi"/>
          <w:sz w:val="22"/>
          <w:szCs w:val="22"/>
        </w:rPr>
        <w:t>production</w:t>
      </w:r>
      <w:r w:rsidR="00D84421">
        <w:rPr>
          <w:rFonts w:asciiTheme="minorHAnsi" w:eastAsia="MS PGothic" w:hAnsiTheme="minorHAnsi" w:cstheme="minorHAnsi"/>
          <w:sz w:val="22"/>
          <w:szCs w:val="22"/>
        </w:rPr>
        <w:t>.</w:t>
      </w:r>
    </w:p>
    <w:p w14:paraId="4A01B959" w14:textId="53BEF14F" w:rsidR="00704BDF" w:rsidRPr="008D0BEB" w:rsidRDefault="00704BDF" w:rsidP="00FA4C99">
      <w:pPr>
        <w:snapToGrid w:val="0"/>
        <w:spacing w:before="240" w:line="22" w:lineRule="atLeast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6A4C041" w14:textId="70997781" w:rsidR="007D32C0" w:rsidRDefault="00BB3585" w:rsidP="00FA4C99">
      <w:pPr>
        <w:snapToGrid w:val="0"/>
        <w:spacing w:after="120" w:line="22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B35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SEDMES process is a promising process intensification, easily</w:t>
      </w:r>
      <w:r w:rsidR="00312B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achieving 70% single-pass DME </w:t>
      </w:r>
      <w:r w:rsidRPr="00BB358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yield</w:t>
      </w:r>
      <w:r w:rsidR="00DC42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minimal CO</w:t>
      </w:r>
      <w:r w:rsidR="00DC42CB" w:rsidRPr="002623A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C42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by-product formation</w:t>
      </w:r>
      <w:r w:rsidRPr="00BB35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 three reactor column system. This increased single-pass conversion requires less downstream separation, and smaller recycle streams especially for a CO</w:t>
      </w:r>
      <w:r w:rsidRPr="00BB35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B3585">
        <w:rPr>
          <w:rFonts w:asciiTheme="minorHAnsi" w:eastAsia="MS PGothic" w:hAnsiTheme="minorHAnsi"/>
          <w:color w:val="000000"/>
          <w:sz w:val="22"/>
          <w:szCs w:val="22"/>
          <w:lang w:val="en-US"/>
        </w:rPr>
        <w:t>-rich feed.</w:t>
      </w:r>
      <w:r w:rsid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487A" w:rsidRP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EU Horizon 2020 project Fledged, further optimization of the SEDMES process </w:t>
      </w:r>
      <w:r w:rsid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90487A" w:rsidRP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pursued</w:t>
      </w:r>
      <w:r w:rsid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25728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and modelling studies</w:t>
      </w:r>
      <w:r w:rsidR="0090487A" w:rsidRPr="0090487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A87D738" w14:textId="77777777" w:rsidR="00AE4B0D" w:rsidRPr="007D32C0" w:rsidRDefault="00AE4B0D" w:rsidP="00FA4C99">
      <w:pPr>
        <w:snapToGrid w:val="0"/>
        <w:spacing w:before="240" w:line="22" w:lineRule="atLeast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7D32C0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</w:rPr>
        <w:t xml:space="preserve">Acknowledgement </w:t>
      </w:r>
    </w:p>
    <w:p w14:paraId="38583B10" w14:textId="77777777" w:rsidR="00AE4B0D" w:rsidRPr="007D32C0" w:rsidRDefault="00AE4B0D" w:rsidP="00FA4C99">
      <w:pPr>
        <w:snapToGrid w:val="0"/>
        <w:spacing w:after="120" w:line="22" w:lineRule="atLeast"/>
        <w:rPr>
          <w:rFonts w:asciiTheme="minorHAnsi" w:eastAsia="MS PGothic" w:hAnsiTheme="minorHAnsi" w:cstheme="minorHAnsi"/>
          <w:color w:val="000000"/>
          <w:sz w:val="22"/>
          <w:szCs w:val="22"/>
        </w:rPr>
      </w:pPr>
      <w:r w:rsidRPr="007D32C0">
        <w:rPr>
          <w:rFonts w:asciiTheme="minorHAnsi" w:eastAsia="MS PGothic" w:hAnsiTheme="minorHAnsi" w:cstheme="minorHAnsi"/>
          <w:color w:val="000000"/>
          <w:sz w:val="22"/>
          <w:szCs w:val="22"/>
        </w:rPr>
        <w:t>This project has received funding from the European Union’s Horizon 2020 research and innovation programme under grant agreement No 727600.</w:t>
      </w:r>
      <w:r w:rsidRPr="007D32C0">
        <w:rPr>
          <w:rFonts w:asciiTheme="minorHAnsi" w:hAnsiTheme="minorHAnsi" w:cstheme="minorHAnsi"/>
          <w:noProof/>
          <w:lang w:eastAsia="nl-NL"/>
        </w:rPr>
        <w:t xml:space="preserve"> </w:t>
      </w:r>
      <w:r w:rsidRPr="007D32C0">
        <w:rPr>
          <w:rFonts w:asciiTheme="minorHAnsi" w:hAnsiTheme="minorHAnsi" w:cstheme="minorHAnsi"/>
          <w:noProof/>
          <w:lang w:val="nl-NL" w:eastAsia="nl-NL"/>
        </w:rPr>
        <w:drawing>
          <wp:inline distT="0" distB="0" distL="0" distR="0" wp14:anchorId="2BDEA5BD" wp14:editId="1788FDBB">
            <wp:extent cx="161786" cy="108000"/>
            <wp:effectExtent l="0" t="0" r="0" b="6350"/>
            <wp:docPr id="2" name="Picture 2" descr="C:\Users\boon\AppData\Local\Microsoft\Windows\Temporary Internet Files\Content.IE5\R7KNBOG6\EUFla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n\AppData\Local\Microsoft\Windows\Temporary Internet Files\Content.IE5\R7KNBOG6\EUFlag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36B4" w14:textId="731CF640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</w:t>
      </w:r>
      <w:r w:rsidR="00DD1D6F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rences</w:t>
      </w:r>
    </w:p>
    <w:p w14:paraId="4B9EAB43" w14:textId="56DFBF41" w:rsidR="00F946C5" w:rsidRDefault="003C5B13" w:rsidP="00245D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SAPEA</w:t>
      </w:r>
      <w:r w:rsidR="00245DF8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F946C5" w:rsidRPr="00F946C5">
        <w:rPr>
          <w:rFonts w:asciiTheme="minorHAnsi" w:hAnsiTheme="minorHAnsi" w:cstheme="minorHAnsi"/>
          <w:color w:val="000000"/>
          <w:lang w:val="en-GB"/>
        </w:rPr>
        <w:t>Novel carbon capture and utilisation technologie</w:t>
      </w:r>
      <w:r w:rsidR="00F946C5">
        <w:rPr>
          <w:rFonts w:asciiTheme="minorHAnsi" w:hAnsiTheme="minorHAnsi" w:cstheme="minorHAnsi"/>
          <w:color w:val="000000"/>
          <w:lang w:val="en-GB"/>
        </w:rPr>
        <w:t>s: research and climate aspects,</w:t>
      </w:r>
      <w:r w:rsidR="00245DF8">
        <w:rPr>
          <w:rFonts w:asciiTheme="minorHAnsi" w:hAnsiTheme="minorHAnsi" w:cstheme="minorHAnsi"/>
          <w:color w:val="000000"/>
          <w:lang w:val="en-GB"/>
        </w:rPr>
        <w:t xml:space="preserve"> Berlin,</w:t>
      </w:r>
      <w:r w:rsidR="00F946C5">
        <w:rPr>
          <w:rFonts w:asciiTheme="minorHAnsi" w:hAnsiTheme="minorHAnsi" w:cstheme="minorHAnsi"/>
          <w:color w:val="000000"/>
          <w:lang w:val="en-GB"/>
        </w:rPr>
        <w:t xml:space="preserve"> 2018.</w:t>
      </w:r>
    </w:p>
    <w:p w14:paraId="2E9F03F6" w14:textId="08DA8CEA" w:rsidR="00BA1106" w:rsidRDefault="00BA1106" w:rsidP="007044F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lang w:val="en-GB"/>
        </w:rPr>
      </w:pPr>
      <w:r w:rsidRPr="00245DF8">
        <w:rPr>
          <w:rFonts w:asciiTheme="minorHAnsi" w:hAnsiTheme="minorHAnsi" w:cstheme="minorHAnsi"/>
          <w:color w:val="000000"/>
          <w:lang w:val="en-GB"/>
        </w:rPr>
        <w:t>J. Boon, F.P.F. van Berkel, H.A.J. van Dijk, J.F. Vente, 5</w:t>
      </w:r>
      <w:r w:rsidRPr="00245DF8">
        <w:rPr>
          <w:rFonts w:asciiTheme="minorHAnsi" w:hAnsiTheme="minorHAnsi" w:cstheme="minorHAnsi"/>
          <w:color w:val="000000"/>
          <w:vertAlign w:val="superscript"/>
          <w:lang w:val="en-GB"/>
        </w:rPr>
        <w:t>th</w:t>
      </w:r>
      <w:r w:rsidRPr="00245DF8">
        <w:rPr>
          <w:rFonts w:asciiTheme="minorHAnsi" w:hAnsiTheme="minorHAnsi" w:cstheme="minorHAnsi"/>
          <w:color w:val="000000"/>
          <w:lang w:val="en-GB"/>
        </w:rPr>
        <w:t xml:space="preserve"> TMFB International Conference,</w:t>
      </w:r>
      <w:r w:rsidR="00245DF8">
        <w:rPr>
          <w:rFonts w:asciiTheme="minorHAnsi" w:hAnsiTheme="minorHAnsi" w:cstheme="minorHAnsi"/>
          <w:color w:val="000000"/>
          <w:lang w:val="en-GB"/>
        </w:rPr>
        <w:t xml:space="preserve"> Aachen,</w:t>
      </w:r>
      <w:r w:rsidRPr="00245DF8">
        <w:rPr>
          <w:rFonts w:asciiTheme="minorHAnsi" w:hAnsiTheme="minorHAnsi" w:cstheme="minorHAnsi"/>
          <w:color w:val="000000"/>
          <w:lang w:val="en-GB"/>
        </w:rPr>
        <w:t xml:space="preserve"> 2017.</w:t>
      </w:r>
    </w:p>
    <w:p w14:paraId="27C576B5" w14:textId="77777777" w:rsidR="007044FF" w:rsidRPr="007044FF" w:rsidRDefault="007044FF" w:rsidP="007044F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</w:rPr>
      </w:pPr>
      <w:r w:rsidRPr="007044FF">
        <w:rPr>
          <w:rFonts w:asciiTheme="minorHAnsi" w:hAnsiTheme="minorHAnsi" w:cstheme="minorHAnsi"/>
          <w:color w:val="000000"/>
          <w:sz w:val="20"/>
        </w:rPr>
        <w:t xml:space="preserve">I. </w:t>
      </w:r>
      <w:proofErr w:type="spellStart"/>
      <w:r w:rsidRPr="007044FF">
        <w:rPr>
          <w:rFonts w:asciiTheme="minorHAnsi" w:hAnsiTheme="minorHAnsi" w:cstheme="minorHAnsi"/>
          <w:color w:val="000000"/>
          <w:sz w:val="20"/>
        </w:rPr>
        <w:t>Iliuta</w:t>
      </w:r>
      <w:proofErr w:type="spellEnd"/>
      <w:r w:rsidRPr="007044FF">
        <w:rPr>
          <w:rFonts w:asciiTheme="minorHAnsi" w:hAnsiTheme="minorHAnsi" w:cstheme="minorHAnsi"/>
          <w:color w:val="000000"/>
          <w:sz w:val="20"/>
        </w:rPr>
        <w:t xml:space="preserve">, M.C. </w:t>
      </w:r>
      <w:proofErr w:type="spellStart"/>
      <w:r w:rsidRPr="007044FF">
        <w:rPr>
          <w:rFonts w:asciiTheme="minorHAnsi" w:hAnsiTheme="minorHAnsi" w:cstheme="minorHAnsi"/>
          <w:color w:val="000000"/>
          <w:sz w:val="20"/>
        </w:rPr>
        <w:t>Iliuta</w:t>
      </w:r>
      <w:proofErr w:type="spellEnd"/>
      <w:r w:rsidRPr="007044FF">
        <w:rPr>
          <w:rFonts w:asciiTheme="minorHAnsi" w:hAnsiTheme="minorHAnsi" w:cstheme="minorHAnsi"/>
          <w:color w:val="000000"/>
          <w:sz w:val="20"/>
        </w:rPr>
        <w:t xml:space="preserve">, F. </w:t>
      </w:r>
      <w:proofErr w:type="spellStart"/>
      <w:r w:rsidRPr="007044FF">
        <w:rPr>
          <w:rFonts w:asciiTheme="minorHAnsi" w:hAnsiTheme="minorHAnsi" w:cstheme="minorHAnsi"/>
          <w:color w:val="000000"/>
          <w:sz w:val="20"/>
        </w:rPr>
        <w:t>Larachi</w:t>
      </w:r>
      <w:proofErr w:type="spellEnd"/>
      <w:r w:rsidRPr="007044FF">
        <w:rPr>
          <w:rFonts w:asciiTheme="minorHAnsi" w:hAnsiTheme="minorHAnsi" w:cstheme="minorHAnsi"/>
          <w:color w:val="000000"/>
          <w:sz w:val="20"/>
        </w:rPr>
        <w:t>, Chem. Eng. Sci. 66 (2011) 2241–2251.</w:t>
      </w:r>
    </w:p>
    <w:p w14:paraId="16591913" w14:textId="682818ED" w:rsidR="00704BDF" w:rsidRPr="007044FF" w:rsidRDefault="007044FF" w:rsidP="007044F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</w:rPr>
      </w:pPr>
      <w:r w:rsidRPr="007044FF">
        <w:rPr>
          <w:rFonts w:asciiTheme="minorHAnsi" w:hAnsiTheme="minorHAnsi" w:cstheme="minorHAnsi"/>
          <w:color w:val="000000"/>
          <w:sz w:val="20"/>
        </w:rPr>
        <w:t>J. van Kampen, J. Boon, F.P.F. van Berkel, H.A.J. van Dijk, J.F. Vente, M. van Sint Annaland, 25</w:t>
      </w:r>
      <w:r w:rsidRPr="003E3BC8">
        <w:rPr>
          <w:rFonts w:asciiTheme="minorHAnsi" w:hAnsiTheme="minorHAnsi" w:cstheme="minorHAnsi"/>
          <w:color w:val="000000"/>
          <w:sz w:val="20"/>
          <w:vertAlign w:val="superscript"/>
        </w:rPr>
        <w:t>th</w:t>
      </w:r>
      <w:r w:rsidRPr="007044FF">
        <w:rPr>
          <w:rFonts w:asciiTheme="minorHAnsi" w:hAnsiTheme="minorHAnsi" w:cstheme="minorHAnsi"/>
          <w:color w:val="000000"/>
          <w:sz w:val="20"/>
        </w:rPr>
        <w:t xml:space="preserve"> International Symposium on Chemical Reaction Engineering, Florence, 2018.</w:t>
      </w:r>
    </w:p>
    <w:sectPr w:rsidR="00704BDF" w:rsidRPr="007044F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C6CB" w14:textId="77777777" w:rsidR="00244E1D" w:rsidRDefault="00244E1D" w:rsidP="004F5E36">
      <w:r>
        <w:separator/>
      </w:r>
    </w:p>
  </w:endnote>
  <w:endnote w:type="continuationSeparator" w:id="0">
    <w:p w14:paraId="48E02A3E" w14:textId="77777777" w:rsidR="00244E1D" w:rsidRDefault="00244E1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39E0" w14:textId="77777777" w:rsidR="00244E1D" w:rsidRDefault="00244E1D" w:rsidP="004F5E36">
      <w:r>
        <w:separator/>
      </w:r>
    </w:p>
  </w:footnote>
  <w:footnote w:type="continuationSeparator" w:id="0">
    <w:p w14:paraId="10CCCB89" w14:textId="77777777" w:rsidR="00244E1D" w:rsidRDefault="00244E1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8107" w14:textId="77777777" w:rsidR="004D1162" w:rsidRDefault="00594E9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6301F2" wp14:editId="384E8CE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1F2E7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87FB090" wp14:editId="15A564D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7D9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19A455" wp14:editId="43C214C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FCA594E" w14:textId="77777777" w:rsidR="00704BDF" w:rsidRDefault="00704BDF">
    <w:pPr>
      <w:pStyle w:val="Header"/>
    </w:pPr>
  </w:p>
  <w:p w14:paraId="00D0C434" w14:textId="77777777" w:rsidR="00704BDF" w:rsidRDefault="00704BD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36C69" wp14:editId="2382BD6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AD5F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0702"/>
    <w:multiLevelType w:val="hybridMultilevel"/>
    <w:tmpl w:val="4A24AB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A0C6C"/>
    <w:multiLevelType w:val="hybridMultilevel"/>
    <w:tmpl w:val="37CCD4AE"/>
    <w:lvl w:ilvl="0" w:tplc="8A12763C">
      <w:start w:val="2"/>
      <w:numFmt w:val="bullet"/>
      <w:lvlText w:val=""/>
      <w:lvlJc w:val="left"/>
      <w:pPr>
        <w:ind w:left="1080" w:hanging="360"/>
      </w:pPr>
      <w:rPr>
        <w:rFonts w:ascii="Wingdings" w:eastAsia="MS PGothic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8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3882"/>
    <w:rsid w:val="00062A9A"/>
    <w:rsid w:val="0007116E"/>
    <w:rsid w:val="0008148A"/>
    <w:rsid w:val="000927BC"/>
    <w:rsid w:val="000A03B2"/>
    <w:rsid w:val="000A3C4F"/>
    <w:rsid w:val="000D34BE"/>
    <w:rsid w:val="000E36F1"/>
    <w:rsid w:val="000E3A73"/>
    <w:rsid w:val="000E414A"/>
    <w:rsid w:val="0013121F"/>
    <w:rsid w:val="00134DE4"/>
    <w:rsid w:val="00146FDA"/>
    <w:rsid w:val="00150E59"/>
    <w:rsid w:val="0015569F"/>
    <w:rsid w:val="00172B7D"/>
    <w:rsid w:val="00182C19"/>
    <w:rsid w:val="00184AD6"/>
    <w:rsid w:val="00193DF8"/>
    <w:rsid w:val="00197263"/>
    <w:rsid w:val="001A6866"/>
    <w:rsid w:val="001B65C1"/>
    <w:rsid w:val="001C684B"/>
    <w:rsid w:val="001D53FC"/>
    <w:rsid w:val="001E201E"/>
    <w:rsid w:val="001F2EC7"/>
    <w:rsid w:val="00201052"/>
    <w:rsid w:val="002065DB"/>
    <w:rsid w:val="002447EF"/>
    <w:rsid w:val="00244E04"/>
    <w:rsid w:val="00244E1D"/>
    <w:rsid w:val="00245DF8"/>
    <w:rsid w:val="00251550"/>
    <w:rsid w:val="00254828"/>
    <w:rsid w:val="0025728A"/>
    <w:rsid w:val="002623A5"/>
    <w:rsid w:val="0027112B"/>
    <w:rsid w:val="0027221A"/>
    <w:rsid w:val="00275B61"/>
    <w:rsid w:val="002B1CF7"/>
    <w:rsid w:val="002D1F12"/>
    <w:rsid w:val="003009B7"/>
    <w:rsid w:val="003035B1"/>
    <w:rsid w:val="0030469C"/>
    <w:rsid w:val="00312B92"/>
    <w:rsid w:val="003723D4"/>
    <w:rsid w:val="00380C30"/>
    <w:rsid w:val="00392B51"/>
    <w:rsid w:val="003A7D1C"/>
    <w:rsid w:val="003C5B13"/>
    <w:rsid w:val="003C76C2"/>
    <w:rsid w:val="003E3BC8"/>
    <w:rsid w:val="00412D7D"/>
    <w:rsid w:val="00421A64"/>
    <w:rsid w:val="00455950"/>
    <w:rsid w:val="0046164A"/>
    <w:rsid w:val="00462DCD"/>
    <w:rsid w:val="00467311"/>
    <w:rsid w:val="00467793"/>
    <w:rsid w:val="00474EC4"/>
    <w:rsid w:val="004B39FB"/>
    <w:rsid w:val="004D1162"/>
    <w:rsid w:val="004E4DD6"/>
    <w:rsid w:val="004F5E36"/>
    <w:rsid w:val="005119A5"/>
    <w:rsid w:val="00521250"/>
    <w:rsid w:val="005278B7"/>
    <w:rsid w:val="005346C8"/>
    <w:rsid w:val="00557207"/>
    <w:rsid w:val="00594E9F"/>
    <w:rsid w:val="005B61E6"/>
    <w:rsid w:val="005C77E1"/>
    <w:rsid w:val="005D6A2F"/>
    <w:rsid w:val="005E1A82"/>
    <w:rsid w:val="005E7116"/>
    <w:rsid w:val="005F0A28"/>
    <w:rsid w:val="005F0E5E"/>
    <w:rsid w:val="005F39E4"/>
    <w:rsid w:val="00620DEE"/>
    <w:rsid w:val="00625639"/>
    <w:rsid w:val="0064184D"/>
    <w:rsid w:val="00660E3E"/>
    <w:rsid w:val="00662E74"/>
    <w:rsid w:val="00663B7D"/>
    <w:rsid w:val="00674E0D"/>
    <w:rsid w:val="006848FA"/>
    <w:rsid w:val="006C5579"/>
    <w:rsid w:val="0070163E"/>
    <w:rsid w:val="007044FF"/>
    <w:rsid w:val="00704BDF"/>
    <w:rsid w:val="00736B13"/>
    <w:rsid w:val="00737BA5"/>
    <w:rsid w:val="007416F2"/>
    <w:rsid w:val="007447F3"/>
    <w:rsid w:val="007661C8"/>
    <w:rsid w:val="007D32C0"/>
    <w:rsid w:val="007D52CD"/>
    <w:rsid w:val="0081145E"/>
    <w:rsid w:val="00813288"/>
    <w:rsid w:val="008168FC"/>
    <w:rsid w:val="00833A67"/>
    <w:rsid w:val="00841BC2"/>
    <w:rsid w:val="008432B9"/>
    <w:rsid w:val="008479A2"/>
    <w:rsid w:val="0087637F"/>
    <w:rsid w:val="008A1084"/>
    <w:rsid w:val="008A1512"/>
    <w:rsid w:val="008B7743"/>
    <w:rsid w:val="008B7C06"/>
    <w:rsid w:val="008D0BEB"/>
    <w:rsid w:val="008E566E"/>
    <w:rsid w:val="00901EB6"/>
    <w:rsid w:val="0090487A"/>
    <w:rsid w:val="00911971"/>
    <w:rsid w:val="009134B9"/>
    <w:rsid w:val="009450CE"/>
    <w:rsid w:val="0095164B"/>
    <w:rsid w:val="00960F3C"/>
    <w:rsid w:val="00996483"/>
    <w:rsid w:val="009E788A"/>
    <w:rsid w:val="009F16E0"/>
    <w:rsid w:val="009F58CE"/>
    <w:rsid w:val="00A13990"/>
    <w:rsid w:val="00A1763D"/>
    <w:rsid w:val="00A17CEC"/>
    <w:rsid w:val="00A27EF0"/>
    <w:rsid w:val="00A76EFC"/>
    <w:rsid w:val="00A860C6"/>
    <w:rsid w:val="00A91F6F"/>
    <w:rsid w:val="00A9626B"/>
    <w:rsid w:val="00A97F29"/>
    <w:rsid w:val="00AA6D97"/>
    <w:rsid w:val="00AA782A"/>
    <w:rsid w:val="00AB0964"/>
    <w:rsid w:val="00AD25DC"/>
    <w:rsid w:val="00AD347F"/>
    <w:rsid w:val="00AE12EE"/>
    <w:rsid w:val="00AE377D"/>
    <w:rsid w:val="00AE4B0D"/>
    <w:rsid w:val="00B16856"/>
    <w:rsid w:val="00B17CAF"/>
    <w:rsid w:val="00B22A19"/>
    <w:rsid w:val="00B40F2F"/>
    <w:rsid w:val="00B5237A"/>
    <w:rsid w:val="00B61DBF"/>
    <w:rsid w:val="00B80954"/>
    <w:rsid w:val="00B96EB5"/>
    <w:rsid w:val="00BA1106"/>
    <w:rsid w:val="00BB0BA1"/>
    <w:rsid w:val="00BB3585"/>
    <w:rsid w:val="00BC30C9"/>
    <w:rsid w:val="00BE3E58"/>
    <w:rsid w:val="00C001F8"/>
    <w:rsid w:val="00C01616"/>
    <w:rsid w:val="00C0162B"/>
    <w:rsid w:val="00C02F08"/>
    <w:rsid w:val="00C07147"/>
    <w:rsid w:val="00C345B1"/>
    <w:rsid w:val="00C36E1A"/>
    <w:rsid w:val="00C40142"/>
    <w:rsid w:val="00C4035B"/>
    <w:rsid w:val="00C57182"/>
    <w:rsid w:val="00C655FD"/>
    <w:rsid w:val="00C806FC"/>
    <w:rsid w:val="00C84AE5"/>
    <w:rsid w:val="00C94434"/>
    <w:rsid w:val="00CA1C95"/>
    <w:rsid w:val="00CA5A9C"/>
    <w:rsid w:val="00CB6504"/>
    <w:rsid w:val="00CC3607"/>
    <w:rsid w:val="00CD5FE2"/>
    <w:rsid w:val="00D02B4C"/>
    <w:rsid w:val="00D361AD"/>
    <w:rsid w:val="00D624FA"/>
    <w:rsid w:val="00D84421"/>
    <w:rsid w:val="00D84576"/>
    <w:rsid w:val="00D930A1"/>
    <w:rsid w:val="00DA7E90"/>
    <w:rsid w:val="00DC42CB"/>
    <w:rsid w:val="00DD1D6F"/>
    <w:rsid w:val="00DE0019"/>
    <w:rsid w:val="00DE264A"/>
    <w:rsid w:val="00DF3C18"/>
    <w:rsid w:val="00E02DF8"/>
    <w:rsid w:val="00E041E7"/>
    <w:rsid w:val="00E209A5"/>
    <w:rsid w:val="00E23CA1"/>
    <w:rsid w:val="00E3308D"/>
    <w:rsid w:val="00E409A8"/>
    <w:rsid w:val="00E5685B"/>
    <w:rsid w:val="00E625B1"/>
    <w:rsid w:val="00E7209D"/>
    <w:rsid w:val="00EA50E1"/>
    <w:rsid w:val="00EC0791"/>
    <w:rsid w:val="00EC3156"/>
    <w:rsid w:val="00EE0131"/>
    <w:rsid w:val="00EF4A10"/>
    <w:rsid w:val="00EF7A15"/>
    <w:rsid w:val="00F072E9"/>
    <w:rsid w:val="00F21603"/>
    <w:rsid w:val="00F30C64"/>
    <w:rsid w:val="00F47F92"/>
    <w:rsid w:val="00F60BE8"/>
    <w:rsid w:val="00F72C33"/>
    <w:rsid w:val="00F81310"/>
    <w:rsid w:val="00F8264D"/>
    <w:rsid w:val="00F946C5"/>
    <w:rsid w:val="00FA4509"/>
    <w:rsid w:val="00FA4C99"/>
    <w:rsid w:val="00FB27ED"/>
    <w:rsid w:val="00FB68CA"/>
    <w:rsid w:val="00FB730C"/>
    <w:rsid w:val="00FC2695"/>
    <w:rsid w:val="00FC3E03"/>
    <w:rsid w:val="00FD48E0"/>
    <w:rsid w:val="00FD6F9B"/>
    <w:rsid w:val="00FE6A2D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F2B7C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FF4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B7C0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FD6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F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Id xmlns="2f6a910d-138e-42c1-8e8a-320c1b7cf3f7">060.33747</TNOC_ClusterId>
    <h15fbb78f4cb41d290e72f301ea2865f xmlns="611ea500-83e9-4ef4-bf2f-c0233a3133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lca20d149a844688b6abf34073d5c21d xmlns="611ea500-83e9-4ef4-bf2f-c0233a31331f">
      <Terms xmlns="http://schemas.microsoft.com/office/infopath/2007/PartnerControls"/>
    </lca20d149a844688b6abf34073d5c21d>
    <bac4ab11065f4f6c809c820c57e320e5 xmlns="611ea500-83e9-4ef4-bf2f-c0233a31331f">
      <Terms xmlns="http://schemas.microsoft.com/office/infopath/2007/PartnerControls"/>
    </bac4ab11065f4f6c809c820c57e320e5>
    <cf581d8792c646118aad2c2c4ecdfa8c xmlns="611ea500-83e9-4ef4-bf2f-c0233a31331f">
      <Terms xmlns="http://schemas.microsoft.com/office/infopath/2007/PartnerControls"/>
    </cf581d8792c646118aad2c2c4ecdfa8c>
    <_dlc_DocId xmlns="611ea500-83e9-4ef4-bf2f-c0233a31331f">4RQ5F7HWNNAE-1675447593-49312</_dlc_DocId>
    <TaxCatchAll xmlns="611ea500-83e9-4ef4-bf2f-c0233a31331f">
      <Value>5</Value>
      <Value>1</Value>
    </TaxCatchAll>
    <_dlc_DocIdUrl xmlns="611ea500-83e9-4ef4-bf2f-c0233a31331f">
      <Url>https://365tno.sharepoint.com/teams/P060.33747/_layouts/15/DocIdRedir.aspx?ID=4RQ5F7HWNNAE-1675447593-49312</Url>
      <Description>4RQ5F7HWNNAE-1675447593-49312</Description>
    </_dlc_DocIdUrl>
    <n2a7a23bcc2241cb9261f9a914c7c1bb xmlns="611ea500-83e9-4ef4-bf2f-c0233a3133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TNOC_ClusterName xmlns="2f6a910d-138e-42c1-8e8a-320c1b7cf3f7">5.4644 - Fledged</TNOC_Cluster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AC5B5DAEE40F3442BF0086838049D38F" ma:contentTypeVersion="9" ma:contentTypeDescription=" " ma:contentTypeScope="" ma:versionID="fc409ed03842caa8a03962e99e2dba59">
  <xsd:schema xmlns:xsd="http://www.w3.org/2001/XMLSchema" xmlns:xs="http://www.w3.org/2001/XMLSchema" xmlns:p="http://schemas.microsoft.com/office/2006/metadata/properties" xmlns:ns2="611ea500-83e9-4ef4-bf2f-c0233a31331f" xmlns:ns3="2f6a910d-138e-42c1-8e8a-320c1b7cf3f7" xmlns:ns5="e8534c12-ccec-48fa-ace0-f1b5539c3889" targetNamespace="http://schemas.microsoft.com/office/2006/metadata/properties" ma:root="true" ma:fieldsID="e3b49dddf4a0ce45922a69850655877e" ns2:_="" ns3:_="" ns5:_="">
    <xsd:import namespace="611ea500-83e9-4ef4-bf2f-c0233a31331f"/>
    <xsd:import namespace="2f6a910d-138e-42c1-8e8a-320c1b7cf3f7"/>
    <xsd:import namespace="e8534c12-ccec-48fa-ace0-f1b5539c38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ea500-83e9-4ef4-bf2f-c0233a313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f22ed2aa-ae00-476a-8ae5-3d3f4e7db0c9}" ma:internalName="TaxCatchAll" ma:showField="CatchAllData" ma:web="611ea500-83e9-4ef4-bf2f-c0233a31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22ed2aa-ae00-476a-8ae5-3d3f4e7db0c9}" ma:internalName="TaxCatchAllLabel" ma:readOnly="true" ma:showField="CatchAllDataLabel" ma:web="611ea500-83e9-4ef4-bf2f-c0233a31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5.4644 - Fledged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33747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4c12-ccec-48fa-ace0-f1b5539c3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C460-0AFE-457E-B0FA-901088D70E21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611ea500-83e9-4ef4-bf2f-c0233a31331f"/>
  </ds:schemaRefs>
</ds:datastoreItem>
</file>

<file path=customXml/itemProps2.xml><?xml version="1.0" encoding="utf-8"?>
<ds:datastoreItem xmlns:ds="http://schemas.openxmlformats.org/officeDocument/2006/customXml" ds:itemID="{63AE79D4-502C-43AF-919B-D6BD27A3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0C81A-3E25-41A4-9C3A-AA9D45D82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B82565-F543-47B0-887D-1888C5A8E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ea500-83e9-4ef4-bf2f-c0233a31331f"/>
    <ds:schemaRef ds:uri="2f6a910d-138e-42c1-8e8a-320c1b7cf3f7"/>
    <ds:schemaRef ds:uri="e8534c12-ccec-48fa-ace0-f1b5539c3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CEFBDC-8134-4C67-8687-F0AB56AE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4712</Characters>
  <Application>Microsoft Office Word</Application>
  <DocSecurity>0</DocSecurity>
  <Lines>73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Kampen, J. (Jasper) van</cp:lastModifiedBy>
  <cp:revision>2</cp:revision>
  <cp:lastPrinted>2015-05-12T18:31:00Z</cp:lastPrinted>
  <dcterms:created xsi:type="dcterms:W3CDTF">2019-01-14T19:02:00Z</dcterms:created>
  <dcterms:modified xsi:type="dcterms:W3CDTF">2019-01-14T19:02:00Z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NOC_DocumentClassification">
    <vt:lpwstr>5;#TNO Internal|1a23c89f-ef54-4907-86fd-8242403ff722</vt:lpwstr>
  </property>
  <property fmtid="{D5CDD505-2E9C-101B-9397-08002B2CF9AE}" pid="3" name="ContentTypeId">
    <vt:lpwstr>0x010100A35317DCC28344A7B82488658A034A5C0100AC5B5DAEE40F3442BF0086838049D38F</vt:lpwstr>
  </property>
  <property fmtid="{D5CDD505-2E9C-101B-9397-08002B2CF9AE}" pid="4" name="TNOC_DocumentType">
    <vt:lpwstr/>
  </property>
  <property fmtid="{D5CDD505-2E9C-101B-9397-08002B2CF9AE}" pid="5" name="TNOC_DocumentCategory">
    <vt:lpwstr/>
  </property>
  <property fmtid="{D5CDD505-2E9C-101B-9397-08002B2CF9AE}" pid="6" name="TNOC_ClusterType">
    <vt:lpwstr>1;#Project|fa11c4c9-105f-402c-bb40-9a56b4989397</vt:lpwstr>
  </property>
  <property fmtid="{D5CDD505-2E9C-101B-9397-08002B2CF9AE}" pid="7" name="_dlc_DocIdItemGuid">
    <vt:lpwstr>9dceff64-6b53-4a1c-93c0-9cf7becb1734</vt:lpwstr>
  </property>
  <property fmtid="{D5CDD505-2E9C-101B-9397-08002B2CF9AE}" pid="8" name="TNOC_DocumentSetType">
    <vt:lpwstr/>
  </property>
</Properties>
</file>