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GoBack"/>
      <w:bookmarkEnd w:id="0"/>
    </w:p>
    <w:p w:rsidR="00704BDF" w:rsidRPr="00DE0019" w:rsidRDefault="00455ACA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Alkaline </w:t>
      </w:r>
      <w:r w:rsidR="0083015C">
        <w:rPr>
          <w:rFonts w:asciiTheme="minorHAnsi" w:eastAsia="MS PGothic" w:hAnsiTheme="minorHAnsi"/>
          <w:b/>
          <w:bCs/>
          <w:sz w:val="28"/>
          <w:szCs w:val="28"/>
          <w:lang w:val="en-US"/>
        </w:rPr>
        <w:t>p</w:t>
      </w:r>
      <w:r w:rsidR="00EB4B6B">
        <w:rPr>
          <w:rFonts w:asciiTheme="minorHAnsi" w:eastAsia="MS PGothic" w:hAnsiTheme="minorHAnsi"/>
          <w:b/>
          <w:bCs/>
          <w:sz w:val="28"/>
          <w:szCs w:val="28"/>
          <w:lang w:val="en-US"/>
        </w:rPr>
        <w:t>eroxide pretreat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ed</w:t>
      </w:r>
      <w:r w:rsidR="00EB4B6B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sugarcane bagasse as</w:t>
      </w:r>
      <w:r w:rsidR="008A71E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195645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cell </w:t>
      </w:r>
      <w:r w:rsidR="008A71E7">
        <w:rPr>
          <w:rFonts w:asciiTheme="minorHAnsi" w:eastAsia="MS PGothic" w:hAnsiTheme="minorHAnsi"/>
          <w:b/>
          <w:bCs/>
          <w:sz w:val="28"/>
          <w:szCs w:val="28"/>
          <w:lang w:val="en-US"/>
        </w:rPr>
        <w:t>immobilization</w:t>
      </w:r>
      <w:r w:rsidR="00EB4B6B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carrier for isopropanol</w:t>
      </w:r>
      <w:r w:rsidR="00195645">
        <w:rPr>
          <w:rFonts w:asciiTheme="minorHAnsi" w:eastAsia="MS PGothic" w:hAnsiTheme="minorHAnsi"/>
          <w:b/>
          <w:bCs/>
          <w:sz w:val="28"/>
          <w:szCs w:val="28"/>
          <w:lang w:val="en-US"/>
        </w:rPr>
        <w:t>-</w:t>
      </w:r>
      <w:r w:rsidR="00EB4B6B">
        <w:rPr>
          <w:rFonts w:asciiTheme="minorHAnsi" w:eastAsia="MS PGothic" w:hAnsiTheme="minorHAnsi"/>
          <w:b/>
          <w:bCs/>
          <w:sz w:val="28"/>
          <w:szCs w:val="28"/>
          <w:lang w:val="en-US"/>
        </w:rPr>
        <w:t>butanol</w:t>
      </w:r>
      <w:r w:rsidR="00195645">
        <w:rPr>
          <w:rFonts w:asciiTheme="minorHAnsi" w:eastAsia="MS PGothic" w:hAnsiTheme="minorHAnsi"/>
          <w:b/>
          <w:bCs/>
          <w:sz w:val="28"/>
          <w:szCs w:val="28"/>
          <w:lang w:val="en-US"/>
        </w:rPr>
        <w:t>-</w:t>
      </w:r>
      <w:r w:rsidR="00EB4B6B">
        <w:rPr>
          <w:rFonts w:asciiTheme="minorHAnsi" w:eastAsia="MS PGothic" w:hAnsiTheme="minorHAnsi"/>
          <w:b/>
          <w:bCs/>
          <w:sz w:val="28"/>
          <w:szCs w:val="28"/>
          <w:lang w:val="en-US"/>
        </w:rPr>
        <w:t>ethanol production</w:t>
      </w:r>
      <w:r w:rsidR="004F563B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</w:p>
    <w:p w:rsidR="00DE0019" w:rsidRPr="000E5E1C" w:rsidRDefault="000E5E1C" w:rsidP="00704BDF">
      <w:pPr>
        <w:snapToGrid w:val="0"/>
        <w:spacing w:after="120"/>
        <w:jc w:val="center"/>
        <w:rPr>
          <w:rFonts w:eastAsia="SimSun"/>
          <w:color w:val="000000"/>
          <w:lang w:val="pt-BR" w:eastAsia="zh-CN"/>
        </w:rPr>
      </w:pPr>
      <w:r w:rsidRPr="000E5E1C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>Carla Vieira</w:t>
      </w:r>
      <w:r w:rsidR="00704BDF" w:rsidRPr="003B6B1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BR" w:eastAsia="zh-CN"/>
        </w:rPr>
        <w:t>1</w:t>
      </w:r>
      <w:r w:rsidR="003B6B1B" w:rsidRPr="003B6B1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BR" w:eastAsia="zh-CN"/>
        </w:rPr>
        <w:t>*</w:t>
      </w:r>
      <w:r w:rsidR="00736B13" w:rsidRPr="000E5E1C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,</w:t>
      </w:r>
      <w:r w:rsidRPr="000E5E1C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 xml:space="preserve"> Mateus Codogno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BR" w:eastAsia="zh-CN"/>
        </w:rPr>
        <w:t>1</w:t>
      </w:r>
      <w:r w:rsidRPr="000E5E1C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, Fran</w:t>
      </w:r>
      <w:r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cisco Maugeri-Filho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BR" w:eastAsia="zh-CN"/>
        </w:rPr>
        <w:t>2</w:t>
      </w:r>
      <w:r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, Rubens Maciel-Filho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BR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 xml:space="preserve">, Adriano </w:t>
      </w:r>
      <w:r w:rsidR="00344672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 xml:space="preserve">P. </w:t>
      </w:r>
      <w:r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Mariano</w:t>
      </w:r>
      <w:r>
        <w:rPr>
          <w:rFonts w:eastAsia="SimSun"/>
          <w:color w:val="000000"/>
          <w:vertAlign w:val="superscript"/>
          <w:lang w:val="pt-BR" w:eastAsia="zh-CN"/>
        </w:rPr>
        <w:t>1</w:t>
      </w:r>
      <w:r w:rsidR="00DE0019" w:rsidRPr="000E5E1C">
        <w:rPr>
          <w:rFonts w:eastAsia="SimSun"/>
          <w:color w:val="000000"/>
          <w:lang w:val="pt-BR" w:eastAsia="zh-CN"/>
        </w:rPr>
        <w:t xml:space="preserve"> </w:t>
      </w:r>
    </w:p>
    <w:p w:rsidR="003B6B1B" w:rsidRDefault="00704BDF" w:rsidP="003B6B1B">
      <w:pPr>
        <w:snapToGrid w:val="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3B6B1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1 </w:t>
      </w:r>
      <w:r w:rsidR="00D74993" w:rsidRPr="003B6B1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</w:t>
      </w:r>
      <w:r w:rsidR="003B6B1B" w:rsidRPr="003B6B1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</w:t>
      </w:r>
      <w:r w:rsidR="00D74993" w:rsidRPr="003B6B1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hool</w:t>
      </w:r>
      <w:r w:rsidR="000E5E1C" w:rsidRPr="003B6B1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of Chemical Engineering</w:t>
      </w:r>
      <w:r w:rsidR="003B6B1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-</w:t>
      </w:r>
      <w:r w:rsidR="000E5E1C" w:rsidRPr="003B6B1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UNICAMP</w:t>
      </w:r>
      <w:r w:rsidR="00EA3BC9" w:rsidRPr="003B6B1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</w:t>
      </w:r>
      <w:r w:rsidR="000E5E1C" w:rsidRPr="003B6B1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Av. Albert Einstein, 500 - Campinas - SP - Brazil</w:t>
      </w:r>
    </w:p>
    <w:p w:rsidR="00704BDF" w:rsidRPr="003B6B1B" w:rsidRDefault="00704BDF" w:rsidP="003B6B1B">
      <w:pPr>
        <w:snapToGrid w:val="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3B6B1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2 </w:t>
      </w:r>
      <w:r w:rsidR="00D74993" w:rsidRPr="003B6B1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School</w:t>
      </w:r>
      <w:r w:rsidR="000E5E1C" w:rsidRPr="003B6B1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of Food Engineering</w:t>
      </w:r>
      <w:r w:rsidR="003B6B1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-</w:t>
      </w:r>
      <w:r w:rsidR="000E5E1C" w:rsidRPr="003B6B1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UNICAMP</w:t>
      </w:r>
      <w:r w:rsidR="00EA3BC9" w:rsidRPr="003B6B1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</w:t>
      </w:r>
      <w:r w:rsidR="000E5E1C" w:rsidRPr="003B6B1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R. Monteiro Lobato,</w:t>
      </w:r>
      <w:r w:rsidR="00EA3BC9" w:rsidRPr="003B6B1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0E5E1C" w:rsidRPr="003B6B1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800 - Campinas - SP - Brazil</w:t>
      </w:r>
    </w:p>
    <w:p w:rsidR="00704BDF" w:rsidRPr="00E25A1F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E25A1F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E25A1F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E25A1F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CA0D9C" w:rsidRPr="00E25A1F">
        <w:rPr>
          <w:rFonts w:asciiTheme="minorHAnsi" w:eastAsia="MS PGothic" w:hAnsiTheme="minorHAnsi"/>
          <w:bCs/>
          <w:i/>
          <w:iCs/>
          <w:sz w:val="20"/>
          <w:lang w:val="en-US"/>
        </w:rPr>
        <w:t>carlafsvieira90</w:t>
      </w:r>
      <w:r w:rsidRPr="00E25A1F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CA0D9C" w:rsidRPr="00E25A1F">
        <w:rPr>
          <w:rFonts w:asciiTheme="minorHAnsi" w:eastAsia="MS PGothic" w:hAnsiTheme="minorHAnsi"/>
          <w:bCs/>
          <w:i/>
          <w:iCs/>
          <w:sz w:val="20"/>
          <w:lang w:val="en-US"/>
        </w:rPr>
        <w:t>gmail.com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A91001" w:rsidRDefault="00B67F09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proposed c</w:t>
      </w:r>
      <w:r w:rsidR="00A91001" w:rsidRPr="00A91001">
        <w:rPr>
          <w:rFonts w:asciiTheme="minorHAnsi" w:hAnsiTheme="minorHAnsi"/>
        </w:rPr>
        <w:t xml:space="preserve">ell immobilization technique was successful in increasing </w:t>
      </w:r>
      <w:r w:rsidR="006264CE">
        <w:rPr>
          <w:rFonts w:asciiTheme="minorHAnsi" w:hAnsiTheme="minorHAnsi"/>
        </w:rPr>
        <w:t xml:space="preserve">IBE </w:t>
      </w:r>
      <w:r w:rsidR="00BB246B">
        <w:rPr>
          <w:rFonts w:asciiTheme="minorHAnsi" w:hAnsiTheme="minorHAnsi"/>
        </w:rPr>
        <w:t>production</w:t>
      </w:r>
      <w:r w:rsidR="00A91001">
        <w:rPr>
          <w:rFonts w:asciiTheme="minorHAnsi" w:hAnsiTheme="minorHAnsi"/>
        </w:rPr>
        <w:t>.</w:t>
      </w:r>
      <w:r w:rsidR="00704BDF" w:rsidRPr="00A91001">
        <w:rPr>
          <w:rFonts w:asciiTheme="minorHAnsi" w:hAnsiTheme="minorHAnsi"/>
        </w:rPr>
        <w:t xml:space="preserve"> </w:t>
      </w:r>
    </w:p>
    <w:p w:rsidR="00A91001" w:rsidRPr="00EA3BC9" w:rsidRDefault="00A91001" w:rsidP="00A91001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A3BC9">
        <w:rPr>
          <w:rFonts w:asciiTheme="minorHAnsi" w:hAnsiTheme="minorHAnsi"/>
        </w:rPr>
        <w:t>A more disorganized bagasse structure allow</w:t>
      </w:r>
      <w:r w:rsidR="00D81AC7">
        <w:rPr>
          <w:rFonts w:asciiTheme="minorHAnsi" w:hAnsiTheme="minorHAnsi"/>
        </w:rPr>
        <w:t>ed</w:t>
      </w:r>
      <w:r w:rsidRPr="00EA3BC9">
        <w:rPr>
          <w:rFonts w:asciiTheme="minorHAnsi" w:hAnsiTheme="minorHAnsi"/>
        </w:rPr>
        <w:t xml:space="preserve"> the adhesion of a greater number of cells.</w:t>
      </w:r>
    </w:p>
    <w:p w:rsidR="00704BDF" w:rsidRPr="006264CE" w:rsidRDefault="006264CE" w:rsidP="00203382">
      <w:pPr>
        <w:pStyle w:val="AbstractBody"/>
        <w:numPr>
          <w:ilvl w:val="0"/>
          <w:numId w:val="16"/>
        </w:numPr>
        <w:spacing w:after="120"/>
        <w:ind w:left="1434" w:hanging="357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Pr="006264CE">
        <w:rPr>
          <w:rFonts w:asciiTheme="minorHAnsi" w:hAnsiTheme="minorHAnsi"/>
        </w:rPr>
        <w:t xml:space="preserve">xcessive production of biofilm exopolysaccharides </w:t>
      </w:r>
      <w:r>
        <w:rPr>
          <w:rFonts w:asciiTheme="minorHAnsi" w:hAnsiTheme="minorHAnsi"/>
        </w:rPr>
        <w:t xml:space="preserve">affected the IBE yield. </w:t>
      </w:r>
      <w:r w:rsidR="00EA3BC9" w:rsidRPr="006264CE">
        <w:rPr>
          <w:rFonts w:asciiTheme="minorHAnsi" w:hAnsiTheme="minorHAnsi"/>
        </w:rPr>
        <w:t xml:space="preserve"> </w:t>
      </w:r>
    </w:p>
    <w:p w:rsidR="00704BDF" w:rsidRPr="00EA3BC9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sz w:val="22"/>
          <w:szCs w:val="22"/>
          <w:lang w:val="en-US" w:eastAsia="ko-KR"/>
        </w:rPr>
      </w:pPr>
      <w:r w:rsidRPr="00EA3BC9">
        <w:rPr>
          <w:rFonts w:asciiTheme="minorHAnsi" w:eastAsia="MS PGothic" w:hAnsiTheme="minorHAnsi"/>
          <w:b/>
          <w:bCs/>
          <w:sz w:val="22"/>
          <w:szCs w:val="22"/>
          <w:lang w:val="en-US"/>
        </w:rPr>
        <w:t>1. Introduction</w:t>
      </w:r>
    </w:p>
    <w:p w:rsidR="00704BDF" w:rsidRPr="008D0BEB" w:rsidRDefault="001A20A1" w:rsidP="00604D67">
      <w:pPr>
        <w:tabs>
          <w:tab w:val="clear" w:pos="7100"/>
          <w:tab w:val="right" w:pos="284"/>
        </w:tabs>
        <w:snapToGrid w:val="0"/>
        <w:spacing w:after="120" w:line="240" w:lineRule="auto"/>
        <w:ind w:firstLine="284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sz w:val="22"/>
          <w:szCs w:val="22"/>
          <w:lang w:val="en-US"/>
        </w:rPr>
        <w:t>C</w:t>
      </w:r>
      <w:r w:rsidR="00C93033" w:rsidRPr="00EA3BC9">
        <w:rPr>
          <w:rFonts w:asciiTheme="minorHAnsi" w:eastAsia="MS PGothic" w:hAnsiTheme="minorHAnsi"/>
          <w:sz w:val="22"/>
          <w:szCs w:val="22"/>
          <w:lang w:val="en-US"/>
        </w:rPr>
        <w:t>ell immobilization technique</w:t>
      </w:r>
      <w:r>
        <w:rPr>
          <w:rFonts w:asciiTheme="minorHAnsi" w:eastAsia="MS PGothic" w:hAnsiTheme="minorHAnsi"/>
          <w:sz w:val="22"/>
          <w:szCs w:val="22"/>
          <w:lang w:val="en-US"/>
        </w:rPr>
        <w:t>s</w:t>
      </w:r>
      <w:r w:rsidR="00C93033" w:rsidRPr="00C930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ve</w:t>
      </w:r>
      <w:r w:rsidR="00C93033" w:rsidRPr="00C930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been widely applied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C93033" w:rsidRPr="00C930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ABE (acetone-butanol-ethanol)</w:t>
      </w:r>
      <w:r w:rsidR="008A71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="00C93033" w:rsidRPr="00C930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IBE (isopropanol-butanol-ethanol)</w:t>
      </w:r>
      <w:r w:rsidR="008A71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-</w:t>
      </w:r>
      <w:r w:rsidR="008A71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5]</w:t>
      </w:r>
      <w:r w:rsidR="00C93033" w:rsidRPr="00C930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fermentation processes to increase productiv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ity</w:t>
      </w:r>
      <w:r w:rsidR="00C93033" w:rsidRPr="00C930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decrease butanol inhibition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</w:t>
      </w:r>
      <w:r w:rsidRPr="001A20A1">
        <w:rPr>
          <w:rFonts w:asciiTheme="minorHAnsi" w:eastAsia="MS PGothic" w:hAnsiTheme="minorHAnsi"/>
          <w:color w:val="000000"/>
          <w:sz w:val="22"/>
          <w:szCs w:val="22"/>
          <w:lang w:val="en-US"/>
        </w:rPr>
        <w:t>Clostridial species</w:t>
      </w:r>
      <w:r w:rsidR="00C93033" w:rsidRPr="00C930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use</w:t>
      </w:r>
      <w:r w:rsidR="00C93033" w:rsidRPr="00C930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lignocellulosic materials as immobilization carrier can be an economically advantageous alternative due to </w:t>
      </w:r>
      <w:r w:rsidR="0038584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their</w:t>
      </w:r>
      <w:r w:rsidR="00C93033" w:rsidRPr="00C930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low cost and abundance. </w:t>
      </w:r>
      <w:r w:rsidR="00C93033" w:rsidRPr="00B210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However, </w:t>
      </w:r>
      <w:r w:rsidR="00D611FB" w:rsidRPr="00B210D0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E974C3" w:rsidRPr="00B210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adhesion of microorganisms cells can be difficult because of the poor permeability of lignocellulosic tissues </w:t>
      </w:r>
      <w:r w:rsidR="001632BD" w:rsidRPr="00B210D0">
        <w:rPr>
          <w:rFonts w:asciiTheme="minorHAnsi" w:eastAsia="MS PGothic" w:hAnsiTheme="minorHAnsi"/>
          <w:color w:val="000000"/>
          <w:sz w:val="22"/>
          <w:szCs w:val="22"/>
          <w:lang w:val="en-US"/>
        </w:rPr>
        <w:t>[6]</w:t>
      </w:r>
      <w:r w:rsidR="00C93033" w:rsidRPr="00B210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C93033" w:rsidRPr="00C930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Therefore, we evaluated </w:t>
      </w:r>
      <w:r w:rsidR="00385849">
        <w:rPr>
          <w:rFonts w:asciiTheme="minorHAnsi" w:eastAsia="MS PGothic" w:hAnsiTheme="minorHAnsi"/>
          <w:color w:val="000000"/>
          <w:sz w:val="22"/>
          <w:szCs w:val="22"/>
          <w:lang w:val="en-US"/>
        </w:rPr>
        <w:t>whether</w:t>
      </w:r>
      <w:r w:rsidR="00C93033" w:rsidRPr="00C930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385849" w:rsidRPr="00C930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alkaline </w:t>
      </w:r>
      <w:r w:rsidR="00C93033" w:rsidRPr="00C930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peroxide pretreatment </w:t>
      </w:r>
      <w:r w:rsidR="003858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can improve the efficiency of </w:t>
      </w:r>
      <w:r w:rsidR="00C93033" w:rsidRPr="00C930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sugarcane bagasse as </w:t>
      </w:r>
      <w:r w:rsidR="003858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C93033" w:rsidRPr="00C930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cell immobilization carrier for IBE fermentation.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50313C" w:rsidRPr="00A17994" w:rsidRDefault="008A71E7" w:rsidP="00604D67">
      <w:pPr>
        <w:tabs>
          <w:tab w:val="clear" w:pos="7100"/>
          <w:tab w:val="right" w:pos="284"/>
        </w:tabs>
        <w:snapToGrid w:val="0"/>
        <w:spacing w:after="120" w:line="240" w:lineRule="auto"/>
        <w:ind w:firstLine="284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Sugarcane bagasse was </w:t>
      </w:r>
      <w:r w:rsidR="00EC55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provided by a mill located in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São Paulo</w:t>
      </w:r>
      <w:r w:rsidR="00EC55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04F45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EC55F7">
        <w:rPr>
          <w:rFonts w:asciiTheme="minorHAnsi" w:eastAsia="MS PGothic" w:hAnsiTheme="minorHAnsi"/>
          <w:color w:val="000000"/>
          <w:sz w:val="22"/>
          <w:szCs w:val="22"/>
          <w:lang w:val="en-US"/>
        </w:rPr>
        <w:t>tate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Brazi</w:t>
      </w:r>
      <w:r w:rsidR="00EC55F7"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B33A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031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bagasse </w:t>
      </w:r>
      <w:r w:rsidR="00A17994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pretreated</w:t>
      </w:r>
      <w:r w:rsidR="00B33A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179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alkaline peroxide </w:t>
      </w:r>
      <w:r w:rsidR="00B33A13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A17994">
        <w:rPr>
          <w:rFonts w:asciiTheme="minorHAnsi" w:eastAsia="MS PGothic" w:hAnsiTheme="minorHAnsi"/>
          <w:color w:val="000000"/>
          <w:sz w:val="22"/>
          <w:szCs w:val="22"/>
          <w:lang w:val="en-US"/>
        </w:rPr>
        <w:t>0.5% (w/v) NaOH, 2% (w/v) H</w:t>
      </w:r>
      <w:r w:rsidR="00A17994" w:rsidRPr="00B9036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A17994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A17994" w:rsidRPr="00B9036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B33A13" w:rsidRPr="00B33A13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B33A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10% (w/v) biomass loading] for 24 h at 200 rpm and </w:t>
      </w:r>
      <w:r w:rsidR="00B33A13" w:rsidRPr="00B9036E">
        <w:rPr>
          <w:rFonts w:asciiTheme="minorHAnsi" w:eastAsia="MS PGothic" w:hAnsiTheme="minorHAnsi"/>
          <w:color w:val="000000"/>
          <w:sz w:val="22"/>
          <w:szCs w:val="22"/>
          <w:lang w:val="en-US"/>
        </w:rPr>
        <w:t>room temperature in dark place</w:t>
      </w:r>
      <w:r w:rsidR="00B210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[6]</w:t>
      </w:r>
      <w:r w:rsidR="00B33A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IBE fermentations using </w:t>
      </w:r>
      <w:r w:rsidR="00B33A13" w:rsidRPr="00FA0587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Clostridium beijerinckii</w:t>
      </w:r>
      <w:r w:rsidR="00B33A1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r w:rsidR="00B33A13" w:rsidRPr="00FA0587">
        <w:rPr>
          <w:rFonts w:asciiTheme="minorHAnsi" w:eastAsia="MS PGothic" w:hAnsiTheme="minorHAnsi"/>
          <w:color w:val="000000"/>
          <w:sz w:val="22"/>
          <w:szCs w:val="22"/>
          <w:lang w:val="en-US"/>
        </w:rPr>
        <w:t>DSM 6423</w:t>
      </w:r>
      <w:r w:rsidR="00B33A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conducted in 250-mL flasks (triplicate) containing pretreated bagasse (1:20 liquid to solid ratio) and</w:t>
      </w:r>
      <w:r w:rsidR="00B33A13" w:rsidRPr="00B33A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33A13" w:rsidRPr="00EB622C">
        <w:rPr>
          <w:rFonts w:asciiTheme="minorHAnsi" w:eastAsia="MS PGothic" w:hAnsiTheme="minorHAnsi"/>
          <w:color w:val="000000"/>
          <w:sz w:val="22"/>
          <w:szCs w:val="22"/>
          <w:lang w:val="en-US"/>
        </w:rPr>
        <w:t>P2 medium</w:t>
      </w:r>
      <w:r w:rsidR="00B33A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[4] with 60 g/L initial glucose. The flasks were incubated in anaerobic chamber at 35 °C. Experimental control</w:t>
      </w:r>
      <w:r w:rsidR="005D1824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B33A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consisted of fermentations without bagasse and with non-treated bagasse.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6E253E" w:rsidRDefault="00EB0AF5" w:rsidP="00604D67">
      <w:pPr>
        <w:tabs>
          <w:tab w:val="left" w:pos="851"/>
        </w:tabs>
        <w:spacing w:before="120" w:after="120" w:line="240" w:lineRule="auto"/>
        <w:ind w:firstLine="567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Upon</w:t>
      </w:r>
      <w:r w:rsidR="006E25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pretreatment, we </w:t>
      </w:r>
      <w:r w:rsidR="009F6CD4">
        <w:rPr>
          <w:rFonts w:asciiTheme="minorHAnsi" w:eastAsia="MS PGothic" w:hAnsiTheme="minorHAnsi"/>
          <w:color w:val="000000"/>
          <w:sz w:val="22"/>
          <w:szCs w:val="22"/>
          <w:lang w:val="en-US"/>
        </w:rPr>
        <w:t>observed</w:t>
      </w:r>
      <w:r w:rsidR="006E25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more disorganized morphological structure of the sugarcane bagasse (Figure 1)</w:t>
      </w:r>
      <w:r w:rsidR="00AF0A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1E01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which </w:t>
      </w:r>
      <w:r w:rsidR="005D1824">
        <w:rPr>
          <w:rFonts w:asciiTheme="minorHAnsi" w:eastAsia="MS PGothic" w:hAnsiTheme="minorHAnsi"/>
          <w:color w:val="000000"/>
          <w:sz w:val="22"/>
          <w:szCs w:val="22"/>
          <w:lang w:val="en-US"/>
        </w:rPr>
        <w:t>allow</w:t>
      </w:r>
      <w:r w:rsidR="001E011F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="005D18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adhesion of a greater number of cells</w:t>
      </w:r>
      <w:r w:rsidR="009C3F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(Figure 2)</w:t>
      </w:r>
      <w:r w:rsidR="001E01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It </w:t>
      </w:r>
      <w:r w:rsidR="005D1824">
        <w:rPr>
          <w:rFonts w:asciiTheme="minorHAnsi" w:eastAsia="MS PGothic" w:hAnsiTheme="minorHAnsi"/>
          <w:color w:val="000000"/>
          <w:sz w:val="22"/>
          <w:szCs w:val="22"/>
          <w:lang w:val="en-US"/>
        </w:rPr>
        <w:t>had a positive impact on IBE concentration</w:t>
      </w:r>
      <w:r w:rsidR="00B46AC5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5D18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46AC5">
        <w:rPr>
          <w:rFonts w:asciiTheme="minorHAnsi" w:eastAsia="MS PGothic" w:hAnsiTheme="minorHAnsi"/>
          <w:color w:val="000000"/>
          <w:sz w:val="22"/>
          <w:szCs w:val="22"/>
          <w:lang w:val="en-US"/>
        </w:rPr>
        <w:t>IBE</w:t>
      </w:r>
      <w:r w:rsidR="005D18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productivity</w:t>
      </w:r>
      <w:r w:rsidR="00B46AC5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and sugar conversion</w:t>
      </w:r>
      <w:r w:rsidR="005D18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C3F7B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5D1824">
        <w:rPr>
          <w:rFonts w:asciiTheme="minorHAnsi" w:eastAsia="MS PGothic" w:hAnsiTheme="minorHAnsi"/>
          <w:color w:val="000000"/>
          <w:sz w:val="22"/>
          <w:szCs w:val="22"/>
          <w:lang w:val="en-US"/>
        </w:rPr>
        <w:t>Table 1).</w:t>
      </w:r>
      <w:r w:rsidR="00EF6B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E04BB">
        <w:rPr>
          <w:rFonts w:asciiTheme="minorHAnsi" w:eastAsia="MS PGothic" w:hAnsiTheme="minorHAnsi"/>
          <w:color w:val="000000"/>
          <w:sz w:val="22"/>
          <w:szCs w:val="22"/>
          <w:lang w:val="en-US"/>
        </w:rPr>
        <w:t>Nevertheless</w:t>
      </w:r>
      <w:r w:rsidR="00EF6B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1E01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9C3F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decrease in the IBE yield can be attributed to an </w:t>
      </w:r>
      <w:r w:rsidR="00EF6B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excessive </w:t>
      </w:r>
      <w:r w:rsidR="006049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production of </w:t>
      </w:r>
      <w:r w:rsidR="00EF6B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biofilm </w:t>
      </w:r>
      <w:r w:rsidR="006049CF">
        <w:rPr>
          <w:rFonts w:asciiTheme="minorHAnsi" w:eastAsia="MS PGothic" w:hAnsiTheme="minorHAnsi"/>
          <w:color w:val="000000"/>
          <w:sz w:val="22"/>
          <w:szCs w:val="22"/>
          <w:lang w:val="en-US"/>
        </w:rPr>
        <w:t>exopolysaccharides</w:t>
      </w:r>
      <w:r w:rsidR="00EE0F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especially in the fermentation with </w:t>
      </w:r>
      <w:r w:rsidR="004D1BC6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</w:t>
      </w:r>
      <w:r w:rsidR="00EE0F4E">
        <w:rPr>
          <w:rFonts w:asciiTheme="minorHAnsi" w:eastAsia="MS PGothic" w:hAnsiTheme="minorHAnsi"/>
          <w:color w:val="000000"/>
          <w:sz w:val="22"/>
          <w:szCs w:val="22"/>
          <w:lang w:val="en-US"/>
        </w:rPr>
        <w:t>treated bagasse.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E401B3" w:rsidTr="0023439A">
        <w:trPr>
          <w:trHeight w:val="2248"/>
        </w:trPr>
        <w:tc>
          <w:tcPr>
            <w:tcW w:w="8927" w:type="dxa"/>
            <w:shd w:val="clear" w:color="auto" w:fill="auto"/>
          </w:tcPr>
          <w:p w:rsidR="00E401B3" w:rsidRDefault="00E401B3" w:rsidP="00E401B3">
            <w:pPr>
              <w:tabs>
                <w:tab w:val="left" w:pos="851"/>
              </w:tabs>
              <w:spacing w:before="120" w:after="120" w:line="36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 w:rsidRPr="00E401B3"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en-US"/>
              </w:rPr>
              <w:lastRenderedPageBreak/>
              <w:drawing>
                <wp:inline distT="0" distB="0" distL="0" distR="0">
                  <wp:extent cx="3089910" cy="1176052"/>
                  <wp:effectExtent l="19050" t="0" r="0" b="0"/>
                  <wp:docPr id="3" name="Imagem 2" descr="C:\Users\Carla\Dropbox\Doutorado_FEQ_UNICAMP\Congresso\ECCE12 &amp; ECAB5\Imagem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la\Dropbox\Doutorado_FEQ_UNICAMP\Congresso\ECCE12 &amp; ECAB5\Imagem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8143" cy="1175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1B3" w:rsidTr="0023439A">
        <w:tc>
          <w:tcPr>
            <w:tcW w:w="8927" w:type="dxa"/>
            <w:shd w:val="clear" w:color="auto" w:fill="auto"/>
          </w:tcPr>
          <w:p w:rsidR="00604D67" w:rsidRPr="00E401B3" w:rsidRDefault="00E401B3" w:rsidP="00EF7E8C">
            <w:pPr>
              <w:tabs>
                <w:tab w:val="left" w:pos="851"/>
              </w:tabs>
              <w:spacing w:after="120" w:line="240" w:lineRule="auto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E401B3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Figure 1</w:t>
            </w:r>
            <w:r w:rsidRPr="00E401B3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– Morphological structure of the sugarcane bagasse </w:t>
            </w:r>
            <w:r w:rsidR="00EF7E8C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(</w:t>
            </w:r>
            <w:r w:rsidR="009347A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A</w:t>
            </w:r>
            <w:r w:rsidR="00EF7E8C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) b</w:t>
            </w:r>
            <w:r w:rsidRPr="00E401B3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efore</w:t>
            </w:r>
            <w:r w:rsidR="00EF7E8C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and (</w:t>
            </w:r>
            <w:r w:rsidR="009347A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B</w:t>
            </w:r>
            <w:r w:rsidR="00EF7E8C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) after</w:t>
            </w:r>
            <w:r w:rsidRPr="00E401B3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pretreatment</w:t>
            </w:r>
            <w:r w:rsidR="00EF7E8C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with alkaline</w:t>
            </w:r>
            <w:r w:rsidRPr="00E401B3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peroxide.</w:t>
            </w:r>
          </w:p>
        </w:tc>
      </w:tr>
    </w:tbl>
    <w:p w:rsidR="0023439A" w:rsidRDefault="0023439A" w:rsidP="0023439A">
      <w:pPr>
        <w:tabs>
          <w:tab w:val="clear" w:pos="7100"/>
          <w:tab w:val="right" w:pos="284"/>
        </w:tabs>
        <w:snapToGrid w:val="0"/>
        <w:spacing w:after="120"/>
        <w:ind w:firstLine="284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1841"/>
        <w:gridCol w:w="2170"/>
        <w:gridCol w:w="1836"/>
        <w:gridCol w:w="714"/>
      </w:tblGrid>
      <w:tr w:rsidR="00FA0587" w:rsidTr="000D5B0A">
        <w:trPr>
          <w:trHeight w:val="2248"/>
        </w:trPr>
        <w:tc>
          <w:tcPr>
            <w:tcW w:w="8787" w:type="dxa"/>
            <w:gridSpan w:val="5"/>
            <w:shd w:val="clear" w:color="auto" w:fill="auto"/>
          </w:tcPr>
          <w:p w:rsidR="00FA0587" w:rsidRDefault="00FA0587" w:rsidP="003751A2">
            <w:pPr>
              <w:tabs>
                <w:tab w:val="left" w:pos="851"/>
              </w:tabs>
              <w:spacing w:before="120" w:after="120" w:line="36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>
                  <wp:extent cx="4374490" cy="1178572"/>
                  <wp:effectExtent l="0" t="0" r="0" b="0"/>
                  <wp:docPr id="4" name="Imagem 4" descr="C:\Users\User\Dropbox\Doutorado_FEQ_UNICAMP\Congresso\ECCE12 &amp; ECAB5\Imagem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ropbox\Doutorado_FEQ_UNICAMP\Congresso\ECCE12 &amp; ECAB5\Imagem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8162" cy="1219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587" w:rsidTr="000D5B0A">
        <w:tc>
          <w:tcPr>
            <w:tcW w:w="8787" w:type="dxa"/>
            <w:gridSpan w:val="5"/>
            <w:shd w:val="clear" w:color="auto" w:fill="auto"/>
          </w:tcPr>
          <w:p w:rsidR="00FA0587" w:rsidRDefault="00FA0587" w:rsidP="003D6FE2">
            <w:pPr>
              <w:tabs>
                <w:tab w:val="left" w:pos="851"/>
              </w:tabs>
              <w:spacing w:after="120" w:line="240" w:lineRule="auto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E401B3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 xml:space="preserve">Figure </w:t>
            </w:r>
            <w:r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2</w:t>
            </w:r>
            <w:r w:rsidRPr="00E401B3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– </w:t>
            </w:r>
            <w:r w:rsidRPr="00FA0587">
              <w:rPr>
                <w:rFonts w:asciiTheme="minorHAnsi" w:eastAsia="MS PGothic" w:hAnsiTheme="minorHAnsi"/>
                <w:i/>
                <w:color w:val="000000"/>
                <w:szCs w:val="18"/>
                <w:lang w:val="en-US"/>
              </w:rPr>
              <w:t>C. beijerinckii</w:t>
            </w:r>
            <w:r w:rsidR="003D6FE2" w:rsidRPr="00FA0587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3D6FE2" w:rsidRPr="003D6FE2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DSM 6423</w:t>
            </w:r>
            <w:r w:rsidR="003D6FE2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adhered to the sugarcane bagasse after the fermentation process.</w:t>
            </w:r>
            <w:r w:rsidRPr="00E401B3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</w:t>
            </w:r>
            <w:r w:rsidR="009347A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(</w:t>
            </w:r>
            <w:r w:rsidRPr="00E401B3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A) </w:t>
            </w:r>
            <w:r w:rsidR="009347A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Non- and (B) pretreated </w:t>
            </w:r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sugarcane bagasse</w:t>
            </w:r>
          </w:p>
          <w:p w:rsidR="00DD3401" w:rsidRDefault="00DD3401" w:rsidP="00FA0587">
            <w:pPr>
              <w:tabs>
                <w:tab w:val="left" w:pos="851"/>
              </w:tabs>
              <w:spacing w:before="120" w:after="120" w:line="240" w:lineRule="auto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</w:p>
          <w:p w:rsidR="00DD3401" w:rsidRPr="00E401B3" w:rsidRDefault="00DD3401" w:rsidP="00DD3401">
            <w:pPr>
              <w:tabs>
                <w:tab w:val="left" w:pos="851"/>
              </w:tabs>
              <w:spacing w:before="120" w:after="120" w:line="240" w:lineRule="auto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8E7667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Table 1</w:t>
            </w:r>
            <w:r w:rsidRPr="008E7667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– </w:t>
            </w:r>
            <w:r w:rsidR="000D5B0A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Performance of the </w:t>
            </w:r>
            <w:r w:rsidRPr="008E7667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IBE fermentation</w:t>
            </w:r>
          </w:p>
        </w:tc>
      </w:tr>
      <w:tr w:rsidR="008E7667" w:rsidRPr="008E7667" w:rsidTr="000D5B0A">
        <w:tblPrEx>
          <w:tblBorders>
            <w:top w:val="single" w:sz="4" w:space="0" w:color="auto"/>
          </w:tblBorders>
        </w:tblPrEx>
        <w:trPr>
          <w:gridAfter w:val="1"/>
          <w:wAfter w:w="714" w:type="dxa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:rsidR="008E7667" w:rsidRPr="008E7667" w:rsidRDefault="008E7667" w:rsidP="008E7667">
            <w:pPr>
              <w:tabs>
                <w:tab w:val="clear" w:pos="7100"/>
                <w:tab w:val="right" w:pos="284"/>
              </w:tabs>
              <w:snapToGrid w:val="0"/>
              <w:spacing w:after="120"/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667" w:rsidRPr="008E7667" w:rsidRDefault="008E7667" w:rsidP="000D5B0A">
            <w:pPr>
              <w:tabs>
                <w:tab w:val="clear" w:pos="7100"/>
                <w:tab w:val="right" w:pos="284"/>
              </w:tabs>
              <w:snapToGrid w:val="0"/>
              <w:jc w:val="center"/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</w:pPr>
            <w:r w:rsidRPr="008E7667"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  <w:t>Without immobilization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667" w:rsidRPr="008E7667" w:rsidRDefault="000D5B0A" w:rsidP="000D5B0A">
            <w:pPr>
              <w:tabs>
                <w:tab w:val="clear" w:pos="7100"/>
                <w:tab w:val="right" w:pos="284"/>
              </w:tabs>
              <w:snapToGrid w:val="0"/>
              <w:jc w:val="center"/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  <w:t>Non-treated</w:t>
            </w:r>
            <w:r w:rsidR="008E7667" w:rsidRPr="008E7667"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  <w:t xml:space="preserve"> bagasse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667" w:rsidRPr="008E7667" w:rsidRDefault="000D5B0A" w:rsidP="000D5B0A">
            <w:pPr>
              <w:tabs>
                <w:tab w:val="clear" w:pos="7100"/>
                <w:tab w:val="right" w:pos="284"/>
              </w:tabs>
              <w:snapToGrid w:val="0"/>
              <w:jc w:val="center"/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  <w:t>P</w:t>
            </w:r>
            <w:r w:rsidR="008E7667" w:rsidRPr="008E7667"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  <w:t>retreated bagasse</w:t>
            </w:r>
          </w:p>
        </w:tc>
      </w:tr>
      <w:tr w:rsidR="00F96BCD" w:rsidRPr="008E7667" w:rsidTr="00F96BCD">
        <w:tblPrEx>
          <w:tblBorders>
            <w:top w:val="single" w:sz="4" w:space="0" w:color="auto"/>
          </w:tblBorders>
        </w:tblPrEx>
        <w:trPr>
          <w:gridAfter w:val="1"/>
          <w:wAfter w:w="714" w:type="dxa"/>
        </w:trPr>
        <w:tc>
          <w:tcPr>
            <w:tcW w:w="2226" w:type="dxa"/>
            <w:tcBorders>
              <w:top w:val="single" w:sz="4" w:space="0" w:color="auto"/>
              <w:bottom w:val="nil"/>
            </w:tcBorders>
          </w:tcPr>
          <w:p w:rsidR="00F96BCD" w:rsidRPr="008E7667" w:rsidRDefault="00F96BCD" w:rsidP="00F96BCD">
            <w:pPr>
              <w:tabs>
                <w:tab w:val="clear" w:pos="7100"/>
                <w:tab w:val="right" w:pos="284"/>
              </w:tabs>
              <w:snapToGrid w:val="0"/>
              <w:spacing w:line="252" w:lineRule="auto"/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  <w:t>Sugar conversion (%)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F96BCD" w:rsidRPr="00E974C3" w:rsidRDefault="00E974C3" w:rsidP="00F96BCD">
            <w:pPr>
              <w:tabs>
                <w:tab w:val="clear" w:pos="7100"/>
                <w:tab w:val="right" w:pos="284"/>
              </w:tabs>
              <w:snapToGrid w:val="0"/>
              <w:spacing w:line="252" w:lineRule="auto"/>
              <w:jc w:val="center"/>
              <w:rPr>
                <w:rFonts w:asciiTheme="minorHAnsi" w:eastAsia="MS PGothic" w:hAnsiTheme="minorHAnsi"/>
                <w:color w:val="000000" w:themeColor="text1"/>
                <w:sz w:val="16"/>
                <w:szCs w:val="16"/>
                <w:lang w:val="en-US"/>
              </w:rPr>
            </w:pPr>
            <w:r w:rsidRPr="00E974C3">
              <w:rPr>
                <w:rFonts w:asciiTheme="minorHAnsi" w:eastAsia="MS PGothic" w:hAnsiTheme="minorHAnsi"/>
                <w:color w:val="000000" w:themeColor="text1"/>
                <w:sz w:val="16"/>
                <w:szCs w:val="16"/>
                <w:lang w:val="en-US"/>
              </w:rPr>
              <w:t>32</w:t>
            </w:r>
          </w:p>
        </w:tc>
        <w:tc>
          <w:tcPr>
            <w:tcW w:w="2170" w:type="dxa"/>
            <w:tcBorders>
              <w:top w:val="single" w:sz="4" w:space="0" w:color="auto"/>
              <w:bottom w:val="nil"/>
            </w:tcBorders>
          </w:tcPr>
          <w:p w:rsidR="00F96BCD" w:rsidRPr="00E974C3" w:rsidRDefault="00E974C3" w:rsidP="00F96BCD">
            <w:pPr>
              <w:tabs>
                <w:tab w:val="clear" w:pos="7100"/>
                <w:tab w:val="right" w:pos="284"/>
              </w:tabs>
              <w:snapToGrid w:val="0"/>
              <w:spacing w:line="252" w:lineRule="auto"/>
              <w:jc w:val="center"/>
              <w:rPr>
                <w:rFonts w:asciiTheme="minorHAnsi" w:eastAsia="MS PGothic" w:hAnsiTheme="minorHAnsi"/>
                <w:color w:val="000000" w:themeColor="text1"/>
                <w:sz w:val="16"/>
                <w:szCs w:val="16"/>
                <w:lang w:val="en-US"/>
              </w:rPr>
            </w:pPr>
            <w:r w:rsidRPr="00E974C3">
              <w:rPr>
                <w:rFonts w:asciiTheme="minorHAnsi" w:eastAsia="MS PGothic" w:hAnsiTheme="minorHAnsi"/>
                <w:color w:val="000000" w:themeColor="text1"/>
                <w:sz w:val="16"/>
                <w:szCs w:val="16"/>
                <w:lang w:val="en-US"/>
              </w:rPr>
              <w:t>60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:rsidR="00F96BCD" w:rsidRPr="00E974C3" w:rsidRDefault="00E974C3" w:rsidP="00F96BCD">
            <w:pPr>
              <w:tabs>
                <w:tab w:val="clear" w:pos="7100"/>
                <w:tab w:val="right" w:pos="284"/>
              </w:tabs>
              <w:snapToGrid w:val="0"/>
              <w:spacing w:line="252" w:lineRule="auto"/>
              <w:jc w:val="center"/>
              <w:rPr>
                <w:rFonts w:asciiTheme="minorHAnsi" w:eastAsia="MS PGothic" w:hAnsiTheme="minorHAnsi"/>
                <w:color w:val="000000" w:themeColor="text1"/>
                <w:sz w:val="16"/>
                <w:szCs w:val="16"/>
                <w:lang w:val="en-US"/>
              </w:rPr>
            </w:pPr>
            <w:r w:rsidRPr="00E974C3">
              <w:rPr>
                <w:rFonts w:asciiTheme="minorHAnsi" w:eastAsia="MS PGothic" w:hAnsiTheme="minorHAnsi"/>
                <w:color w:val="000000" w:themeColor="text1"/>
                <w:sz w:val="16"/>
                <w:szCs w:val="16"/>
                <w:lang w:val="en-US"/>
              </w:rPr>
              <w:t>78</w:t>
            </w:r>
          </w:p>
        </w:tc>
      </w:tr>
      <w:tr w:rsidR="008E7667" w:rsidRPr="008E7667" w:rsidTr="00F96BCD">
        <w:tblPrEx>
          <w:tblBorders>
            <w:top w:val="single" w:sz="4" w:space="0" w:color="auto"/>
          </w:tblBorders>
        </w:tblPrEx>
        <w:trPr>
          <w:gridAfter w:val="1"/>
          <w:wAfter w:w="714" w:type="dxa"/>
        </w:trPr>
        <w:tc>
          <w:tcPr>
            <w:tcW w:w="2226" w:type="dxa"/>
            <w:tcBorders>
              <w:top w:val="nil"/>
            </w:tcBorders>
          </w:tcPr>
          <w:p w:rsidR="008E7667" w:rsidRPr="008E7667" w:rsidRDefault="008E7667" w:rsidP="00F96BCD">
            <w:pPr>
              <w:tabs>
                <w:tab w:val="clear" w:pos="7100"/>
                <w:tab w:val="right" w:pos="284"/>
              </w:tabs>
              <w:snapToGrid w:val="0"/>
              <w:spacing w:line="252" w:lineRule="auto"/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</w:pPr>
            <w:r w:rsidRPr="008E7667"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  <w:t>Final IBE concentration (g/L)</w:t>
            </w:r>
          </w:p>
        </w:tc>
        <w:tc>
          <w:tcPr>
            <w:tcW w:w="1841" w:type="dxa"/>
            <w:tcBorders>
              <w:top w:val="nil"/>
            </w:tcBorders>
          </w:tcPr>
          <w:p w:rsidR="008E7667" w:rsidRPr="008E7667" w:rsidRDefault="008E7667" w:rsidP="00F96BCD">
            <w:pPr>
              <w:tabs>
                <w:tab w:val="clear" w:pos="7100"/>
                <w:tab w:val="right" w:pos="284"/>
              </w:tabs>
              <w:snapToGrid w:val="0"/>
              <w:spacing w:line="252" w:lineRule="auto"/>
              <w:jc w:val="center"/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</w:pPr>
            <w:r w:rsidRPr="008E7667"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  <w:t>7.8</w:t>
            </w:r>
          </w:p>
        </w:tc>
        <w:tc>
          <w:tcPr>
            <w:tcW w:w="2170" w:type="dxa"/>
            <w:tcBorders>
              <w:top w:val="nil"/>
            </w:tcBorders>
          </w:tcPr>
          <w:p w:rsidR="008E7667" w:rsidRPr="008E7667" w:rsidRDefault="008E7667" w:rsidP="00F96BCD">
            <w:pPr>
              <w:tabs>
                <w:tab w:val="clear" w:pos="7100"/>
                <w:tab w:val="right" w:pos="284"/>
              </w:tabs>
              <w:snapToGrid w:val="0"/>
              <w:spacing w:line="252" w:lineRule="auto"/>
              <w:jc w:val="center"/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</w:pPr>
            <w:r w:rsidRPr="008E7667"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  <w:t>12.8</w:t>
            </w:r>
          </w:p>
        </w:tc>
        <w:tc>
          <w:tcPr>
            <w:tcW w:w="1836" w:type="dxa"/>
            <w:tcBorders>
              <w:top w:val="nil"/>
            </w:tcBorders>
          </w:tcPr>
          <w:p w:rsidR="008E7667" w:rsidRPr="008E7667" w:rsidRDefault="008E7667" w:rsidP="00F96BCD">
            <w:pPr>
              <w:tabs>
                <w:tab w:val="clear" w:pos="7100"/>
                <w:tab w:val="right" w:pos="284"/>
              </w:tabs>
              <w:snapToGrid w:val="0"/>
              <w:spacing w:line="252" w:lineRule="auto"/>
              <w:jc w:val="center"/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</w:pPr>
            <w:r w:rsidRPr="008E7667"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  <w:t>13.9</w:t>
            </w:r>
          </w:p>
        </w:tc>
      </w:tr>
      <w:tr w:rsidR="008E7667" w:rsidRPr="008E7667" w:rsidTr="000D5B0A">
        <w:tblPrEx>
          <w:tblBorders>
            <w:top w:val="single" w:sz="4" w:space="0" w:color="auto"/>
          </w:tblBorders>
        </w:tblPrEx>
        <w:trPr>
          <w:gridAfter w:val="1"/>
          <w:wAfter w:w="714" w:type="dxa"/>
        </w:trPr>
        <w:tc>
          <w:tcPr>
            <w:tcW w:w="2226" w:type="dxa"/>
            <w:tcBorders>
              <w:bottom w:val="nil"/>
            </w:tcBorders>
          </w:tcPr>
          <w:p w:rsidR="008E7667" w:rsidRPr="008E7667" w:rsidRDefault="008E7667" w:rsidP="00F96BCD">
            <w:pPr>
              <w:tabs>
                <w:tab w:val="clear" w:pos="7100"/>
                <w:tab w:val="right" w:pos="284"/>
              </w:tabs>
              <w:snapToGrid w:val="0"/>
              <w:spacing w:line="252" w:lineRule="auto"/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</w:pPr>
            <w:r w:rsidRPr="008E7667"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  <w:t>IBE productivity (g/L</w:t>
            </w:r>
            <w:r w:rsidR="000D5B0A"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  <w:t>.</w:t>
            </w:r>
            <w:r w:rsidRPr="008E7667"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  <w:t>h)</w:t>
            </w:r>
          </w:p>
        </w:tc>
        <w:tc>
          <w:tcPr>
            <w:tcW w:w="1841" w:type="dxa"/>
            <w:tcBorders>
              <w:bottom w:val="nil"/>
            </w:tcBorders>
          </w:tcPr>
          <w:p w:rsidR="008E7667" w:rsidRPr="008E7667" w:rsidRDefault="008E7667" w:rsidP="00F96BCD">
            <w:pPr>
              <w:tabs>
                <w:tab w:val="clear" w:pos="7100"/>
                <w:tab w:val="right" w:pos="284"/>
              </w:tabs>
              <w:snapToGrid w:val="0"/>
              <w:spacing w:line="252" w:lineRule="auto"/>
              <w:jc w:val="center"/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</w:pPr>
            <w:r w:rsidRPr="008E7667"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  <w:t>0.19</w:t>
            </w:r>
          </w:p>
        </w:tc>
        <w:tc>
          <w:tcPr>
            <w:tcW w:w="2170" w:type="dxa"/>
            <w:tcBorders>
              <w:bottom w:val="nil"/>
            </w:tcBorders>
          </w:tcPr>
          <w:p w:rsidR="008E7667" w:rsidRPr="008E7667" w:rsidRDefault="008E7667" w:rsidP="00F96BCD">
            <w:pPr>
              <w:tabs>
                <w:tab w:val="clear" w:pos="7100"/>
                <w:tab w:val="right" w:pos="284"/>
              </w:tabs>
              <w:snapToGrid w:val="0"/>
              <w:spacing w:line="252" w:lineRule="auto"/>
              <w:jc w:val="center"/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</w:pPr>
            <w:r w:rsidRPr="008E7667"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  <w:t>0.31</w:t>
            </w:r>
          </w:p>
        </w:tc>
        <w:tc>
          <w:tcPr>
            <w:tcW w:w="1836" w:type="dxa"/>
            <w:tcBorders>
              <w:bottom w:val="nil"/>
            </w:tcBorders>
          </w:tcPr>
          <w:p w:rsidR="008E7667" w:rsidRPr="008E7667" w:rsidRDefault="008E7667" w:rsidP="00F96BCD">
            <w:pPr>
              <w:tabs>
                <w:tab w:val="clear" w:pos="7100"/>
                <w:tab w:val="right" w:pos="284"/>
              </w:tabs>
              <w:snapToGrid w:val="0"/>
              <w:spacing w:line="252" w:lineRule="auto"/>
              <w:jc w:val="center"/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</w:pPr>
            <w:r w:rsidRPr="008E7667"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  <w:t>0.34</w:t>
            </w:r>
          </w:p>
        </w:tc>
      </w:tr>
      <w:tr w:rsidR="008E7667" w:rsidRPr="008E7667" w:rsidTr="000D5B0A">
        <w:tblPrEx>
          <w:tblBorders>
            <w:top w:val="single" w:sz="4" w:space="0" w:color="auto"/>
          </w:tblBorders>
        </w:tblPrEx>
        <w:trPr>
          <w:gridAfter w:val="1"/>
          <w:wAfter w:w="714" w:type="dxa"/>
        </w:trPr>
        <w:tc>
          <w:tcPr>
            <w:tcW w:w="2226" w:type="dxa"/>
            <w:tcBorders>
              <w:top w:val="nil"/>
              <w:bottom w:val="single" w:sz="4" w:space="0" w:color="auto"/>
            </w:tcBorders>
          </w:tcPr>
          <w:p w:rsidR="008E7667" w:rsidRPr="008E7667" w:rsidRDefault="008E7667" w:rsidP="00F96BCD">
            <w:pPr>
              <w:tabs>
                <w:tab w:val="clear" w:pos="7100"/>
                <w:tab w:val="right" w:pos="284"/>
              </w:tabs>
              <w:snapToGrid w:val="0"/>
              <w:spacing w:line="252" w:lineRule="auto"/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</w:pPr>
            <w:r w:rsidRPr="008E7667"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  <w:t>IBE yield (g/g)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8E7667" w:rsidRPr="008E7667" w:rsidRDefault="008E7667" w:rsidP="00F96BCD">
            <w:pPr>
              <w:tabs>
                <w:tab w:val="clear" w:pos="7100"/>
                <w:tab w:val="right" w:pos="284"/>
              </w:tabs>
              <w:snapToGrid w:val="0"/>
              <w:spacing w:line="252" w:lineRule="auto"/>
              <w:jc w:val="center"/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  <w:t>0.4</w:t>
            </w:r>
            <w:r w:rsidR="00591687"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170" w:type="dxa"/>
            <w:tcBorders>
              <w:top w:val="nil"/>
              <w:bottom w:val="single" w:sz="4" w:space="0" w:color="auto"/>
            </w:tcBorders>
          </w:tcPr>
          <w:p w:rsidR="008E7667" w:rsidRPr="008E7667" w:rsidRDefault="008E7667" w:rsidP="00F96BCD">
            <w:pPr>
              <w:tabs>
                <w:tab w:val="clear" w:pos="7100"/>
                <w:tab w:val="right" w:pos="284"/>
              </w:tabs>
              <w:snapToGrid w:val="0"/>
              <w:spacing w:line="252" w:lineRule="auto"/>
              <w:jc w:val="center"/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  <w:t>0.34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:rsidR="008E7667" w:rsidRPr="008E7667" w:rsidRDefault="008E7667" w:rsidP="00F96BCD">
            <w:pPr>
              <w:tabs>
                <w:tab w:val="clear" w:pos="7100"/>
                <w:tab w:val="right" w:pos="284"/>
              </w:tabs>
              <w:snapToGrid w:val="0"/>
              <w:spacing w:line="252" w:lineRule="auto"/>
              <w:jc w:val="center"/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16"/>
                <w:szCs w:val="16"/>
                <w:lang w:val="en-US"/>
              </w:rPr>
              <w:t>0.29</w:t>
            </w:r>
          </w:p>
        </w:tc>
      </w:tr>
      <w:tr w:rsidR="008E7667" w:rsidRPr="008E7667" w:rsidTr="000D5B0A">
        <w:tblPrEx>
          <w:tblBorders>
            <w:top w:val="single" w:sz="4" w:space="0" w:color="auto"/>
          </w:tblBorders>
        </w:tblPrEx>
        <w:trPr>
          <w:gridAfter w:val="1"/>
          <w:wAfter w:w="714" w:type="dxa"/>
        </w:trPr>
        <w:tc>
          <w:tcPr>
            <w:tcW w:w="8073" w:type="dxa"/>
            <w:gridSpan w:val="4"/>
            <w:tcBorders>
              <w:top w:val="single" w:sz="4" w:space="0" w:color="auto"/>
            </w:tcBorders>
          </w:tcPr>
          <w:p w:rsidR="008E7667" w:rsidRPr="008E7667" w:rsidRDefault="008E7667" w:rsidP="008E7667">
            <w:pPr>
              <w:tabs>
                <w:tab w:val="clear" w:pos="7100"/>
                <w:tab w:val="right" w:pos="284"/>
              </w:tabs>
              <w:snapToGrid w:val="0"/>
              <w:spacing w:after="120"/>
              <w:jc w:val="left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</w:p>
        </w:tc>
      </w:tr>
    </w:tbl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4560D0" w:rsidRDefault="00760961" w:rsidP="001E011F">
      <w:pPr>
        <w:tabs>
          <w:tab w:val="clear" w:pos="7100"/>
          <w:tab w:val="right" w:pos="284"/>
        </w:tabs>
        <w:snapToGrid w:val="0"/>
        <w:spacing w:after="120" w:line="240" w:lineRule="auto"/>
        <w:ind w:firstLine="284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Sugarcane bagasse as a cell carrier offer</w:t>
      </w:r>
      <w:r w:rsidR="003D401D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remarkable gains (78%) in IBE production. </w:t>
      </w:r>
      <w:r w:rsidR="003D401D">
        <w:rPr>
          <w:rFonts w:asciiTheme="minorHAnsi" w:eastAsia="MS PGothic" w:hAnsiTheme="minorHAnsi"/>
          <w:color w:val="000000"/>
          <w:sz w:val="22"/>
          <w:szCs w:val="22"/>
          <w:lang w:val="en-US"/>
        </w:rPr>
        <w:t>Further gains (8%) can be obtained if the bagasse is pretreated with alkaline peroxide. However,</w:t>
      </w:r>
      <w:r w:rsidR="003D401D" w:rsidRPr="003D40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D40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more sugar was used to produce </w:t>
      </w:r>
      <w:r w:rsidR="003D401D" w:rsidRPr="00760961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biofilm exopolysaccharides</w:t>
      </w:r>
      <w:r w:rsidR="003D401D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thereby</w:t>
      </w:r>
      <w:r w:rsidR="003D401D" w:rsidRPr="007609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affect</w:t>
      </w:r>
      <w:r w:rsidR="003D40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ing </w:t>
      </w:r>
      <w:r w:rsidR="003D401D" w:rsidRPr="0076096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IBE yield</w:t>
      </w:r>
      <w:r w:rsidR="003D40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more intensively. Thus, future studies should focus on attenuating the production of exopolysaccharides by </w:t>
      </w:r>
      <w:r w:rsidR="003D401D" w:rsidRPr="006049C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C. </w:t>
      </w:r>
      <w:r w:rsidR="003D401D" w:rsidRPr="00FA0587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beijerinckii</w:t>
      </w:r>
      <w:r w:rsidR="003D401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r w:rsidR="003D401D" w:rsidRPr="00FA0587">
        <w:rPr>
          <w:rFonts w:asciiTheme="minorHAnsi" w:eastAsia="MS PGothic" w:hAnsiTheme="minorHAnsi"/>
          <w:color w:val="000000"/>
          <w:sz w:val="22"/>
          <w:szCs w:val="22"/>
          <w:lang w:val="en-US"/>
        </w:rPr>
        <w:t>DSM 6423</w:t>
      </w:r>
      <w:r w:rsidR="003D401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3D401D" w:rsidRDefault="003D401D" w:rsidP="001E011F">
      <w:pPr>
        <w:tabs>
          <w:tab w:val="clear" w:pos="7100"/>
          <w:tab w:val="right" w:pos="284"/>
        </w:tabs>
        <w:snapToGrid w:val="0"/>
        <w:spacing w:after="120" w:line="240" w:lineRule="auto"/>
        <w:ind w:firstLine="284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BF7901" w:rsidRPr="005554F3" w:rsidRDefault="00BF7901" w:rsidP="002975A9">
      <w:pPr>
        <w:pStyle w:val="PargrafodaLista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noProof/>
          <w:sz w:val="20"/>
          <w:lang w:val="en-US"/>
        </w:rPr>
      </w:pPr>
      <w:r w:rsidRPr="002975A9">
        <w:rPr>
          <w:rFonts w:asciiTheme="minorHAnsi" w:hAnsiTheme="minorHAnsi"/>
          <w:noProof/>
          <w:sz w:val="20"/>
          <w:lang w:val="en-US"/>
        </w:rPr>
        <w:t xml:space="preserve">M. Kumar, K. Gayen. Appl </w:t>
      </w:r>
      <w:r w:rsidRPr="005554F3">
        <w:rPr>
          <w:rFonts w:asciiTheme="minorHAnsi" w:hAnsiTheme="minorHAnsi"/>
          <w:noProof/>
          <w:sz w:val="20"/>
          <w:lang w:val="en-US"/>
        </w:rPr>
        <w:t>Energy. 88 (2011) 1999–2012.</w:t>
      </w:r>
    </w:p>
    <w:p w:rsidR="00BF7901" w:rsidRPr="005554F3" w:rsidRDefault="00BF7901" w:rsidP="002975A9">
      <w:pPr>
        <w:pStyle w:val="PargrafodaLista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noProof/>
          <w:sz w:val="20"/>
          <w:lang w:val="en-US"/>
        </w:rPr>
      </w:pPr>
      <w:r w:rsidRPr="005554F3">
        <w:rPr>
          <w:rFonts w:asciiTheme="minorHAnsi" w:hAnsiTheme="minorHAnsi"/>
          <w:noProof/>
          <w:sz w:val="20"/>
          <w:lang w:val="en-US"/>
        </w:rPr>
        <w:t>S.A. Survase, E. Sklavounos, G. Jurgens, A. Van Heiningen, T. Granstrom</w:t>
      </w:r>
      <w:r w:rsidR="00D04671" w:rsidRPr="005554F3">
        <w:rPr>
          <w:rFonts w:asciiTheme="minorHAnsi" w:hAnsiTheme="minorHAnsi"/>
          <w:noProof/>
          <w:sz w:val="20"/>
          <w:lang w:val="en-US"/>
        </w:rPr>
        <w:t>. Appl</w:t>
      </w:r>
      <w:r w:rsidRPr="005554F3">
        <w:rPr>
          <w:rFonts w:asciiTheme="minorHAnsi" w:hAnsiTheme="minorHAnsi"/>
          <w:noProof/>
          <w:sz w:val="20"/>
          <w:lang w:val="en-US"/>
        </w:rPr>
        <w:t xml:space="preserve"> Microbiol Biotechnol 91 (2011) 1305–1313.</w:t>
      </w:r>
    </w:p>
    <w:p w:rsidR="00D04671" w:rsidRPr="005554F3" w:rsidRDefault="00D04671" w:rsidP="00D04671">
      <w:pPr>
        <w:pStyle w:val="PargrafodaLista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noProof/>
          <w:sz w:val="20"/>
          <w:lang w:val="en-US"/>
        </w:rPr>
      </w:pPr>
      <w:r w:rsidRPr="00455ACA">
        <w:rPr>
          <w:rFonts w:asciiTheme="minorHAnsi" w:hAnsiTheme="minorHAnsi"/>
          <w:noProof/>
          <w:sz w:val="20"/>
          <w:lang w:val="en-US"/>
        </w:rPr>
        <w:t xml:space="preserve">S. A. Survase, A. Van Heiningen, </w:t>
      </w:r>
      <w:r w:rsidR="005554F3" w:rsidRPr="00455ACA">
        <w:rPr>
          <w:rFonts w:asciiTheme="minorHAnsi" w:hAnsiTheme="minorHAnsi"/>
          <w:noProof/>
          <w:sz w:val="20"/>
          <w:lang w:val="en-US"/>
        </w:rPr>
        <w:t>T. Grantro</w:t>
      </w:r>
      <w:r w:rsidRPr="005554F3">
        <w:rPr>
          <w:rFonts w:asciiTheme="minorHAnsi" w:hAnsiTheme="minorHAnsi"/>
          <w:noProof/>
          <w:sz w:val="20"/>
          <w:lang w:val="en-US"/>
        </w:rPr>
        <w:t>. J Ind Microbiol Biotech. 40</w:t>
      </w:r>
      <w:r w:rsidR="005554F3" w:rsidRPr="005554F3">
        <w:rPr>
          <w:rFonts w:asciiTheme="minorHAnsi" w:hAnsiTheme="minorHAnsi"/>
          <w:noProof/>
          <w:sz w:val="20"/>
          <w:lang w:val="en-US"/>
        </w:rPr>
        <w:t xml:space="preserve"> (2013)</w:t>
      </w:r>
      <w:r w:rsidRPr="005554F3">
        <w:rPr>
          <w:rFonts w:asciiTheme="minorHAnsi" w:hAnsiTheme="minorHAnsi"/>
          <w:noProof/>
          <w:sz w:val="20"/>
          <w:lang w:val="en-US"/>
        </w:rPr>
        <w:t xml:space="preserve"> 209–15.</w:t>
      </w:r>
    </w:p>
    <w:p w:rsidR="005554F3" w:rsidRPr="005554F3" w:rsidRDefault="005554F3" w:rsidP="002975A9">
      <w:pPr>
        <w:pStyle w:val="PargrafodaLista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sz w:val="20"/>
          <w:lang w:val="en-US"/>
        </w:rPr>
      </w:pPr>
      <w:r w:rsidRPr="005554F3">
        <w:rPr>
          <w:rFonts w:asciiTheme="minorHAnsi" w:hAnsiTheme="minorHAnsi"/>
          <w:noProof/>
          <w:sz w:val="20"/>
          <w:lang w:val="en-US"/>
        </w:rPr>
        <w:t>Y. Yang, A. Hoogewind, Y.H. Moon, MOON, D. Day. Bioproc Biosyst Eng. 39 (2013) 421-428.</w:t>
      </w:r>
    </w:p>
    <w:p w:rsidR="005554F3" w:rsidRPr="005554F3" w:rsidRDefault="005554F3" w:rsidP="005554F3">
      <w:pPr>
        <w:pStyle w:val="PargrafodaLista"/>
        <w:widowControl w:val="0"/>
        <w:numPr>
          <w:ilvl w:val="0"/>
          <w:numId w:val="17"/>
        </w:numPr>
        <w:spacing w:after="120"/>
        <w:rPr>
          <w:rFonts w:asciiTheme="minorHAnsi" w:hAnsiTheme="minorHAnsi"/>
          <w:sz w:val="20"/>
          <w:lang w:val="en-US"/>
        </w:rPr>
      </w:pPr>
      <w:r w:rsidRPr="005554F3">
        <w:rPr>
          <w:rFonts w:asciiTheme="minorHAnsi" w:hAnsiTheme="minorHAnsi"/>
          <w:noProof/>
          <w:sz w:val="20"/>
          <w:lang w:val="en-US"/>
        </w:rPr>
        <w:t>S. Zhang, C. Qu, X. Huang, Y. Suo, Z. Liao. J. Ind Microbiol Biotechnol. 43 (2016) 915–25.</w:t>
      </w:r>
    </w:p>
    <w:p w:rsidR="00704BDF" w:rsidRPr="00EA3BC9" w:rsidRDefault="005554F3" w:rsidP="00EA3BC9">
      <w:pPr>
        <w:pStyle w:val="PargrafodaLista"/>
        <w:widowControl w:val="0"/>
        <w:numPr>
          <w:ilvl w:val="0"/>
          <w:numId w:val="17"/>
        </w:numPr>
        <w:spacing w:after="120"/>
        <w:rPr>
          <w:rFonts w:asciiTheme="minorHAnsi" w:hAnsiTheme="minorHAnsi"/>
          <w:sz w:val="20"/>
          <w:lang w:val="en-US"/>
        </w:rPr>
      </w:pPr>
      <w:r w:rsidRPr="00455ACA">
        <w:rPr>
          <w:rFonts w:asciiTheme="minorHAnsi" w:hAnsiTheme="minorHAnsi"/>
          <w:sz w:val="20"/>
          <w:lang w:val="fr-FR"/>
        </w:rPr>
        <w:t xml:space="preserve">D. Cai, C. Cheng, Y. Wang, S. Hu, C. Cui, P. Qin, T. Tan. </w:t>
      </w:r>
      <w:proofErr w:type="spellStart"/>
      <w:r w:rsidRPr="005554F3">
        <w:rPr>
          <w:rFonts w:asciiTheme="minorHAnsi" w:hAnsiTheme="minorHAnsi"/>
          <w:sz w:val="20"/>
          <w:lang w:val="en-US"/>
        </w:rPr>
        <w:t>Biores</w:t>
      </w:r>
      <w:proofErr w:type="spellEnd"/>
      <w:r w:rsidRPr="005554F3">
        <w:rPr>
          <w:rFonts w:asciiTheme="minorHAnsi" w:hAnsiTheme="minorHAnsi"/>
          <w:sz w:val="20"/>
          <w:lang w:val="en-US"/>
        </w:rPr>
        <w:t xml:space="preserve"> Technol. 220 (2016) 68-75.</w:t>
      </w:r>
    </w:p>
    <w:sectPr w:rsidR="00704BDF" w:rsidRPr="00EA3BC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70E" w:rsidRDefault="002A770E" w:rsidP="004F5E36">
      <w:r>
        <w:separator/>
      </w:r>
    </w:p>
  </w:endnote>
  <w:endnote w:type="continuationSeparator" w:id="0">
    <w:p w:rsidR="002A770E" w:rsidRDefault="002A770E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70E" w:rsidRDefault="002A770E" w:rsidP="004F5E36">
      <w:r>
        <w:separator/>
      </w:r>
    </w:p>
  </w:footnote>
  <w:footnote w:type="continuationSeparator" w:id="0">
    <w:p w:rsidR="002A770E" w:rsidRDefault="002A770E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714E89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799464</wp:posOffset>
              </wp:positionV>
              <wp:extent cx="5581650" cy="0"/>
              <wp:effectExtent l="38100" t="38100" r="57150" b="76200"/>
              <wp:wrapNone/>
              <wp:docPr id="86" name="Connettore 1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BCFF04" id="Connettore 1 8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" strokecolor="#7030a0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4D1162">
      <w:rPr>
        <w:noProof/>
        <w:lang w:val="pt-BR"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Cabealho"/>
    </w:pPr>
  </w:p>
  <w:p w:rsidR="00704BDF" w:rsidRDefault="00714E89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76199</wp:posOffset>
              </wp:positionV>
              <wp:extent cx="5581650" cy="0"/>
              <wp:effectExtent l="38100" t="38100" r="57150" b="7620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0A8669" id="Connettore 1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" strokecolor="#7030a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asimples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4A"/>
    <w:rsid w:val="000027C0"/>
    <w:rsid w:val="000117CB"/>
    <w:rsid w:val="00011CFE"/>
    <w:rsid w:val="0003148D"/>
    <w:rsid w:val="00062A9A"/>
    <w:rsid w:val="00084726"/>
    <w:rsid w:val="000A03B2"/>
    <w:rsid w:val="000C5AB1"/>
    <w:rsid w:val="000D34BE"/>
    <w:rsid w:val="000D5B0A"/>
    <w:rsid w:val="000E36F1"/>
    <w:rsid w:val="000E3A73"/>
    <w:rsid w:val="000E414A"/>
    <w:rsid w:val="000E5E1C"/>
    <w:rsid w:val="00125618"/>
    <w:rsid w:val="0013121F"/>
    <w:rsid w:val="00134DE4"/>
    <w:rsid w:val="00150E59"/>
    <w:rsid w:val="001632BD"/>
    <w:rsid w:val="00164641"/>
    <w:rsid w:val="00184AD6"/>
    <w:rsid w:val="00195645"/>
    <w:rsid w:val="001A1B95"/>
    <w:rsid w:val="001A20A1"/>
    <w:rsid w:val="001A7A39"/>
    <w:rsid w:val="001B65C1"/>
    <w:rsid w:val="001C684B"/>
    <w:rsid w:val="001D53FC"/>
    <w:rsid w:val="001E011F"/>
    <w:rsid w:val="001F2EC7"/>
    <w:rsid w:val="001F6E8A"/>
    <w:rsid w:val="00203382"/>
    <w:rsid w:val="002065DB"/>
    <w:rsid w:val="0021142F"/>
    <w:rsid w:val="0023439A"/>
    <w:rsid w:val="002447EF"/>
    <w:rsid w:val="00251550"/>
    <w:rsid w:val="0025180D"/>
    <w:rsid w:val="0027221A"/>
    <w:rsid w:val="00275B61"/>
    <w:rsid w:val="002975A9"/>
    <w:rsid w:val="002A63E5"/>
    <w:rsid w:val="002A770E"/>
    <w:rsid w:val="002D1F12"/>
    <w:rsid w:val="003009B7"/>
    <w:rsid w:val="00300DB6"/>
    <w:rsid w:val="0030469C"/>
    <w:rsid w:val="003311CE"/>
    <w:rsid w:val="00344672"/>
    <w:rsid w:val="00354AB2"/>
    <w:rsid w:val="003723D4"/>
    <w:rsid w:val="00385849"/>
    <w:rsid w:val="003A7D1C"/>
    <w:rsid w:val="003B6B1B"/>
    <w:rsid w:val="003D401D"/>
    <w:rsid w:val="003D6FE2"/>
    <w:rsid w:val="0041213F"/>
    <w:rsid w:val="00455ACA"/>
    <w:rsid w:val="004560D0"/>
    <w:rsid w:val="0046164A"/>
    <w:rsid w:val="00462DCD"/>
    <w:rsid w:val="004A011F"/>
    <w:rsid w:val="004B2F8D"/>
    <w:rsid w:val="004D0A7F"/>
    <w:rsid w:val="004D1162"/>
    <w:rsid w:val="004D1BC6"/>
    <w:rsid w:val="004E4DD6"/>
    <w:rsid w:val="004F563B"/>
    <w:rsid w:val="004F5E36"/>
    <w:rsid w:val="0050313C"/>
    <w:rsid w:val="005119A5"/>
    <w:rsid w:val="005168E2"/>
    <w:rsid w:val="005278B7"/>
    <w:rsid w:val="005346C8"/>
    <w:rsid w:val="00540812"/>
    <w:rsid w:val="005554F3"/>
    <w:rsid w:val="00565793"/>
    <w:rsid w:val="0058400F"/>
    <w:rsid w:val="00591687"/>
    <w:rsid w:val="00594E9F"/>
    <w:rsid w:val="005B61E6"/>
    <w:rsid w:val="005C77E1"/>
    <w:rsid w:val="005D1824"/>
    <w:rsid w:val="005D6A2F"/>
    <w:rsid w:val="005E1A82"/>
    <w:rsid w:val="005E7051"/>
    <w:rsid w:val="005F0A28"/>
    <w:rsid w:val="005F0E5E"/>
    <w:rsid w:val="005F2C74"/>
    <w:rsid w:val="006049CF"/>
    <w:rsid w:val="00604D67"/>
    <w:rsid w:val="00620DEE"/>
    <w:rsid w:val="00625639"/>
    <w:rsid w:val="006264CE"/>
    <w:rsid w:val="006366F8"/>
    <w:rsid w:val="0064184D"/>
    <w:rsid w:val="00660E3E"/>
    <w:rsid w:val="00661E99"/>
    <w:rsid w:val="00662E74"/>
    <w:rsid w:val="006B01AC"/>
    <w:rsid w:val="006C5579"/>
    <w:rsid w:val="006D2726"/>
    <w:rsid w:val="006E253E"/>
    <w:rsid w:val="00704BDF"/>
    <w:rsid w:val="00714E89"/>
    <w:rsid w:val="00736B13"/>
    <w:rsid w:val="007447F3"/>
    <w:rsid w:val="00760961"/>
    <w:rsid w:val="007661C8"/>
    <w:rsid w:val="007B50B8"/>
    <w:rsid w:val="007D52CD"/>
    <w:rsid w:val="007F0FD1"/>
    <w:rsid w:val="00804F45"/>
    <w:rsid w:val="00813288"/>
    <w:rsid w:val="008168FC"/>
    <w:rsid w:val="0083015C"/>
    <w:rsid w:val="008479A2"/>
    <w:rsid w:val="0087637F"/>
    <w:rsid w:val="008A1512"/>
    <w:rsid w:val="008A71E7"/>
    <w:rsid w:val="008D0BEB"/>
    <w:rsid w:val="008E566E"/>
    <w:rsid w:val="008E7667"/>
    <w:rsid w:val="00901EB6"/>
    <w:rsid w:val="009306A3"/>
    <w:rsid w:val="009347AB"/>
    <w:rsid w:val="009450CE"/>
    <w:rsid w:val="0095164B"/>
    <w:rsid w:val="00996483"/>
    <w:rsid w:val="009C3F7B"/>
    <w:rsid w:val="009E788A"/>
    <w:rsid w:val="009F02BB"/>
    <w:rsid w:val="009F6CD4"/>
    <w:rsid w:val="00A076E3"/>
    <w:rsid w:val="00A1763D"/>
    <w:rsid w:val="00A17994"/>
    <w:rsid w:val="00A17CEC"/>
    <w:rsid w:val="00A24697"/>
    <w:rsid w:val="00A27EF0"/>
    <w:rsid w:val="00A46B05"/>
    <w:rsid w:val="00A76EFC"/>
    <w:rsid w:val="00A91001"/>
    <w:rsid w:val="00A97F29"/>
    <w:rsid w:val="00AB0964"/>
    <w:rsid w:val="00AE377D"/>
    <w:rsid w:val="00AF0A71"/>
    <w:rsid w:val="00B210D0"/>
    <w:rsid w:val="00B33A13"/>
    <w:rsid w:val="00B46AC5"/>
    <w:rsid w:val="00B61DBF"/>
    <w:rsid w:val="00B67F09"/>
    <w:rsid w:val="00B9036E"/>
    <w:rsid w:val="00BB246B"/>
    <w:rsid w:val="00BC30C9"/>
    <w:rsid w:val="00BE04BB"/>
    <w:rsid w:val="00BE3E58"/>
    <w:rsid w:val="00BF7901"/>
    <w:rsid w:val="00C01616"/>
    <w:rsid w:val="00C0162B"/>
    <w:rsid w:val="00C345B1"/>
    <w:rsid w:val="00C40142"/>
    <w:rsid w:val="00C5520D"/>
    <w:rsid w:val="00C57182"/>
    <w:rsid w:val="00C57B54"/>
    <w:rsid w:val="00C655FD"/>
    <w:rsid w:val="00C93033"/>
    <w:rsid w:val="00C94434"/>
    <w:rsid w:val="00CA0D9C"/>
    <w:rsid w:val="00CA1C95"/>
    <w:rsid w:val="00CA5A9C"/>
    <w:rsid w:val="00CC0090"/>
    <w:rsid w:val="00CC3F4B"/>
    <w:rsid w:val="00CD5FE2"/>
    <w:rsid w:val="00CE52FD"/>
    <w:rsid w:val="00D02B4C"/>
    <w:rsid w:val="00D04671"/>
    <w:rsid w:val="00D36554"/>
    <w:rsid w:val="00D51ACE"/>
    <w:rsid w:val="00D611FB"/>
    <w:rsid w:val="00D74993"/>
    <w:rsid w:val="00D81AC7"/>
    <w:rsid w:val="00D84576"/>
    <w:rsid w:val="00DD3401"/>
    <w:rsid w:val="00DE0019"/>
    <w:rsid w:val="00DE264A"/>
    <w:rsid w:val="00E041E7"/>
    <w:rsid w:val="00E23CA1"/>
    <w:rsid w:val="00E255B4"/>
    <w:rsid w:val="00E25A1F"/>
    <w:rsid w:val="00E401B3"/>
    <w:rsid w:val="00E409A8"/>
    <w:rsid w:val="00E4655A"/>
    <w:rsid w:val="00E47211"/>
    <w:rsid w:val="00E51E17"/>
    <w:rsid w:val="00E7209D"/>
    <w:rsid w:val="00E974C3"/>
    <w:rsid w:val="00EA3BC9"/>
    <w:rsid w:val="00EA50E1"/>
    <w:rsid w:val="00EA6C09"/>
    <w:rsid w:val="00EB0AF5"/>
    <w:rsid w:val="00EB4B6B"/>
    <w:rsid w:val="00EB622C"/>
    <w:rsid w:val="00EC55F7"/>
    <w:rsid w:val="00EE0131"/>
    <w:rsid w:val="00EE0F4E"/>
    <w:rsid w:val="00EF6B92"/>
    <w:rsid w:val="00EF7E8C"/>
    <w:rsid w:val="00F26BC5"/>
    <w:rsid w:val="00F30C64"/>
    <w:rsid w:val="00F96BCD"/>
    <w:rsid w:val="00FA0587"/>
    <w:rsid w:val="00FB730C"/>
    <w:rsid w:val="00FC2695"/>
    <w:rsid w:val="00FC3E03"/>
    <w:rsid w:val="00FC6B4F"/>
    <w:rsid w:val="00FC79AC"/>
    <w:rsid w:val="00FE6A2D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4EBA00-FA33-44CB-8DFE-CD3009D2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simples1">
    <w:name w:val="Table Simple 1"/>
    <w:basedOn w:val="Tabe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semiHidden/>
    <w:unhideWhenUsed/>
    <w:rsid w:val="0003148D"/>
  </w:style>
  <w:style w:type="paragraph" w:styleId="Corpodetexto2">
    <w:name w:val="Body Text 2"/>
    <w:basedOn w:val="Normal"/>
    <w:link w:val="Corpodetexto2Char"/>
    <w:uiPriority w:val="99"/>
    <w:semiHidden/>
    <w:unhideWhenUsed/>
    <w:rsid w:val="000314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3148D"/>
  </w:style>
  <w:style w:type="paragraph" w:styleId="Corpodetexto3">
    <w:name w:val="Body Text 3"/>
    <w:basedOn w:val="Normal"/>
    <w:link w:val="Corpodetexto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3148D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314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3148D"/>
  </w:style>
  <w:style w:type="paragraph" w:styleId="Data">
    <w:name w:val="Date"/>
    <w:basedOn w:val="Normal"/>
    <w:next w:val="Normal"/>
    <w:link w:val="DataChar"/>
    <w:uiPriority w:val="99"/>
    <w:semiHidden/>
    <w:unhideWhenUsed/>
    <w:locked/>
    <w:rsid w:val="0003148D"/>
  </w:style>
  <w:style w:type="character" w:customStyle="1" w:styleId="DataChar">
    <w:name w:val="Data Char"/>
    <w:basedOn w:val="Fontepargpadro"/>
    <w:link w:val="Data"/>
    <w:uiPriority w:val="99"/>
    <w:semiHidden/>
    <w:rsid w:val="0003148D"/>
  </w:style>
  <w:style w:type="paragraph" w:styleId="Legenda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ssinatura">
    <w:name w:val="Signature"/>
    <w:basedOn w:val="Normal"/>
    <w:link w:val="Assinatura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03148D"/>
  </w:style>
  <w:style w:type="paragraph" w:styleId="AssinaturadeEmail">
    <w:name w:val="E-mail Signature"/>
    <w:basedOn w:val="Normal"/>
    <w:link w:val="AssinaturadeEmailChar"/>
    <w:uiPriority w:val="99"/>
    <w:semiHidden/>
    <w:unhideWhenUsed/>
    <w:locked/>
    <w:rsid w:val="0003148D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03148D"/>
  </w:style>
  <w:style w:type="paragraph" w:styleId="Saudao">
    <w:name w:val="Salutation"/>
    <w:basedOn w:val="Normal"/>
    <w:next w:val="Normal"/>
    <w:link w:val="SaudaoChar"/>
    <w:uiPriority w:val="99"/>
    <w:semiHidden/>
    <w:unhideWhenUsed/>
    <w:locked/>
    <w:rsid w:val="0003148D"/>
  </w:style>
  <w:style w:type="character" w:customStyle="1" w:styleId="SaudaoChar">
    <w:name w:val="Saudação Char"/>
    <w:basedOn w:val="Fontepargpadro"/>
    <w:link w:val="Saudao"/>
    <w:uiPriority w:val="99"/>
    <w:semiHidden/>
    <w:rsid w:val="0003148D"/>
  </w:style>
  <w:style w:type="paragraph" w:styleId="Encerramento">
    <w:name w:val="Closing"/>
    <w:basedOn w:val="Normal"/>
    <w:link w:val="Encerramento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03148D"/>
  </w:style>
  <w:style w:type="paragraph" w:styleId="Remissivo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ndicedeautoridad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estinatrio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03148D"/>
    <w:rPr>
      <w:i/>
      <w:iCs/>
    </w:rPr>
  </w:style>
  <w:style w:type="paragraph" w:styleId="Remetent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locked/>
    <w:rsid w:val="0003148D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03148D"/>
  </w:style>
  <w:style w:type="paragraph" w:styleId="MapadoDocumento">
    <w:name w:val="Document Map"/>
    <w:basedOn w:val="Normal"/>
    <w:link w:val="MapadoDocumento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Numerada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ada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ada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ada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ada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03148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3148D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03148D"/>
  </w:style>
  <w:style w:type="paragraph" w:styleId="Commarcador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3148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3148D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14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0314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148D"/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embloco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macro">
    <w:name w:val="macro"/>
    <w:link w:val="Textodemacro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148D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3148D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tulodendicedeautoridades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ontepargpadr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abealho">
    <w:name w:val="header"/>
    <w:basedOn w:val="Normal"/>
    <w:link w:val="Cabealho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Rodap">
    <w:name w:val="footer"/>
    <w:basedOn w:val="Normal"/>
    <w:link w:val="Rodap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comgrade">
    <w:name w:val="Table Grid"/>
    <w:basedOn w:val="Tabe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grafodaLista">
    <w:name w:val="List Paragraph"/>
    <w:basedOn w:val="Normal"/>
    <w:uiPriority w:val="34"/>
    <w:qFormat/>
    <w:locked/>
    <w:rsid w:val="00BF7901"/>
    <w:pPr>
      <w:ind w:left="720"/>
      <w:contextualSpacing/>
    </w:pPr>
  </w:style>
  <w:style w:type="character" w:styleId="nfase">
    <w:name w:val="Emphasis"/>
    <w:basedOn w:val="Fontepargpadro"/>
    <w:uiPriority w:val="20"/>
    <w:qFormat/>
    <w:locked/>
    <w:rsid w:val="001A2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004E4-9576-4EAD-ACD7-3A370D85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3406</Characters>
  <Application>Microsoft Office Word</Application>
  <DocSecurity>0</DocSecurity>
  <Lines>28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User</cp:lastModifiedBy>
  <cp:revision>2</cp:revision>
  <cp:lastPrinted>2015-05-12T18:31:00Z</cp:lastPrinted>
  <dcterms:created xsi:type="dcterms:W3CDTF">2019-01-14T17:25:00Z</dcterms:created>
  <dcterms:modified xsi:type="dcterms:W3CDTF">2019-01-14T17:25:00Z</dcterms:modified>
</cp:coreProperties>
</file>