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4F682C" w:rsidRDefault="000A03B2" w:rsidP="00704BDF">
      <w:pPr>
        <w:pStyle w:val="CETAuthors"/>
        <w:tabs>
          <w:tab w:val="clear" w:pos="7100"/>
          <w:tab w:val="right" w:pos="9070"/>
        </w:tabs>
        <w:rPr>
          <w:lang w:val="ru-RU"/>
        </w:rPr>
        <w:sectPr w:rsidR="000A03B2" w:rsidRPr="004F682C" w:rsidSect="003B30BC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4F682C" w:rsidRDefault="000F132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Mass transfer intensification in w</w:t>
      </w:r>
      <w:r w:rsidR="004F682C" w:rsidRPr="00A16E9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astewater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br/>
      </w:r>
      <w:r w:rsidR="004F682C" w:rsidRPr="00A16E9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aeration system </w:t>
      </w:r>
      <w:r w:rsidR="00C56B85">
        <w:rPr>
          <w:rFonts w:asciiTheme="minorHAnsi" w:eastAsia="MS PGothic" w:hAnsiTheme="minorHAnsi"/>
          <w:b/>
          <w:bCs/>
          <w:sz w:val="28"/>
          <w:szCs w:val="28"/>
          <w:lang w:val="en-US"/>
        </w:rPr>
        <w:t>with</w:t>
      </w:r>
      <w:r w:rsidR="004F682C" w:rsidRPr="00A16E9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C56B85">
        <w:rPr>
          <w:rFonts w:asciiTheme="minorHAnsi" w:eastAsia="MS PGothic" w:hAnsiTheme="minorHAnsi"/>
          <w:b/>
          <w:bCs/>
          <w:sz w:val="28"/>
          <w:szCs w:val="28"/>
          <w:lang w:val="en-US"/>
        </w:rPr>
        <w:t>novel conical</w:t>
      </w:r>
      <w:r w:rsidR="004F682C" w:rsidRPr="00A16E9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mixer</w:t>
      </w:r>
    </w:p>
    <w:p w:rsidR="00DE0019" w:rsidRPr="00DE0019" w:rsidRDefault="004F682C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Anastasia Grigoreva</w:t>
      </w:r>
      <w:r w:rsidR="001E20BB" w:rsidRPr="001E20BB">
        <w:rPr>
          <w:rFonts w:eastAsia="SimSun"/>
          <w:color w:val="000000"/>
          <w:vertAlign w:val="superscript"/>
          <w:lang w:val="en-US" w:eastAsia="zh-CN"/>
        </w:rPr>
        <w:t>1</w:t>
      </w:r>
      <w:proofErr w:type="gramStart"/>
      <w:r w:rsidR="001E20BB" w:rsidRPr="001E20BB">
        <w:rPr>
          <w:rFonts w:eastAsia="SimSun"/>
          <w:color w:val="000000"/>
          <w:vertAlign w:val="superscript"/>
          <w:lang w:val="en-US" w:eastAsia="zh-CN"/>
        </w:rPr>
        <w:t>,2</w:t>
      </w:r>
      <w:proofErr w:type="gramEnd"/>
      <w:r w:rsidR="000F1325">
        <w:rPr>
          <w:rFonts w:eastAsia="SimSun"/>
          <w:color w:val="000000"/>
          <w:lang w:val="en-US" w:eastAsia="zh-CN"/>
        </w:rPr>
        <w:t xml:space="preserve">, </w:t>
      </w:r>
      <w:proofErr w:type="spellStart"/>
      <w:r w:rsidR="000F1325" w:rsidRPr="004F682C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Rufat</w:t>
      </w:r>
      <w:proofErr w:type="spellEnd"/>
      <w:r w:rsidR="000F1325" w:rsidRPr="004F682C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Abiev</w:t>
      </w:r>
      <w:r w:rsidR="001E20BB" w:rsidRPr="001E20BB">
        <w:rPr>
          <w:rFonts w:eastAsia="SimSun"/>
          <w:color w:val="000000"/>
          <w:vertAlign w:val="superscript"/>
          <w:lang w:val="en-US" w:eastAsia="zh-CN"/>
        </w:rPr>
        <w:t>2</w:t>
      </w:r>
      <w:r w:rsidR="000F1325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</w:p>
    <w:p w:rsidR="00704BDF" w:rsidRPr="00DE0019" w:rsidRDefault="001E20BB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1E20BB">
        <w:rPr>
          <w:rFonts w:eastAsia="MS PGothic"/>
          <w:i/>
          <w:iCs/>
          <w:color w:val="000000"/>
          <w:sz w:val="20"/>
          <w:lang w:val="en-US"/>
        </w:rPr>
        <w:t>1</w:t>
      </w:r>
      <w:r w:rsidRPr="001E20B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Pr="001E20B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Asterion</w:t>
      </w:r>
      <w:proofErr w:type="spellEnd"/>
      <w:r w:rsidRPr="001E20B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Ltd,</w:t>
      </w:r>
      <w:r w:rsidRPr="001E20B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1E20B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Saint-Petersburg, Russia;</w:t>
      </w:r>
      <w:r w:rsidRPr="001E20B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</w:r>
      <w:r w:rsidRPr="001E20BB">
        <w:rPr>
          <w:rFonts w:eastAsia="MS PGothic"/>
          <w:i/>
          <w:iCs/>
          <w:color w:val="000000"/>
          <w:sz w:val="20"/>
          <w:lang w:val="en-US"/>
        </w:rPr>
        <w:t>2</w:t>
      </w:r>
      <w:r w:rsidR="00704BDF" w:rsidRPr="001E20B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1E20B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St. Petersburg State Institute of Technology, </w:t>
      </w:r>
      <w:proofErr w:type="spellStart"/>
      <w:r w:rsidRPr="001E20B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Moskovskii</w:t>
      </w:r>
      <w:proofErr w:type="spellEnd"/>
      <w:r w:rsidRPr="001E20B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pr.26, 190013, Saint-Petersburg, Russia;</w:t>
      </w:r>
      <w:r w:rsidR="004F682C" w:rsidRPr="001E20B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1" w:history="1">
        <w:r w:rsidR="004F682C" w:rsidRPr="004F682C">
          <w:rPr>
            <w:rFonts w:asciiTheme="minorHAnsi" w:eastAsia="MS PGothic" w:hAnsiTheme="minorHAnsi"/>
            <w:i/>
            <w:iCs/>
            <w:color w:val="000000"/>
            <w:sz w:val="20"/>
          </w:rPr>
          <w:t>abiev</w:t>
        </w:r>
        <w:r w:rsidR="004F682C" w:rsidRPr="004F682C">
          <w:rPr>
            <w:rFonts w:asciiTheme="minorHAnsi" w:eastAsia="MS PGothic" w:hAnsiTheme="minorHAnsi"/>
            <w:i/>
            <w:iCs/>
            <w:color w:val="000000"/>
            <w:sz w:val="20"/>
            <w:lang w:val="en-US"/>
          </w:rPr>
          <w:t>.</w:t>
        </w:r>
        <w:r w:rsidR="004F682C" w:rsidRPr="004F682C">
          <w:rPr>
            <w:rFonts w:asciiTheme="minorHAnsi" w:eastAsia="MS PGothic" w:hAnsiTheme="minorHAnsi"/>
            <w:i/>
            <w:iCs/>
            <w:color w:val="000000"/>
            <w:sz w:val="20"/>
          </w:rPr>
          <w:t>rufat</w:t>
        </w:r>
        <w:r w:rsidR="004F682C" w:rsidRPr="004F682C">
          <w:rPr>
            <w:rFonts w:asciiTheme="minorHAnsi" w:eastAsia="MS PGothic" w:hAnsiTheme="minorHAnsi"/>
            <w:i/>
            <w:iCs/>
            <w:color w:val="000000"/>
            <w:sz w:val="20"/>
            <w:lang w:val="en-US"/>
          </w:rPr>
          <w:t>@</w:t>
        </w:r>
        <w:r w:rsidR="004F682C" w:rsidRPr="004F682C">
          <w:rPr>
            <w:rFonts w:asciiTheme="minorHAnsi" w:eastAsia="MS PGothic" w:hAnsiTheme="minorHAnsi"/>
            <w:i/>
            <w:iCs/>
            <w:color w:val="000000"/>
            <w:sz w:val="20"/>
          </w:rPr>
          <w:t>gmail</w:t>
        </w:r>
        <w:r w:rsidR="004F682C" w:rsidRPr="004F682C">
          <w:rPr>
            <w:rFonts w:asciiTheme="minorHAnsi" w:eastAsia="MS PGothic" w:hAnsiTheme="minorHAnsi"/>
            <w:i/>
            <w:iCs/>
            <w:color w:val="000000"/>
            <w:sz w:val="20"/>
            <w:lang w:val="en-US"/>
          </w:rPr>
          <w:t>.</w:t>
        </w:r>
        <w:r w:rsidR="004F682C" w:rsidRPr="004F682C">
          <w:rPr>
            <w:rFonts w:asciiTheme="minorHAnsi" w:eastAsia="MS PGothic" w:hAnsiTheme="minorHAnsi"/>
            <w:i/>
            <w:iCs/>
            <w:color w:val="000000"/>
            <w:sz w:val="20"/>
          </w:rPr>
          <w:t>com</w:t>
        </w:r>
      </w:hyperlink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486DFE" w:rsidRDefault="00486DF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c</w:t>
      </w:r>
      <w:r w:rsidRPr="005307AC">
        <w:rPr>
          <w:rFonts w:asciiTheme="minorHAnsi" w:hAnsiTheme="minorHAnsi"/>
        </w:rPr>
        <w:t>onical</w:t>
      </w:r>
      <w:r w:rsidRPr="00EC66C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mixer has been elaborated and tested.</w:t>
      </w:r>
    </w:p>
    <w:p w:rsidR="005307AC" w:rsidRDefault="00AB028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c</w:t>
      </w:r>
      <w:r w:rsidR="005307AC" w:rsidRPr="005307AC">
        <w:rPr>
          <w:rFonts w:asciiTheme="minorHAnsi" w:hAnsiTheme="minorHAnsi"/>
        </w:rPr>
        <w:t>onical</w:t>
      </w:r>
      <w:r w:rsidR="005307AC" w:rsidRPr="00EC66CC">
        <w:rPr>
          <w:rFonts w:asciiTheme="minorHAnsi" w:hAnsiTheme="minorHAnsi"/>
        </w:rPr>
        <w:t xml:space="preserve"> </w:t>
      </w:r>
      <w:r w:rsidR="005307AC">
        <w:rPr>
          <w:rFonts w:asciiTheme="minorHAnsi" w:hAnsiTheme="minorHAnsi"/>
        </w:rPr>
        <w:t>mixer has the same mass transfer efficiency as Ruston turbine, but lower power consumption.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9A6FD9" w:rsidRDefault="00704BDF" w:rsidP="009A6FD9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Default="009A6FD9" w:rsidP="009A6FD9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Style w:val="tlid-translation"/>
        </w:rPr>
        <w:t xml:space="preserve">The practice of operating wastewater treatment plants shows that 60-80% </w:t>
      </w:r>
      <w:r w:rsidRPr="009A6FD9">
        <w:rPr>
          <w:rStyle w:val="tlid-translation"/>
          <w:lang w:val="en-US"/>
        </w:rPr>
        <w:t xml:space="preserve">of </w:t>
      </w:r>
      <w:proofErr w:type="spellStart"/>
      <w:r w:rsidRPr="009A6FD9">
        <w:rPr>
          <w:rStyle w:val="tlid-translation"/>
          <w:lang w:val="en-US"/>
        </w:rPr>
        <w:t>expences</w:t>
      </w:r>
      <w:proofErr w:type="spellEnd"/>
      <w:r w:rsidRPr="009A6FD9">
        <w:rPr>
          <w:rStyle w:val="tlid-translation"/>
          <w:lang w:val="en-US"/>
        </w:rPr>
        <w:t xml:space="preserve"> </w:t>
      </w:r>
      <w:r>
        <w:rPr>
          <w:rStyle w:val="tlid-translation"/>
        </w:rPr>
        <w:t>depends on the efficiency of the aeration system [1]. This is the most energy-</w:t>
      </w:r>
      <w:r w:rsidR="00486DFE">
        <w:rPr>
          <w:rStyle w:val="tlid-translation"/>
        </w:rPr>
        <w:t>consuming</w:t>
      </w:r>
      <w:r>
        <w:rPr>
          <w:rStyle w:val="tlid-translation"/>
        </w:rPr>
        <w:t xml:space="preserve"> process. </w:t>
      </w:r>
      <w:r w:rsidR="00FB7197" w:rsidRPr="00C56B85">
        <w:rPr>
          <w:rStyle w:val="tlid-translation"/>
          <w:lang w:val="en-US"/>
        </w:rPr>
        <w:t>Rushton turbine</w:t>
      </w:r>
      <w:r w:rsidR="00FB7197">
        <w:rPr>
          <w:rStyle w:val="tlid-translation"/>
          <w:lang w:val="en-US"/>
        </w:rPr>
        <w:t xml:space="preserve"> is recognized as t</w:t>
      </w:r>
      <w:r w:rsidR="00C56B85">
        <w:rPr>
          <w:rStyle w:val="tlid-translation"/>
        </w:rPr>
        <w:t>he most effective mixer for gas dispersing</w:t>
      </w:r>
      <w:r w:rsidR="00C56B85" w:rsidRPr="00C56B85">
        <w:rPr>
          <w:rStyle w:val="tlid-translation"/>
          <w:lang w:val="en-US"/>
        </w:rPr>
        <w:t xml:space="preserve"> </w:t>
      </w:r>
      <w:r w:rsidR="003A1185">
        <w:rPr>
          <w:rStyle w:val="tlid-translation"/>
          <w:lang w:val="en-US"/>
        </w:rPr>
        <w:t>[2]</w:t>
      </w:r>
      <w:r w:rsidR="00C56B85" w:rsidRPr="00C56B85">
        <w:rPr>
          <w:rStyle w:val="tlid-translation"/>
          <w:lang w:val="en-US"/>
        </w:rPr>
        <w:t>.</w:t>
      </w:r>
      <w:r w:rsidR="00C56B85">
        <w:rPr>
          <w:rStyle w:val="tlid-translation"/>
        </w:rPr>
        <w:t xml:space="preserve"> </w:t>
      </w:r>
      <w:r>
        <w:rPr>
          <w:rStyle w:val="tlid-translation"/>
        </w:rPr>
        <w:t xml:space="preserve">We </w:t>
      </w:r>
      <w:r w:rsidR="00FB7197">
        <w:rPr>
          <w:rStyle w:val="tlid-translation"/>
        </w:rPr>
        <w:t xml:space="preserve">have recently </w:t>
      </w:r>
      <w:r>
        <w:rPr>
          <w:rStyle w:val="tlid-translation"/>
        </w:rPr>
        <w:t>develop</w:t>
      </w:r>
      <w:r w:rsidR="00FB7197">
        <w:rPr>
          <w:rStyle w:val="tlid-translation"/>
        </w:rPr>
        <w:t>ed</w:t>
      </w:r>
      <w:r>
        <w:rPr>
          <w:rStyle w:val="tlid-translation"/>
        </w:rPr>
        <w:t xml:space="preserve"> aeration system with new </w:t>
      </w:r>
      <w:r w:rsidR="000F4950">
        <w:rPr>
          <w:rStyle w:val="tlid-translation"/>
        </w:rPr>
        <w:t>type o</w:t>
      </w:r>
      <w:r w:rsidR="00FB7197">
        <w:rPr>
          <w:rStyle w:val="tlid-translation"/>
        </w:rPr>
        <w:t>f impeller, which shown in the F</w:t>
      </w:r>
      <w:r w:rsidR="000F4950">
        <w:rPr>
          <w:rStyle w:val="tlid-translation"/>
        </w:rPr>
        <w:t>ig.1</w:t>
      </w:r>
      <w:r w:rsidR="00C867B1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0F4950" w:rsidRDefault="000F4950" w:rsidP="00AA1A2E">
      <w:pPr>
        <w:snapToGrid w:val="0"/>
        <w:spacing w:line="300" w:lineRule="auto"/>
        <w:jc w:val="center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0F4950">
        <w:rPr>
          <w:rFonts w:asciiTheme="minorHAnsi" w:hAnsiTheme="minorHAnsi"/>
          <w:noProof/>
          <w:lang w:val="ru-RU" w:eastAsia="ru-RU"/>
        </w:rPr>
        <w:drawing>
          <wp:inline distT="0" distB="0" distL="0" distR="0">
            <wp:extent cx="1240340" cy="1201579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551" cy="121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50" w:rsidRPr="00AA1A2E" w:rsidRDefault="000F4950" w:rsidP="00AA1A2E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. </w:t>
      </w:r>
      <w:r w:rsidRPr="000F4950">
        <w:rPr>
          <w:rFonts w:asciiTheme="minorHAnsi" w:eastAsia="MS PGothic" w:hAnsiTheme="minorHAnsi"/>
          <w:color w:val="000000"/>
          <w:szCs w:val="18"/>
          <w:lang w:val="en-US"/>
        </w:rPr>
        <w:t>New type conical mixer</w:t>
      </w:r>
      <w:r w:rsidR="00AA1A2E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C56B85" w:rsidRPr="003A1185" w:rsidRDefault="003A1185" w:rsidP="003A1185">
      <w:pPr>
        <w:snapToGrid w:val="0"/>
        <w:spacing w:line="300" w:lineRule="auto"/>
        <w:rPr>
          <w:rStyle w:val="tlid-translation"/>
        </w:rPr>
      </w:pPr>
      <w:r w:rsidRPr="003A1185">
        <w:rPr>
          <w:rStyle w:val="tlid-translation"/>
        </w:rPr>
        <w:t>This mixer ha</w:t>
      </w:r>
      <w:r>
        <w:rPr>
          <w:rStyle w:val="tlid-translation"/>
        </w:rPr>
        <w:t>s</w:t>
      </w:r>
      <w:r w:rsidRPr="003A1185">
        <w:rPr>
          <w:rStyle w:val="tlid-translation"/>
        </w:rPr>
        <w:t xml:space="preserve"> </w:t>
      </w:r>
      <w:r>
        <w:rPr>
          <w:rStyle w:val="tlid-translation"/>
        </w:rPr>
        <w:t>more streamlined shape</w:t>
      </w:r>
      <w:r w:rsidRPr="003A1185">
        <w:rPr>
          <w:rStyle w:val="tlid-translation"/>
        </w:rPr>
        <w:t xml:space="preserve">, </w:t>
      </w:r>
      <w:r>
        <w:rPr>
          <w:rStyle w:val="tlid-translation"/>
        </w:rPr>
        <w:t>the blades are rounded</w:t>
      </w:r>
      <w:r w:rsidRPr="003A1185">
        <w:rPr>
          <w:rStyle w:val="tlid-translation"/>
        </w:rPr>
        <w:t xml:space="preserve">, </w:t>
      </w:r>
      <w:proofErr w:type="gramStart"/>
      <w:r w:rsidR="00AA1A2E">
        <w:rPr>
          <w:rStyle w:val="tlid-translation"/>
        </w:rPr>
        <w:t>therefore</w:t>
      </w:r>
      <w:proofErr w:type="gramEnd"/>
      <w:r w:rsidRPr="003A1185">
        <w:rPr>
          <w:rStyle w:val="tlid-translation"/>
        </w:rPr>
        <w:t xml:space="preserve"> </w:t>
      </w:r>
      <w:r>
        <w:rPr>
          <w:rStyle w:val="tlid-translation"/>
        </w:rPr>
        <w:t xml:space="preserve">hydraulic losses are </w:t>
      </w:r>
      <w:r w:rsidRPr="003A1185">
        <w:rPr>
          <w:rStyle w:val="tlid-translation"/>
        </w:rPr>
        <w:t>minimized.</w:t>
      </w:r>
      <w:r>
        <w:rPr>
          <w:rStyle w:val="tlid-translation"/>
        </w:rPr>
        <w:t xml:space="preserve">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097989" w:rsidRDefault="00097989" w:rsidP="000C629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 tests were hold in </w:t>
      </w:r>
      <w:proofErr w:type="spellStart"/>
      <w:r w:rsidR="00AA1A2E" w:rsidRPr="00097989">
        <w:rPr>
          <w:rFonts w:asciiTheme="minorHAnsi" w:eastAsia="MS PGothic" w:hAnsiTheme="minorHAnsi"/>
          <w:color w:val="000000"/>
          <w:sz w:val="22"/>
          <w:szCs w:val="22"/>
          <w:lang w:val="en-US"/>
        </w:rPr>
        <w:t>plexiglass</w:t>
      </w:r>
      <w:proofErr w:type="spellEnd"/>
      <w:r w:rsidR="00AA1A2E" w:rsidRPr="000979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vessel with volume </w:t>
      </w:r>
      <w:r w:rsidR="00AA1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44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litres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0979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A1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present work we analyzed bubbles’ sizes using </w:t>
      </w:r>
      <w:r w:rsidR="00AA1A2E" w:rsidRPr="000C6294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photographic method</w:t>
      </w:r>
      <w:r w:rsidR="00AA1A2E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A1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5300 to 7300 bubbles were captured and calculated.</w:t>
      </w:r>
      <w:r w:rsidR="00E46479" w:rsidRPr="00E464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46479" w:rsidRPr="000C6294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E464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 transfer </w:t>
      </w:r>
      <w:r w:rsidR="00E46479" w:rsidRPr="000C62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determined by </w:t>
      </w:r>
      <w:r w:rsidR="000C6294" w:rsidRPr="000C6294">
        <w:rPr>
          <w:rFonts w:asciiTheme="minorHAnsi" w:eastAsia="MS PGothic" w:hAnsiTheme="minorHAnsi"/>
          <w:color w:val="000000"/>
          <w:sz w:val="22"/>
          <w:szCs w:val="22"/>
        </w:rPr>
        <w:t xml:space="preserve">method, described in 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3A1185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0C62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C6294" w:rsidRPr="000C6294">
        <w:rPr>
          <w:rFonts w:asciiTheme="minorHAnsi" w:eastAsia="MS PGothic" w:hAnsiTheme="minorHAnsi"/>
          <w:color w:val="000000"/>
          <w:sz w:val="22"/>
          <w:szCs w:val="22"/>
          <w:lang w:val="en-US"/>
        </w:rPr>
        <w:t>Sodium sulfite</w:t>
      </w:r>
      <w:r w:rsidR="000C62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added to the tap</w:t>
      </w:r>
      <w:r w:rsidR="000C6294" w:rsidRPr="000C62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water </w:t>
      </w:r>
      <w:r w:rsidR="000C6294" w:rsidRPr="000C6294">
        <w:rPr>
          <w:rFonts w:asciiTheme="minorHAnsi" w:eastAsia="MS PGothic" w:hAnsiTheme="minorHAnsi"/>
          <w:color w:val="000000"/>
          <w:sz w:val="22"/>
          <w:szCs w:val="22"/>
        </w:rPr>
        <w:t xml:space="preserve">for </w:t>
      </w:r>
      <w:r w:rsidR="000C6294" w:rsidRPr="000C62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deoxygenation. The oxygen content in the </w:t>
      </w:r>
      <w:r w:rsidR="000C6294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0C6294" w:rsidRPr="000C62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iquid was measured with oxygen sensor (Expert, </w:t>
      </w:r>
      <w:proofErr w:type="spellStart"/>
      <w:r w:rsidR="000C6294" w:rsidRPr="000C6294">
        <w:rPr>
          <w:rFonts w:asciiTheme="minorHAnsi" w:eastAsia="MS PGothic" w:hAnsiTheme="minorHAnsi"/>
          <w:color w:val="000000"/>
          <w:sz w:val="22"/>
          <w:szCs w:val="22"/>
          <w:lang w:val="en-US"/>
        </w:rPr>
        <w:t>Туре</w:t>
      </w:r>
      <w:proofErr w:type="spellEnd"/>
      <w:r w:rsidR="000C6294" w:rsidRPr="000C62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009, Russia). </w:t>
      </w:r>
      <w:r w:rsidR="00E92E24" w:rsidRPr="00E92E24">
        <w:rPr>
          <w:rFonts w:asciiTheme="minorHAnsi" w:eastAsia="MS PGothic" w:hAnsiTheme="minorHAnsi"/>
          <w:color w:val="000000"/>
          <w:sz w:val="22"/>
          <w:szCs w:val="22"/>
          <w:lang w:val="en-US"/>
        </w:rPr>
        <w:t>Volumetric Mass Transfer Coefficient</w:t>
      </w:r>
      <w:r w:rsidR="00AA1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AA1A2E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AA1A2E" w:rsidRPr="00AA1A2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L</w:t>
      </w:r>
      <w:r w:rsidR="00E92E24" w:rsidRPr="00E92E24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0979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define</w:t>
      </w:r>
      <w:r w:rsidR="00AA1A2E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Pr="000979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</w:t>
      </w:r>
    </w:p>
    <w:p w:rsidR="00835550" w:rsidRPr="000C6294" w:rsidRDefault="00097989" w:rsidP="000C629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AA1A2E" w:rsidRPr="00AA1A2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L</w:t>
      </w:r>
      <w:r w:rsidR="00835550" w:rsidRPr="00835550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spellEnd"/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=</m:t>
        </m:r>
        <m:f>
          <m:fPr>
            <m:ctrlPr>
              <w:rPr>
                <w:rFonts w:ascii="Cambria Math" w:eastAsia="MS PGothic" w:hAnsi="Cambria Math"/>
                <w:i/>
                <w:iCs/>
                <w:color w:val="00000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1</m:t>
            </m:r>
          </m:num>
          <m:den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t2-t1</m:t>
            </m:r>
          </m:den>
        </m:f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ln</m:t>
        </m:r>
        <m:f>
          <m:fPr>
            <m:ctrlPr>
              <w:rPr>
                <w:rFonts w:ascii="Cambria Math" w:eastAsia="MS PGothic" w:hAnsi="Cambria Math"/>
                <w:i/>
                <w:iCs/>
                <w:color w:val="00000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d1</m:t>
            </m:r>
          </m:num>
          <m:den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d2</m:t>
            </m:r>
          </m:den>
        </m:f>
      </m:oMath>
    </w:p>
    <w:p w:rsidR="00F81D0E" w:rsidRPr="003A1185" w:rsidRDefault="003A1185" w:rsidP="0009798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gramStart"/>
      <w:r w:rsidRPr="00097989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97989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0979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 and d1 – oxygen </w:t>
      </w:r>
      <w:r w:rsidR="00097989" w:rsidRPr="000979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deficiency </w:t>
      </w:r>
      <w:r w:rsidRPr="003A1185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the moment of time</w:t>
      </w:r>
      <w:r w:rsidRPr="000979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A1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moments of </w:t>
      </w:r>
      <w:r w:rsidR="00097989" w:rsidRPr="00097989">
        <w:rPr>
          <w:rFonts w:asciiTheme="minorHAnsi" w:eastAsia="MS PGothic" w:hAnsiTheme="minorHAnsi"/>
          <w:color w:val="000000"/>
          <w:sz w:val="22"/>
          <w:szCs w:val="22"/>
          <w:lang w:val="en-US"/>
        </w:rPr>
        <w:t>t2 and t1</w:t>
      </w:r>
      <w:r w:rsidR="00AA1A2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proofErr w:type="gramEnd"/>
      <w:r w:rsidR="00AA1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A11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Power consumption </w:t>
      </w:r>
      <w:proofErr w:type="gramStart"/>
      <w:r w:rsidRPr="003A1185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proofErr w:type="gramEnd"/>
      <w:r w:rsidRPr="003A11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measured with stand, which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described in [4]. </w:t>
      </w:r>
      <w:r w:rsidR="00F81D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SOTE and SAE </w:t>
      </w:r>
      <w:r w:rsidR="00AA1A2E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chosen</w:t>
      </w:r>
      <w:r w:rsidR="00AA1A2E" w:rsidRPr="00AA1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A1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criteria of efficiency </w:t>
      </w:r>
      <w:r w:rsidR="00F81D0E" w:rsidRPr="00F81D0E">
        <w:rPr>
          <w:rFonts w:asciiTheme="minorHAnsi" w:eastAsia="MS PGothic" w:hAnsiTheme="minorHAnsi"/>
          <w:color w:val="000000"/>
          <w:sz w:val="22"/>
          <w:szCs w:val="22"/>
          <w:lang w:val="en-US"/>
        </w:rPr>
        <w:t>[5].</w:t>
      </w:r>
      <w:r w:rsidR="00F81D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AA1A2E" w:rsidRDefault="00F81D0E" w:rsidP="00AA1A2E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proofErr w:type="gram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lastRenderedPageBreak/>
        <w:t xml:space="preserve">Oxygen content in </w:t>
      </w:r>
      <w:r w:rsidR="00051D3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water during experiments sho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wn in the </w:t>
      </w:r>
      <w:r w:rsidR="00AA1A2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</w:t>
      </w:r>
      <w:r w:rsidR="00051D3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ig.</w:t>
      </w:r>
      <w:r w:rsidR="00AA1A2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051D3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2.</w:t>
      </w:r>
      <w:proofErr w:type="gramEnd"/>
      <w:r w:rsidR="00051D3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AA1A2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main results are presented in the Table 1.</w:t>
      </w:r>
    </w:p>
    <w:p w:rsidR="00F81D0E" w:rsidRDefault="003B30BC" w:rsidP="00AA1A2E">
      <w:pPr>
        <w:snapToGrid w:val="0"/>
        <w:spacing w:before="240" w:line="300" w:lineRule="auto"/>
        <w:jc w:val="center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noProof/>
          <w:color w:val="000000"/>
          <w:sz w:val="22"/>
          <w:szCs w:val="22"/>
          <w:lang w:val="ru-RU" w:eastAsia="ru-RU"/>
        </w:rPr>
        <w:drawing>
          <wp:inline distT="0" distB="0" distL="0" distR="0">
            <wp:extent cx="3371850" cy="1685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842" cy="169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BC" w:rsidRDefault="003B30BC" w:rsidP="00AA1A2E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2. </w:t>
      </w:r>
      <w:r>
        <w:rPr>
          <w:rFonts w:asciiTheme="minorHAnsi" w:eastAsia="MS PGothic" w:hAnsiTheme="minorHAnsi"/>
          <w:color w:val="000000"/>
          <w:szCs w:val="18"/>
          <w:lang w:val="en-US"/>
        </w:rPr>
        <w:t>Oxygen content during experiments with conical mixer and Rushton turbine.</w:t>
      </w:r>
    </w:p>
    <w:p w:rsidR="00AA1A2E" w:rsidRDefault="00AA1A2E" w:rsidP="003B30BC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proofErr w:type="gram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Table 1.</w:t>
      </w:r>
      <w:proofErr w:type="gramEnd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Mass transfer characteristics of water oxidation</w:t>
      </w:r>
    </w:p>
    <w:tbl>
      <w:tblPr>
        <w:tblW w:w="8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701"/>
        <w:gridCol w:w="1557"/>
      </w:tblGrid>
      <w:tr w:rsidR="003B30BC" w:rsidRPr="003B30BC" w:rsidTr="00231041">
        <w:tc>
          <w:tcPr>
            <w:tcW w:w="4815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B30BC" w:rsidRPr="003924C5" w:rsidRDefault="003B30BC" w:rsidP="003924C5">
            <w:pPr>
              <w:snapToGrid w:val="0"/>
              <w:spacing w:after="120"/>
              <w:rPr>
                <w:rStyle w:val="tlid-translation"/>
              </w:rPr>
            </w:pPr>
            <w:r w:rsidRPr="003924C5">
              <w:rPr>
                <w:rStyle w:val="tlid-translation"/>
              </w:rPr>
              <w:t> </w:t>
            </w:r>
            <w:r w:rsidR="00AA1A2E">
              <w:rPr>
                <w:rStyle w:val="tlid-translation"/>
              </w:rPr>
              <w:t>The name of calculated parameter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B30BC" w:rsidRPr="003924C5" w:rsidRDefault="003B30BC" w:rsidP="003924C5">
            <w:pPr>
              <w:snapToGrid w:val="0"/>
              <w:spacing w:after="120"/>
              <w:rPr>
                <w:rStyle w:val="tlid-translation"/>
              </w:rPr>
            </w:pPr>
            <w:r w:rsidRPr="003924C5">
              <w:rPr>
                <w:rStyle w:val="tlid-translation"/>
              </w:rPr>
              <w:t>Rushton turbine</w:t>
            </w:r>
          </w:p>
        </w:tc>
        <w:tc>
          <w:tcPr>
            <w:tcW w:w="1557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B30BC" w:rsidRPr="003924C5" w:rsidRDefault="003B30BC" w:rsidP="003924C5">
            <w:pPr>
              <w:snapToGrid w:val="0"/>
              <w:spacing w:after="120"/>
              <w:rPr>
                <w:rStyle w:val="tlid-translation"/>
              </w:rPr>
            </w:pPr>
            <w:r w:rsidRPr="003924C5">
              <w:rPr>
                <w:rStyle w:val="tlid-translation"/>
              </w:rPr>
              <w:t>Conical mixer</w:t>
            </w:r>
          </w:p>
        </w:tc>
      </w:tr>
      <w:tr w:rsidR="003B30BC" w:rsidRPr="003B30BC" w:rsidTr="00231041">
        <w:trPr>
          <w:trHeight w:val="340"/>
        </w:trPr>
        <w:tc>
          <w:tcPr>
            <w:tcW w:w="4815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B30BC" w:rsidRPr="003924C5" w:rsidRDefault="003B30BC" w:rsidP="003924C5">
            <w:pPr>
              <w:snapToGrid w:val="0"/>
              <w:spacing w:after="120"/>
              <w:rPr>
                <w:rStyle w:val="tlid-translation"/>
              </w:rPr>
            </w:pPr>
            <w:r w:rsidRPr="003924C5">
              <w:rPr>
                <w:rStyle w:val="tlid-translation"/>
              </w:rPr>
              <w:t xml:space="preserve">Volumetric Mass Transfer Coefficient </w:t>
            </w:r>
            <w:proofErr w:type="spellStart"/>
            <w:r w:rsidRPr="003924C5">
              <w:rPr>
                <w:rStyle w:val="tlid-translation"/>
              </w:rPr>
              <w:t>Kla</w:t>
            </w:r>
            <w:proofErr w:type="spellEnd"/>
            <w:r w:rsidRPr="003924C5">
              <w:rPr>
                <w:rStyle w:val="tlid-translation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B30BC" w:rsidRPr="003924C5" w:rsidRDefault="003B30BC" w:rsidP="003924C5">
            <w:pPr>
              <w:snapToGrid w:val="0"/>
              <w:spacing w:after="120"/>
              <w:rPr>
                <w:rStyle w:val="tlid-translation"/>
              </w:rPr>
            </w:pPr>
            <w:r w:rsidRPr="003924C5">
              <w:rPr>
                <w:rStyle w:val="tlid-translation"/>
              </w:rPr>
              <w:t>11</w:t>
            </w:r>
            <w:r w:rsidR="00AA1A2E">
              <w:rPr>
                <w:rStyle w:val="tlid-translation"/>
              </w:rPr>
              <w:t>.</w:t>
            </w:r>
            <w:r w:rsidRPr="003924C5">
              <w:rPr>
                <w:rStyle w:val="tlid-translation"/>
              </w:rPr>
              <w:t>06</w:t>
            </w:r>
          </w:p>
        </w:tc>
        <w:tc>
          <w:tcPr>
            <w:tcW w:w="1557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3B30BC" w:rsidRPr="003924C5" w:rsidRDefault="003B30BC" w:rsidP="003924C5">
            <w:pPr>
              <w:snapToGrid w:val="0"/>
              <w:spacing w:after="120"/>
              <w:rPr>
                <w:rStyle w:val="tlid-translation"/>
              </w:rPr>
            </w:pPr>
            <w:r w:rsidRPr="003924C5">
              <w:rPr>
                <w:rStyle w:val="tlid-translation"/>
              </w:rPr>
              <w:t>15</w:t>
            </w:r>
            <w:r w:rsidR="00AA1A2E">
              <w:rPr>
                <w:rStyle w:val="tlid-translation"/>
              </w:rPr>
              <w:t>.</w:t>
            </w:r>
            <w:r w:rsidRPr="003924C5">
              <w:rPr>
                <w:rStyle w:val="tlid-translation"/>
              </w:rPr>
              <w:t>62</w:t>
            </w:r>
          </w:p>
        </w:tc>
      </w:tr>
      <w:tr w:rsidR="00231041" w:rsidRPr="003B30BC" w:rsidTr="00231041">
        <w:trPr>
          <w:trHeight w:val="165"/>
        </w:trPr>
        <w:tc>
          <w:tcPr>
            <w:tcW w:w="4815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231041" w:rsidRPr="003924C5" w:rsidRDefault="00231041" w:rsidP="003924C5">
            <w:pPr>
              <w:snapToGrid w:val="0"/>
              <w:spacing w:after="120"/>
              <w:rPr>
                <w:rStyle w:val="tlid-translation"/>
              </w:rPr>
            </w:pPr>
            <w:r w:rsidRPr="003924C5">
              <w:rPr>
                <w:rStyle w:val="tlid-translation"/>
              </w:rPr>
              <w:t>O</w:t>
            </w:r>
            <w:r>
              <w:rPr>
                <w:rStyle w:val="tlid-translation"/>
              </w:rPr>
              <w:t>xygen dissolution rate</w:t>
            </w:r>
            <w:r w:rsidRPr="003924C5">
              <w:rPr>
                <w:rStyle w:val="tlid-translation"/>
              </w:rPr>
              <w:t>, kg/h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231041" w:rsidRPr="003924C5" w:rsidRDefault="00231041" w:rsidP="003924C5">
            <w:pPr>
              <w:snapToGrid w:val="0"/>
              <w:spacing w:after="120"/>
              <w:rPr>
                <w:rStyle w:val="tlid-translation"/>
              </w:rPr>
            </w:pPr>
            <w:r w:rsidRPr="003924C5">
              <w:rPr>
                <w:rStyle w:val="tlid-translation"/>
              </w:rPr>
              <w:t>21</w:t>
            </w:r>
            <w:r w:rsidR="00AA1A2E">
              <w:rPr>
                <w:rStyle w:val="tlid-translation"/>
              </w:rPr>
              <w:t>.</w:t>
            </w:r>
            <w:r w:rsidRPr="003924C5">
              <w:rPr>
                <w:rStyle w:val="tlid-translation"/>
              </w:rPr>
              <w:t>25</w:t>
            </w:r>
          </w:p>
        </w:tc>
        <w:tc>
          <w:tcPr>
            <w:tcW w:w="1557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231041" w:rsidRPr="003924C5" w:rsidRDefault="00231041" w:rsidP="003924C5">
            <w:pPr>
              <w:snapToGrid w:val="0"/>
              <w:spacing w:after="120"/>
              <w:rPr>
                <w:rStyle w:val="tlid-translation"/>
              </w:rPr>
            </w:pPr>
            <w:r w:rsidRPr="003924C5">
              <w:rPr>
                <w:rStyle w:val="tlid-translation"/>
              </w:rPr>
              <w:t>29</w:t>
            </w:r>
            <w:r w:rsidR="00AA1A2E">
              <w:rPr>
                <w:rStyle w:val="tlid-translation"/>
              </w:rPr>
              <w:t>.</w:t>
            </w:r>
            <w:r w:rsidRPr="003924C5">
              <w:rPr>
                <w:rStyle w:val="tlid-translation"/>
              </w:rPr>
              <w:t>99</w:t>
            </w:r>
          </w:p>
        </w:tc>
      </w:tr>
      <w:tr w:rsidR="00231041" w:rsidRPr="003B30BC" w:rsidTr="00231041">
        <w:trPr>
          <w:trHeight w:val="467"/>
        </w:trPr>
        <w:tc>
          <w:tcPr>
            <w:tcW w:w="4815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231041" w:rsidRPr="003924C5" w:rsidRDefault="00231041" w:rsidP="003924C5">
            <w:pPr>
              <w:snapToGrid w:val="0"/>
              <w:spacing w:after="120"/>
              <w:rPr>
                <w:rStyle w:val="tlid-translation"/>
              </w:rPr>
            </w:pPr>
            <w:r>
              <w:rPr>
                <w:rStyle w:val="tlid-translation"/>
              </w:rPr>
              <w:t>Oxygen use percentage</w:t>
            </w:r>
            <w:r w:rsidRPr="003924C5">
              <w:rPr>
                <w:rStyle w:val="tlid-translation"/>
              </w:rPr>
              <w:t xml:space="preserve"> SOTE, %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231041" w:rsidRPr="003924C5" w:rsidRDefault="00231041" w:rsidP="003924C5">
            <w:pPr>
              <w:snapToGrid w:val="0"/>
              <w:spacing w:after="120"/>
              <w:rPr>
                <w:rStyle w:val="tlid-translation"/>
              </w:rPr>
            </w:pPr>
            <w:r w:rsidRPr="003924C5">
              <w:rPr>
                <w:rStyle w:val="tlid-translation"/>
              </w:rPr>
              <w:t>13</w:t>
            </w:r>
            <w:r w:rsidR="00AA1A2E">
              <w:rPr>
                <w:rStyle w:val="tlid-translation"/>
              </w:rPr>
              <w:t>.</w:t>
            </w:r>
            <w:r w:rsidRPr="003924C5">
              <w:rPr>
                <w:rStyle w:val="tlid-translation"/>
              </w:rPr>
              <w:t>60</w:t>
            </w:r>
          </w:p>
        </w:tc>
        <w:tc>
          <w:tcPr>
            <w:tcW w:w="1557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231041" w:rsidRPr="003924C5" w:rsidRDefault="00231041" w:rsidP="003924C5">
            <w:pPr>
              <w:snapToGrid w:val="0"/>
              <w:spacing w:after="120"/>
              <w:rPr>
                <w:rStyle w:val="tlid-translation"/>
              </w:rPr>
            </w:pPr>
            <w:r w:rsidRPr="003924C5">
              <w:rPr>
                <w:rStyle w:val="tlid-translation"/>
              </w:rPr>
              <w:t>19</w:t>
            </w:r>
            <w:r w:rsidR="00AA1A2E">
              <w:rPr>
                <w:rStyle w:val="tlid-translation"/>
              </w:rPr>
              <w:t>.</w:t>
            </w:r>
            <w:r w:rsidRPr="003924C5">
              <w:rPr>
                <w:rStyle w:val="tlid-translation"/>
              </w:rPr>
              <w:t>19</w:t>
            </w:r>
          </w:p>
        </w:tc>
      </w:tr>
      <w:tr w:rsidR="00231041" w:rsidRPr="003B30BC" w:rsidTr="00257B93">
        <w:trPr>
          <w:trHeight w:val="467"/>
        </w:trPr>
        <w:tc>
          <w:tcPr>
            <w:tcW w:w="4815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bottom"/>
          </w:tcPr>
          <w:p w:rsidR="00231041" w:rsidRPr="003924C5" w:rsidRDefault="00231041" w:rsidP="003924C5">
            <w:pPr>
              <w:snapToGrid w:val="0"/>
              <w:spacing w:after="120"/>
              <w:rPr>
                <w:rStyle w:val="tlid-translation"/>
              </w:rPr>
            </w:pPr>
            <w:r>
              <w:rPr>
                <w:rStyle w:val="tlid-translation"/>
              </w:rPr>
              <w:t>The ratio of the amount of oxygen dissolved in a liquid to the amount of electricity used</w:t>
            </w:r>
            <w:r w:rsidRPr="003924C5">
              <w:rPr>
                <w:rStyle w:val="tlid-translation"/>
              </w:rPr>
              <w:t xml:space="preserve"> SAE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231041" w:rsidRPr="003924C5" w:rsidRDefault="00231041" w:rsidP="003924C5">
            <w:pPr>
              <w:snapToGrid w:val="0"/>
              <w:spacing w:after="120"/>
              <w:rPr>
                <w:rStyle w:val="tlid-translation"/>
              </w:rPr>
            </w:pPr>
            <w:r w:rsidRPr="003924C5">
              <w:rPr>
                <w:rStyle w:val="tlid-translation"/>
              </w:rPr>
              <w:t>0</w:t>
            </w:r>
            <w:r w:rsidR="00AA1A2E">
              <w:rPr>
                <w:rStyle w:val="tlid-translation"/>
              </w:rPr>
              <w:t>.</w:t>
            </w:r>
            <w:r w:rsidRPr="003924C5">
              <w:rPr>
                <w:rStyle w:val="tlid-translation"/>
              </w:rPr>
              <w:t>35</w:t>
            </w:r>
          </w:p>
        </w:tc>
        <w:tc>
          <w:tcPr>
            <w:tcW w:w="1557" w:type="dxa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231041" w:rsidRPr="003924C5" w:rsidRDefault="00231041" w:rsidP="003924C5">
            <w:pPr>
              <w:snapToGrid w:val="0"/>
              <w:spacing w:after="120"/>
              <w:rPr>
                <w:rStyle w:val="tlid-translation"/>
              </w:rPr>
            </w:pPr>
            <w:r w:rsidRPr="003924C5">
              <w:rPr>
                <w:rStyle w:val="tlid-translation"/>
              </w:rPr>
              <w:t>0</w:t>
            </w:r>
            <w:r w:rsidR="00AA1A2E">
              <w:rPr>
                <w:rStyle w:val="tlid-translation"/>
              </w:rPr>
              <w:t>.</w:t>
            </w:r>
            <w:r w:rsidRPr="003924C5">
              <w:rPr>
                <w:rStyle w:val="tlid-translation"/>
              </w:rPr>
              <w:t>64</w:t>
            </w:r>
          </w:p>
        </w:tc>
      </w:tr>
    </w:tbl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3924C5" w:rsidRDefault="0023104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Style w:val="tlid-translation"/>
        </w:rPr>
        <w:t xml:space="preserve">Conical mixer shows SAE efficiency </w:t>
      </w:r>
      <w:r w:rsidR="00AA1A2E">
        <w:rPr>
          <w:rStyle w:val="tlid-translation"/>
          <w:lang w:val="en-US"/>
        </w:rPr>
        <w:t>1.82 times more than Rushton turbine</w:t>
      </w:r>
      <w:r>
        <w:rPr>
          <w:rStyle w:val="tlid-translation"/>
        </w:rPr>
        <w:t>. This is because the new type of mixer has a more streamlined shape, contributing to reduced power consumption. The proposed aeration system is a good alternative to the existing pneumatic aeration, especially in shallow tanks (up to 3 meters deep).</w:t>
      </w:r>
      <w:r w:rsidR="00AA1A2E">
        <w:rPr>
          <w:rStyle w:val="tlid-translation"/>
        </w:rPr>
        <w:t xml:space="preserve"> </w:t>
      </w:r>
      <w:r w:rsidR="003924C5">
        <w:rPr>
          <w:rStyle w:val="tlid-translation"/>
        </w:rPr>
        <w:t xml:space="preserve">Installing this kind of </w:t>
      </w:r>
      <w:r>
        <w:rPr>
          <w:rStyle w:val="tlid-translation"/>
        </w:rPr>
        <w:t>mixer will significantly reduce operating costs and avoid problems with clogging of small</w:t>
      </w:r>
      <w:r w:rsidR="001E704C">
        <w:rPr>
          <w:rStyle w:val="tlid-translation"/>
        </w:rPr>
        <w:t xml:space="preserve"> (</w:t>
      </w:r>
      <w:proofErr w:type="gramStart"/>
      <w:r w:rsidR="00854D3D">
        <w:rPr>
          <w:rStyle w:val="tlid-translation"/>
        </w:rPr>
        <w:t>approx..</w:t>
      </w:r>
      <w:proofErr w:type="gramEnd"/>
      <w:r w:rsidR="00854D3D">
        <w:rPr>
          <w:rStyle w:val="tlid-translation"/>
        </w:rPr>
        <w:t xml:space="preserve"> </w:t>
      </w:r>
      <w:r w:rsidR="001E704C">
        <w:rPr>
          <w:rStyle w:val="tlid-translation"/>
        </w:rPr>
        <w:t>diameter</w:t>
      </w:r>
      <w:r w:rsidR="00854D3D">
        <w:rPr>
          <w:rStyle w:val="tlid-translation"/>
        </w:rPr>
        <w:t xml:space="preserve"> of </w:t>
      </w:r>
      <w:r w:rsidR="00854D3D">
        <w:rPr>
          <w:rStyle w:val="tlid-translation"/>
        </w:rPr>
        <w:t>0.1 mm</w:t>
      </w:r>
      <w:bookmarkStart w:id="0" w:name="_GoBack"/>
      <w:bookmarkEnd w:id="0"/>
      <w:r w:rsidR="001E704C">
        <w:rPr>
          <w:rStyle w:val="tlid-translation"/>
        </w:rPr>
        <w:t>)</w:t>
      </w:r>
      <w:r>
        <w:rPr>
          <w:rStyle w:val="tlid-translation"/>
        </w:rPr>
        <w:t xml:space="preserve"> pores</w:t>
      </w:r>
      <w:r w:rsidR="00AA1A2E">
        <w:rPr>
          <w:rStyle w:val="tlid-translation"/>
        </w:rPr>
        <w:t xml:space="preserve"> in aerators (spargers)</w:t>
      </w:r>
      <w:r>
        <w:rPr>
          <w:rStyle w:val="tlid-translation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704BDF" w:rsidRPr="009A4FA3" w:rsidRDefault="009A4FA3" w:rsidP="009A4FA3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proofErr w:type="spellStart"/>
      <w:r w:rsidRPr="009A4FA3">
        <w:rPr>
          <w:rFonts w:asciiTheme="minorHAnsi" w:hAnsiTheme="minorHAnsi"/>
          <w:color w:val="000000"/>
        </w:rPr>
        <w:t>S.Yu.Andreev</w:t>
      </w:r>
      <w:proofErr w:type="spellEnd"/>
      <w:r w:rsidRPr="009A4FA3">
        <w:rPr>
          <w:rFonts w:asciiTheme="minorHAnsi" w:hAnsiTheme="minorHAnsi"/>
          <w:color w:val="000000"/>
        </w:rPr>
        <w:t xml:space="preserve">, </w:t>
      </w:r>
      <w:proofErr w:type="spellStart"/>
      <w:r w:rsidRPr="009A4FA3">
        <w:rPr>
          <w:rFonts w:asciiTheme="minorHAnsi" w:hAnsiTheme="minorHAnsi"/>
          <w:color w:val="000000"/>
        </w:rPr>
        <w:t>A.M.Isayeva</w:t>
      </w:r>
      <w:proofErr w:type="spellEnd"/>
      <w:r w:rsidRPr="009A4FA3">
        <w:rPr>
          <w:rFonts w:asciiTheme="minorHAnsi" w:hAnsiTheme="minorHAnsi"/>
          <w:color w:val="000000"/>
        </w:rPr>
        <w:t xml:space="preserve">, </w:t>
      </w:r>
      <w:proofErr w:type="spellStart"/>
      <w:r w:rsidRPr="009A4FA3">
        <w:rPr>
          <w:rFonts w:asciiTheme="minorHAnsi" w:hAnsiTheme="minorHAnsi"/>
          <w:color w:val="000000"/>
        </w:rPr>
        <w:t>T.V.Malyutina</w:t>
      </w:r>
      <w:proofErr w:type="spellEnd"/>
      <w:r w:rsidRPr="009A4FA3">
        <w:rPr>
          <w:rFonts w:asciiTheme="minorHAnsi" w:hAnsiTheme="minorHAnsi"/>
          <w:color w:val="000000"/>
        </w:rPr>
        <w:t xml:space="preserve">, </w:t>
      </w:r>
      <w:proofErr w:type="spellStart"/>
      <w:r w:rsidRPr="009A4FA3">
        <w:rPr>
          <w:rFonts w:asciiTheme="minorHAnsi" w:hAnsiTheme="minorHAnsi"/>
          <w:color w:val="000000"/>
        </w:rPr>
        <w:t>I.V.Pantyushov</w:t>
      </w:r>
      <w:proofErr w:type="spellEnd"/>
      <w:r w:rsidRPr="009A4FA3">
        <w:rPr>
          <w:rFonts w:asciiTheme="minorHAnsi" w:hAnsiTheme="minorHAnsi"/>
          <w:color w:val="000000"/>
        </w:rPr>
        <w:t>, Regional Architecture and Construction, 2</w:t>
      </w:r>
      <w:r w:rsidR="00F81D0E" w:rsidRPr="009A4FA3">
        <w:rPr>
          <w:rFonts w:asciiTheme="minorHAnsi" w:hAnsiTheme="minorHAnsi"/>
          <w:color w:val="000000"/>
        </w:rPr>
        <w:t xml:space="preserve"> </w:t>
      </w:r>
      <w:r w:rsidRPr="009A4FA3">
        <w:rPr>
          <w:rFonts w:asciiTheme="minorHAnsi" w:hAnsiTheme="minorHAnsi"/>
          <w:color w:val="000000"/>
        </w:rPr>
        <w:t>(</w:t>
      </w:r>
      <w:r w:rsidR="00F81D0E" w:rsidRPr="009A4FA3">
        <w:rPr>
          <w:rFonts w:asciiTheme="minorHAnsi" w:hAnsiTheme="minorHAnsi"/>
          <w:color w:val="000000"/>
        </w:rPr>
        <w:t>2008</w:t>
      </w:r>
      <w:r w:rsidRPr="009A4FA3">
        <w:rPr>
          <w:rFonts w:asciiTheme="minorHAnsi" w:hAnsiTheme="minorHAnsi"/>
          <w:color w:val="000000"/>
        </w:rPr>
        <w:t>) 63-69 (</w:t>
      </w:r>
      <w:r>
        <w:rPr>
          <w:rFonts w:asciiTheme="minorHAnsi" w:hAnsiTheme="minorHAnsi"/>
          <w:color w:val="000000"/>
        </w:rPr>
        <w:t>in Russian).</w:t>
      </w:r>
    </w:p>
    <w:p w:rsidR="003A1185" w:rsidRPr="00F81D0E" w:rsidRDefault="009A4FA3" w:rsidP="00F81D0E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F81D0E">
        <w:rPr>
          <w:rFonts w:asciiTheme="minorHAnsi" w:hAnsiTheme="minorHAnsi"/>
          <w:color w:val="000000"/>
        </w:rPr>
        <w:t>E</w:t>
      </w:r>
      <w:r>
        <w:rPr>
          <w:rFonts w:asciiTheme="minorHAnsi" w:hAnsiTheme="minorHAnsi"/>
          <w:color w:val="000000"/>
        </w:rPr>
        <w:t>.</w:t>
      </w:r>
      <w:r w:rsidRPr="00F81D0E">
        <w:rPr>
          <w:rFonts w:asciiTheme="minorHAnsi" w:hAnsiTheme="minorHAnsi"/>
          <w:color w:val="000000"/>
        </w:rPr>
        <w:t>L. Paul,</w:t>
      </w:r>
      <w:r>
        <w:rPr>
          <w:rFonts w:asciiTheme="minorHAnsi" w:hAnsiTheme="minorHAnsi"/>
          <w:color w:val="000000"/>
        </w:rPr>
        <w:t xml:space="preserve"> </w:t>
      </w:r>
      <w:r w:rsidRPr="00F81D0E">
        <w:rPr>
          <w:rFonts w:asciiTheme="minorHAnsi" w:hAnsiTheme="minorHAnsi"/>
          <w:color w:val="000000"/>
        </w:rPr>
        <w:t>V</w:t>
      </w:r>
      <w:r>
        <w:rPr>
          <w:rFonts w:asciiTheme="minorHAnsi" w:hAnsiTheme="minorHAnsi"/>
          <w:color w:val="000000"/>
        </w:rPr>
        <w:t>.</w:t>
      </w:r>
      <w:r w:rsidRPr="00F81D0E">
        <w:rPr>
          <w:rFonts w:asciiTheme="minorHAnsi" w:hAnsiTheme="minorHAnsi"/>
          <w:color w:val="000000"/>
        </w:rPr>
        <w:t xml:space="preserve">A. </w:t>
      </w:r>
      <w:proofErr w:type="spellStart"/>
      <w:r w:rsidRPr="00F81D0E">
        <w:rPr>
          <w:rFonts w:asciiTheme="minorHAnsi" w:hAnsiTheme="minorHAnsi"/>
          <w:color w:val="000000"/>
        </w:rPr>
        <w:t>Atiemo-Obeng</w:t>
      </w:r>
      <w:proofErr w:type="spellEnd"/>
      <w:r w:rsidRPr="00F81D0E">
        <w:rPr>
          <w:rFonts w:asciiTheme="minorHAnsi" w:hAnsiTheme="minorHAnsi"/>
          <w:color w:val="000000"/>
        </w:rPr>
        <w:t>, S</w:t>
      </w:r>
      <w:r>
        <w:rPr>
          <w:rFonts w:asciiTheme="minorHAnsi" w:hAnsiTheme="minorHAnsi"/>
          <w:color w:val="000000"/>
        </w:rPr>
        <w:t>.</w:t>
      </w:r>
      <w:r w:rsidRPr="00F81D0E">
        <w:rPr>
          <w:rFonts w:asciiTheme="minorHAnsi" w:hAnsiTheme="minorHAnsi"/>
          <w:color w:val="000000"/>
        </w:rPr>
        <w:t xml:space="preserve">M. </w:t>
      </w:r>
      <w:proofErr w:type="spellStart"/>
      <w:r w:rsidRPr="00F81D0E">
        <w:rPr>
          <w:rFonts w:asciiTheme="minorHAnsi" w:hAnsiTheme="minorHAnsi"/>
          <w:color w:val="000000"/>
        </w:rPr>
        <w:t>Kresta</w:t>
      </w:r>
      <w:proofErr w:type="spellEnd"/>
      <w:r>
        <w:rPr>
          <w:rFonts w:asciiTheme="minorHAnsi" w:hAnsiTheme="minorHAnsi"/>
          <w:color w:val="000000"/>
        </w:rPr>
        <w:t>,</w:t>
      </w:r>
      <w:r w:rsidRPr="00F81D0E">
        <w:rPr>
          <w:rFonts w:asciiTheme="minorHAnsi" w:hAnsiTheme="minorHAnsi"/>
          <w:color w:val="000000"/>
        </w:rPr>
        <w:t xml:space="preserve"> </w:t>
      </w:r>
      <w:r w:rsidR="00F81D0E" w:rsidRPr="00F81D0E">
        <w:rPr>
          <w:rFonts w:asciiTheme="minorHAnsi" w:hAnsiTheme="minorHAnsi"/>
          <w:color w:val="000000"/>
        </w:rPr>
        <w:t>Handbook of industria</w:t>
      </w:r>
      <w:r>
        <w:rPr>
          <w:rFonts w:asciiTheme="minorHAnsi" w:hAnsiTheme="minorHAnsi"/>
          <w:color w:val="000000"/>
        </w:rPr>
        <w:t xml:space="preserve">l mixing: science and practice. </w:t>
      </w:r>
      <w:r w:rsidR="00346AB5">
        <w:rPr>
          <w:rFonts w:asciiTheme="minorHAnsi" w:hAnsiTheme="minorHAnsi"/>
          <w:color w:val="000000"/>
        </w:rPr>
        <w:t>Wiley, 2003</w:t>
      </w:r>
    </w:p>
    <w:p w:rsidR="003A1185" w:rsidRPr="00162A78" w:rsidRDefault="00162A78" w:rsidP="00162A7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proofErr w:type="spellStart"/>
      <w:r w:rsidRPr="00162A78">
        <w:rPr>
          <w:rFonts w:asciiTheme="minorHAnsi" w:hAnsiTheme="minorHAnsi"/>
          <w:color w:val="000000"/>
        </w:rPr>
        <w:t>Ya.A</w:t>
      </w:r>
      <w:proofErr w:type="spellEnd"/>
      <w:r w:rsidRPr="00162A78">
        <w:rPr>
          <w:rFonts w:asciiTheme="minorHAnsi" w:hAnsiTheme="minorHAnsi"/>
          <w:color w:val="000000"/>
        </w:rPr>
        <w:t xml:space="preserve">. </w:t>
      </w:r>
      <w:proofErr w:type="spellStart"/>
      <w:r w:rsidRPr="00162A78">
        <w:rPr>
          <w:rFonts w:asciiTheme="minorHAnsi" w:hAnsiTheme="minorHAnsi"/>
          <w:color w:val="000000"/>
        </w:rPr>
        <w:t>Karelin</w:t>
      </w:r>
      <w:proofErr w:type="spellEnd"/>
      <w:r w:rsidRPr="00162A78">
        <w:rPr>
          <w:rFonts w:asciiTheme="minorHAnsi" w:hAnsiTheme="minorHAnsi"/>
          <w:color w:val="000000"/>
        </w:rPr>
        <w:t>, D</w:t>
      </w:r>
      <w:r>
        <w:rPr>
          <w:rFonts w:asciiTheme="minorHAnsi" w:hAnsiTheme="minorHAnsi"/>
          <w:color w:val="000000"/>
        </w:rPr>
        <w:t>.</w:t>
      </w:r>
      <w:r w:rsidRPr="00162A78">
        <w:rPr>
          <w:rFonts w:asciiTheme="minorHAnsi" w:hAnsiTheme="minorHAnsi"/>
          <w:color w:val="000000"/>
        </w:rPr>
        <w:t>D</w:t>
      </w:r>
      <w:r>
        <w:rPr>
          <w:rFonts w:asciiTheme="minorHAnsi" w:hAnsiTheme="minorHAnsi"/>
          <w:color w:val="000000"/>
        </w:rPr>
        <w:t>.</w:t>
      </w:r>
      <w:r w:rsidRPr="00162A78">
        <w:rPr>
          <w:rFonts w:asciiTheme="minorHAnsi" w:hAnsiTheme="minorHAnsi"/>
          <w:color w:val="000000"/>
        </w:rPr>
        <w:t xml:space="preserve"> </w:t>
      </w:r>
      <w:r w:rsidRPr="00162A78">
        <w:rPr>
          <w:rFonts w:asciiTheme="minorHAnsi" w:hAnsiTheme="minorHAnsi"/>
          <w:color w:val="000000"/>
        </w:rPr>
        <w:t>Zhukov</w:t>
      </w:r>
      <w:r w:rsidRPr="00162A78">
        <w:rPr>
          <w:rFonts w:asciiTheme="minorHAnsi" w:hAnsiTheme="minorHAnsi"/>
          <w:color w:val="000000"/>
        </w:rPr>
        <w:t>, V</w:t>
      </w:r>
      <w:r>
        <w:rPr>
          <w:rFonts w:asciiTheme="minorHAnsi" w:hAnsiTheme="minorHAnsi"/>
          <w:color w:val="000000"/>
        </w:rPr>
        <w:t>.</w:t>
      </w:r>
      <w:r w:rsidRPr="00162A78">
        <w:rPr>
          <w:rFonts w:asciiTheme="minorHAnsi" w:hAnsiTheme="minorHAnsi"/>
          <w:color w:val="000000"/>
        </w:rPr>
        <w:t>N</w:t>
      </w:r>
      <w:r>
        <w:rPr>
          <w:rFonts w:asciiTheme="minorHAnsi" w:hAnsiTheme="minorHAnsi"/>
          <w:color w:val="000000"/>
        </w:rPr>
        <w:t>.</w:t>
      </w:r>
      <w:r w:rsidRPr="00162A78">
        <w:rPr>
          <w:rFonts w:asciiTheme="minorHAnsi" w:hAnsiTheme="minorHAnsi"/>
          <w:color w:val="000000"/>
        </w:rPr>
        <w:t xml:space="preserve"> </w:t>
      </w:r>
      <w:proofErr w:type="spellStart"/>
      <w:r w:rsidRPr="00162A78">
        <w:rPr>
          <w:rFonts w:asciiTheme="minorHAnsi" w:hAnsiTheme="minorHAnsi"/>
          <w:color w:val="000000"/>
        </w:rPr>
        <w:t>Zhurov</w:t>
      </w:r>
      <w:proofErr w:type="spellEnd"/>
      <w:r w:rsidRPr="00162A78">
        <w:rPr>
          <w:rFonts w:asciiTheme="minorHAnsi" w:hAnsiTheme="minorHAnsi"/>
          <w:color w:val="000000"/>
        </w:rPr>
        <w:t>, B</w:t>
      </w:r>
      <w:r>
        <w:rPr>
          <w:rFonts w:asciiTheme="minorHAnsi" w:hAnsiTheme="minorHAnsi"/>
          <w:color w:val="000000"/>
        </w:rPr>
        <w:t>.</w:t>
      </w:r>
      <w:r w:rsidRPr="00162A78">
        <w:rPr>
          <w:rFonts w:asciiTheme="minorHAnsi" w:hAnsiTheme="minorHAnsi"/>
          <w:color w:val="000000"/>
        </w:rPr>
        <w:t>N</w:t>
      </w:r>
      <w:r>
        <w:rPr>
          <w:rFonts w:asciiTheme="minorHAnsi" w:hAnsiTheme="minorHAnsi"/>
          <w:color w:val="000000"/>
        </w:rPr>
        <w:t>.</w:t>
      </w:r>
      <w:r w:rsidRPr="00162A78">
        <w:rPr>
          <w:rFonts w:asciiTheme="minorHAnsi" w:hAnsiTheme="minorHAnsi"/>
          <w:color w:val="000000"/>
        </w:rPr>
        <w:t xml:space="preserve"> </w:t>
      </w:r>
      <w:proofErr w:type="spellStart"/>
      <w:r w:rsidRPr="00162A78">
        <w:rPr>
          <w:rFonts w:asciiTheme="minorHAnsi" w:hAnsiTheme="minorHAnsi"/>
          <w:color w:val="000000"/>
        </w:rPr>
        <w:t>Repin</w:t>
      </w:r>
      <w:proofErr w:type="spellEnd"/>
      <w:r w:rsidRPr="00162A78">
        <w:rPr>
          <w:rFonts w:asciiTheme="minorHAnsi" w:hAnsiTheme="minorHAnsi"/>
          <w:color w:val="000000"/>
        </w:rPr>
        <w:t xml:space="preserve">, Treatment of industrial wastewater in aeration </w:t>
      </w:r>
      <w:proofErr w:type="gramStart"/>
      <w:r w:rsidRPr="00162A78">
        <w:rPr>
          <w:rFonts w:asciiTheme="minorHAnsi" w:hAnsiTheme="minorHAnsi"/>
          <w:color w:val="000000"/>
        </w:rPr>
        <w:t>tanks.,</w:t>
      </w:r>
      <w:proofErr w:type="gramEnd"/>
      <w:r w:rsidRPr="00162A78">
        <w:rPr>
          <w:rFonts w:asciiTheme="minorHAnsi" w:hAnsiTheme="minorHAnsi"/>
          <w:color w:val="000000"/>
        </w:rPr>
        <w:t xml:space="preserve"> </w:t>
      </w:r>
      <w:proofErr w:type="spellStart"/>
      <w:r w:rsidRPr="00162A78">
        <w:rPr>
          <w:rFonts w:asciiTheme="minorHAnsi" w:hAnsiTheme="minorHAnsi"/>
          <w:color w:val="000000"/>
        </w:rPr>
        <w:t>Stroyizdat</w:t>
      </w:r>
      <w:proofErr w:type="spellEnd"/>
      <w:r w:rsidRPr="00162A78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Moscow,</w:t>
      </w:r>
      <w:r w:rsidRPr="00162A78">
        <w:rPr>
          <w:rFonts w:asciiTheme="minorHAnsi" w:hAnsiTheme="minorHAnsi"/>
          <w:color w:val="000000"/>
        </w:rPr>
        <w:t xml:space="preserve"> 1973</w:t>
      </w:r>
      <w:r>
        <w:rPr>
          <w:rFonts w:asciiTheme="minorHAnsi" w:hAnsiTheme="minorHAnsi"/>
          <w:color w:val="000000"/>
        </w:rPr>
        <w:t xml:space="preserve"> </w:t>
      </w:r>
      <w:r w:rsidRPr="009A4FA3">
        <w:rPr>
          <w:rFonts w:asciiTheme="minorHAnsi" w:hAnsiTheme="minorHAnsi"/>
          <w:color w:val="000000"/>
        </w:rPr>
        <w:t xml:space="preserve"> (</w:t>
      </w:r>
      <w:r>
        <w:rPr>
          <w:rFonts w:asciiTheme="minorHAnsi" w:hAnsiTheme="minorHAnsi"/>
          <w:color w:val="000000"/>
        </w:rPr>
        <w:t>in Russian).</w:t>
      </w:r>
    </w:p>
    <w:p w:rsidR="003A1185" w:rsidRPr="00162A78" w:rsidRDefault="00162A78" w:rsidP="00854D3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lang w:val="de-DE"/>
        </w:rPr>
      </w:pPr>
      <w:r w:rsidRPr="00162A78">
        <w:rPr>
          <w:rFonts w:asciiTheme="minorHAnsi" w:hAnsiTheme="minorHAnsi"/>
          <w:color w:val="000000"/>
        </w:rPr>
        <w:t>R.</w:t>
      </w:r>
      <w:r>
        <w:rPr>
          <w:rFonts w:asciiTheme="minorHAnsi" w:hAnsiTheme="minorHAnsi"/>
          <w:color w:val="000000"/>
        </w:rPr>
        <w:t>S.</w:t>
      </w:r>
      <w:r w:rsidRPr="00162A78">
        <w:rPr>
          <w:rFonts w:asciiTheme="minorHAnsi" w:hAnsiTheme="minorHAnsi"/>
          <w:color w:val="000000"/>
        </w:rPr>
        <w:t xml:space="preserve"> </w:t>
      </w:r>
      <w:proofErr w:type="spellStart"/>
      <w:r w:rsidRPr="00162A78">
        <w:rPr>
          <w:rFonts w:asciiTheme="minorHAnsi" w:hAnsiTheme="minorHAnsi"/>
          <w:color w:val="000000"/>
        </w:rPr>
        <w:t>Abiev</w:t>
      </w:r>
      <w:proofErr w:type="spellEnd"/>
      <w:r w:rsidRPr="00162A78">
        <w:rPr>
          <w:rFonts w:asciiTheme="minorHAnsi" w:hAnsiTheme="minorHAnsi"/>
          <w:color w:val="000000"/>
        </w:rPr>
        <w:t xml:space="preserve">. </w:t>
      </w:r>
      <w:r w:rsidRPr="00162A78">
        <w:rPr>
          <w:rFonts w:asciiTheme="minorHAnsi" w:hAnsiTheme="minorHAnsi"/>
          <w:color w:val="000000"/>
          <w:lang w:val="de-DE"/>
        </w:rPr>
        <w:t xml:space="preserve">A.N </w:t>
      </w:r>
      <w:proofErr w:type="spellStart"/>
      <w:r w:rsidRPr="00162A78">
        <w:rPr>
          <w:rFonts w:asciiTheme="minorHAnsi" w:hAnsiTheme="minorHAnsi"/>
          <w:color w:val="000000"/>
          <w:lang w:val="de-DE"/>
        </w:rPr>
        <w:t>Grigorieva</w:t>
      </w:r>
      <w:proofErr w:type="spellEnd"/>
      <w:r w:rsidRPr="00162A78">
        <w:rPr>
          <w:rFonts w:asciiTheme="minorHAnsi" w:hAnsiTheme="minorHAnsi"/>
          <w:color w:val="000000"/>
          <w:lang w:val="de-DE"/>
        </w:rPr>
        <w:t>, Trans. SPS</w:t>
      </w:r>
      <w:r>
        <w:rPr>
          <w:rFonts w:asciiTheme="minorHAnsi" w:hAnsiTheme="minorHAnsi"/>
          <w:color w:val="000000"/>
          <w:lang w:val="de-DE"/>
        </w:rPr>
        <w:t>I</w:t>
      </w:r>
      <w:r w:rsidRPr="00162A78">
        <w:rPr>
          <w:rFonts w:asciiTheme="minorHAnsi" w:hAnsiTheme="minorHAnsi"/>
          <w:color w:val="000000"/>
          <w:lang w:val="de-DE"/>
        </w:rPr>
        <w:t xml:space="preserve">T (TU), 45 </w:t>
      </w:r>
      <w:r>
        <w:rPr>
          <w:rFonts w:asciiTheme="minorHAnsi" w:hAnsiTheme="minorHAnsi"/>
          <w:color w:val="000000"/>
          <w:lang w:val="de-DE"/>
        </w:rPr>
        <w:t>(</w:t>
      </w:r>
      <w:r w:rsidRPr="00162A78">
        <w:rPr>
          <w:rFonts w:asciiTheme="minorHAnsi" w:hAnsiTheme="minorHAnsi"/>
          <w:color w:val="000000"/>
          <w:lang w:val="de-DE"/>
        </w:rPr>
        <w:t>2018</w:t>
      </w:r>
      <w:r>
        <w:rPr>
          <w:rFonts w:asciiTheme="minorHAnsi" w:hAnsiTheme="minorHAnsi"/>
          <w:color w:val="000000"/>
          <w:lang w:val="de-DE"/>
        </w:rPr>
        <w:t xml:space="preserve">) </w:t>
      </w:r>
      <w:r w:rsidR="00854D3D" w:rsidRPr="00854D3D">
        <w:rPr>
          <w:rFonts w:asciiTheme="minorHAnsi" w:hAnsiTheme="minorHAnsi"/>
          <w:color w:val="000000"/>
          <w:lang w:val="de-DE"/>
        </w:rPr>
        <w:t>94-97</w:t>
      </w:r>
      <w:r w:rsidRPr="00162A78">
        <w:rPr>
          <w:rFonts w:asciiTheme="minorHAnsi" w:hAnsiTheme="minorHAnsi"/>
          <w:color w:val="000000"/>
          <w:lang w:val="de-DE"/>
        </w:rPr>
        <w:t>.</w:t>
      </w:r>
    </w:p>
    <w:p w:rsidR="003A1185" w:rsidRPr="001E20BB" w:rsidRDefault="00F81D0E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  <w:lang w:val="de-DE"/>
        </w:rPr>
      </w:pPr>
      <w:r w:rsidRPr="00162A78">
        <w:rPr>
          <w:rFonts w:asciiTheme="minorHAnsi" w:hAnsiTheme="minorHAnsi"/>
          <w:i/>
          <w:iCs/>
          <w:noProof/>
          <w:lang w:val="de-DE"/>
        </w:rPr>
        <w:t>Merkblatt DWA-M 229-1. Systeme zur Belueflung und Durchmischung von Be</w:t>
      </w:r>
      <w:r w:rsidRPr="001E20BB">
        <w:rPr>
          <w:rFonts w:asciiTheme="minorHAnsi" w:hAnsiTheme="minorHAnsi"/>
          <w:i/>
          <w:iCs/>
          <w:noProof/>
          <w:lang w:val="de-DE"/>
        </w:rPr>
        <w:t xml:space="preserve">lebungsanlagen- Teil 1: Planung, Ausschreibung und Ausfuerung, </w:t>
      </w:r>
      <w:r w:rsidR="00854D3D">
        <w:rPr>
          <w:rFonts w:asciiTheme="minorHAnsi" w:hAnsiTheme="minorHAnsi"/>
          <w:noProof/>
          <w:lang w:val="de-DE"/>
        </w:rPr>
        <w:t>Sep</w:t>
      </w:r>
      <w:r w:rsidRPr="001E20BB">
        <w:rPr>
          <w:rFonts w:asciiTheme="minorHAnsi" w:hAnsiTheme="minorHAnsi"/>
          <w:noProof/>
          <w:lang w:val="de-DE"/>
        </w:rPr>
        <w:t>tember 2017.</w:t>
      </w:r>
    </w:p>
    <w:sectPr w:rsidR="003A1185" w:rsidRPr="001E20BB" w:rsidSect="003B30BC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02" w:rsidRDefault="00AC6202" w:rsidP="004F5E36">
      <w:r>
        <w:separator/>
      </w:r>
    </w:p>
  </w:endnote>
  <w:endnote w:type="continuationSeparator" w:id="0">
    <w:p w:rsidR="00AC6202" w:rsidRDefault="00AC620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02" w:rsidRDefault="00AC6202" w:rsidP="004F5E36">
      <w:r>
        <w:separator/>
      </w:r>
    </w:p>
  </w:footnote>
  <w:footnote w:type="continuationSeparator" w:id="0">
    <w:p w:rsidR="00AC6202" w:rsidRDefault="00AC620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AC6202">
    <w:pPr>
      <w:pStyle w:val="afff6"/>
    </w:pPr>
    <w:r>
      <w:rPr>
        <w:noProof/>
        <w:lang w:val="ru-RU" w:eastAsia="ru-RU"/>
      </w:rPr>
      <w:pict>
        <v:line id="Connettore 1 86" o:spid="_x0000_s2050" style="position:absolute;left:0;text-align:left;z-index:251666432;visibility:visible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<v:shadow on="t" color="black" opacity="24903f" origin=",.5" offset="0,.55556mm"/>
        </v:line>
      </w:pict>
    </w:r>
    <w:r w:rsidR="004D1162"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afff6"/>
    </w:pPr>
  </w:p>
  <w:p w:rsidR="00704BDF" w:rsidRDefault="00AC6202">
    <w:pPr>
      <w:pStyle w:val="afff6"/>
    </w:pPr>
    <w:r>
      <w:rPr>
        <w:noProof/>
        <w:lang w:val="ru-RU" w:eastAsia="ru-RU"/>
      </w:rPr>
      <w:pict>
        <v:line id="Connettore 1 12" o:spid="_x0000_s2049" style="position:absolute;left:0;text-align:left;z-index:251660288;visibility:visible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<v:shadow on="t" color="black" opacity="24903f" origin=",.5" offset="0,.55556mm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14A"/>
    <w:rsid w:val="000027C0"/>
    <w:rsid w:val="000117CB"/>
    <w:rsid w:val="0003148D"/>
    <w:rsid w:val="00051D30"/>
    <w:rsid w:val="00062A9A"/>
    <w:rsid w:val="00097989"/>
    <w:rsid w:val="000A03B2"/>
    <w:rsid w:val="000C6294"/>
    <w:rsid w:val="000D34BE"/>
    <w:rsid w:val="000E36F1"/>
    <w:rsid w:val="000E3A73"/>
    <w:rsid w:val="000E414A"/>
    <w:rsid w:val="000F1325"/>
    <w:rsid w:val="000F4950"/>
    <w:rsid w:val="0013121F"/>
    <w:rsid w:val="00134DE4"/>
    <w:rsid w:val="00150E59"/>
    <w:rsid w:val="00162A78"/>
    <w:rsid w:val="00184AD6"/>
    <w:rsid w:val="001B65C1"/>
    <w:rsid w:val="001C684B"/>
    <w:rsid w:val="001D53FC"/>
    <w:rsid w:val="001E20BB"/>
    <w:rsid w:val="001E704C"/>
    <w:rsid w:val="001F2EC7"/>
    <w:rsid w:val="002065DB"/>
    <w:rsid w:val="00231041"/>
    <w:rsid w:val="002447EF"/>
    <w:rsid w:val="00251550"/>
    <w:rsid w:val="0027221A"/>
    <w:rsid w:val="00275B61"/>
    <w:rsid w:val="002D1F12"/>
    <w:rsid w:val="003009B7"/>
    <w:rsid w:val="00301CC6"/>
    <w:rsid w:val="0030469C"/>
    <w:rsid w:val="00346AB5"/>
    <w:rsid w:val="003723D4"/>
    <w:rsid w:val="003924C5"/>
    <w:rsid w:val="003A1185"/>
    <w:rsid w:val="003A7D1C"/>
    <w:rsid w:val="003B30BC"/>
    <w:rsid w:val="00430E67"/>
    <w:rsid w:val="0046164A"/>
    <w:rsid w:val="00462DCD"/>
    <w:rsid w:val="00470A05"/>
    <w:rsid w:val="00486DFE"/>
    <w:rsid w:val="004D1162"/>
    <w:rsid w:val="004E4DD6"/>
    <w:rsid w:val="004F5E36"/>
    <w:rsid w:val="004F682C"/>
    <w:rsid w:val="005119A5"/>
    <w:rsid w:val="005278B7"/>
    <w:rsid w:val="005307AC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B6A06"/>
    <w:rsid w:val="006C5579"/>
    <w:rsid w:val="00704BDF"/>
    <w:rsid w:val="00736B13"/>
    <w:rsid w:val="007447F3"/>
    <w:rsid w:val="007661C8"/>
    <w:rsid w:val="007D52CD"/>
    <w:rsid w:val="00813288"/>
    <w:rsid w:val="008168FC"/>
    <w:rsid w:val="00826AC8"/>
    <w:rsid w:val="00835550"/>
    <w:rsid w:val="008479A2"/>
    <w:rsid w:val="00854D3D"/>
    <w:rsid w:val="0087637F"/>
    <w:rsid w:val="008A1512"/>
    <w:rsid w:val="008D0BEB"/>
    <w:rsid w:val="008E566E"/>
    <w:rsid w:val="00900DC8"/>
    <w:rsid w:val="00901EB6"/>
    <w:rsid w:val="009450CE"/>
    <w:rsid w:val="0095164B"/>
    <w:rsid w:val="00992281"/>
    <w:rsid w:val="00996483"/>
    <w:rsid w:val="009A4FA3"/>
    <w:rsid w:val="009A6FD9"/>
    <w:rsid w:val="009E67CA"/>
    <w:rsid w:val="009E788A"/>
    <w:rsid w:val="00A1763D"/>
    <w:rsid w:val="00A17CEC"/>
    <w:rsid w:val="00A27EF0"/>
    <w:rsid w:val="00A76EFC"/>
    <w:rsid w:val="00A9626B"/>
    <w:rsid w:val="00A97F29"/>
    <w:rsid w:val="00AA1A2E"/>
    <w:rsid w:val="00AB028F"/>
    <w:rsid w:val="00AB0964"/>
    <w:rsid w:val="00AC6202"/>
    <w:rsid w:val="00AE377D"/>
    <w:rsid w:val="00B61DBF"/>
    <w:rsid w:val="00B724E7"/>
    <w:rsid w:val="00BC30C9"/>
    <w:rsid w:val="00BE3E58"/>
    <w:rsid w:val="00C01616"/>
    <w:rsid w:val="00C0162B"/>
    <w:rsid w:val="00C345B1"/>
    <w:rsid w:val="00C40142"/>
    <w:rsid w:val="00C56B85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3CA1"/>
    <w:rsid w:val="00E409A8"/>
    <w:rsid w:val="00E46479"/>
    <w:rsid w:val="00E7209D"/>
    <w:rsid w:val="00E92E24"/>
    <w:rsid w:val="00EA50E1"/>
    <w:rsid w:val="00EE0131"/>
    <w:rsid w:val="00F30C64"/>
    <w:rsid w:val="00F81D0E"/>
    <w:rsid w:val="00FB7197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Дата Знак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Подпись Знак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Электронная подпись Знак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Приветствие Знак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Прощание Знак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03148D"/>
    <w:rPr>
      <w:i/>
      <w:iCs/>
    </w:rPr>
  </w:style>
  <w:style w:type="paragraph" w:styleId="28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a">
    <w:name w:val="Message Header"/>
    <w:basedOn w:val="a1"/>
    <w:link w:val="afb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Шапка Знак"/>
    <w:basedOn w:val="a2"/>
    <w:link w:val="afa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c">
    <w:name w:val="Note Heading"/>
    <w:basedOn w:val="a1"/>
    <w:next w:val="a1"/>
    <w:link w:val="afd"/>
    <w:uiPriority w:val="99"/>
    <w:semiHidden/>
    <w:unhideWhenUsed/>
    <w:locked/>
    <w:rsid w:val="0003148D"/>
    <w:pPr>
      <w:spacing w:line="240" w:lineRule="auto"/>
    </w:pPr>
  </w:style>
  <w:style w:type="character" w:customStyle="1" w:styleId="afd">
    <w:name w:val="Заголовок записки Знак"/>
    <w:basedOn w:val="a2"/>
    <w:link w:val="afc"/>
    <w:uiPriority w:val="99"/>
    <w:semiHidden/>
    <w:rsid w:val="0003148D"/>
  </w:style>
  <w:style w:type="paragraph" w:styleId="afe">
    <w:name w:val="Document Map"/>
    <w:basedOn w:val="a1"/>
    <w:link w:val="aff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2"/>
    <w:link w:val="afe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f0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Красная строка Знак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03148D"/>
  </w:style>
  <w:style w:type="paragraph" w:styleId="29">
    <w:name w:val="Body Text First Indent 2"/>
    <w:basedOn w:val="aff3"/>
    <w:link w:val="2a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a">
    <w:name w:val="Красная строка 2 Знак"/>
    <w:basedOn w:val="aff4"/>
    <w:link w:val="29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b">
    <w:name w:val="Body Text Indent 2"/>
    <w:basedOn w:val="a1"/>
    <w:link w:val="2c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Текст примечания Знак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d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Текст макроса Знак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Текст Знак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Текст сноски Знак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Заголовок 1 Знак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Заголовок 2 Знак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Нижний колонтитул Знак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fffb">
    <w:name w:val="Hyperlink"/>
    <w:basedOn w:val="a2"/>
    <w:uiPriority w:val="99"/>
    <w:unhideWhenUsed/>
    <w:locked/>
    <w:rsid w:val="004F682C"/>
    <w:rPr>
      <w:color w:val="0000FF" w:themeColor="hyperlink"/>
      <w:u w:val="single"/>
    </w:rPr>
  </w:style>
  <w:style w:type="character" w:customStyle="1" w:styleId="tlid-translation">
    <w:name w:val="tlid-translation"/>
    <w:basedOn w:val="a2"/>
    <w:rsid w:val="00900DC8"/>
  </w:style>
  <w:style w:type="paragraph" w:styleId="afffc">
    <w:name w:val="List Paragraph"/>
    <w:basedOn w:val="a1"/>
    <w:uiPriority w:val="34"/>
    <w:qFormat/>
    <w:locked/>
    <w:rsid w:val="009A6FD9"/>
    <w:pPr>
      <w:ind w:left="720"/>
      <w:contextualSpacing/>
    </w:pPr>
  </w:style>
  <w:style w:type="character" w:customStyle="1" w:styleId="gt-card-ttl-txt">
    <w:name w:val="gt-card-ttl-txt"/>
    <w:basedOn w:val="a2"/>
    <w:rsid w:val="00097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iev.rufat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5B8E-D166-4C90-B4D4-846DEE06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ABI</cp:lastModifiedBy>
  <cp:revision>18</cp:revision>
  <cp:lastPrinted>2015-05-12T18:31:00Z</cp:lastPrinted>
  <dcterms:created xsi:type="dcterms:W3CDTF">2019-01-13T19:33:00Z</dcterms:created>
  <dcterms:modified xsi:type="dcterms:W3CDTF">2019-01-14T17:18:00Z</dcterms:modified>
</cp:coreProperties>
</file>