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B141C6"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Characterization of a natural isopropanol producer, </w:t>
      </w:r>
      <w:r w:rsidRPr="00B141C6">
        <w:rPr>
          <w:rFonts w:asciiTheme="minorHAnsi" w:eastAsia="MS PGothic" w:hAnsiTheme="minorHAnsi"/>
          <w:b/>
          <w:bCs/>
          <w:i/>
          <w:sz w:val="28"/>
          <w:szCs w:val="28"/>
          <w:lang w:val="en-US"/>
        </w:rPr>
        <w:t>Clostridium beijerinckii</w:t>
      </w:r>
      <w:r>
        <w:rPr>
          <w:rFonts w:asciiTheme="minorHAnsi" w:eastAsia="MS PGothic" w:hAnsiTheme="minorHAnsi"/>
          <w:b/>
          <w:bCs/>
          <w:sz w:val="28"/>
          <w:szCs w:val="28"/>
          <w:lang w:val="en-US"/>
        </w:rPr>
        <w:t xml:space="preserve"> DSM 6423, during continuous biofilm fermentation</w:t>
      </w:r>
    </w:p>
    <w:p w:rsidR="00B141C6" w:rsidRDefault="00B141C6" w:rsidP="00704BDF">
      <w:pPr>
        <w:snapToGrid w:val="0"/>
        <w:spacing w:after="120"/>
        <w:jc w:val="center"/>
        <w:rPr>
          <w:rFonts w:asciiTheme="minorHAnsi" w:eastAsia="SimSun" w:hAnsiTheme="minorHAnsi"/>
          <w:color w:val="000000"/>
          <w:sz w:val="24"/>
          <w:szCs w:val="24"/>
          <w:lang w:val="fr-FR" w:eastAsia="zh-CN"/>
        </w:rPr>
      </w:pPr>
      <w:r w:rsidRPr="00B141C6">
        <w:rPr>
          <w:rFonts w:asciiTheme="minorHAnsi" w:eastAsia="SimSun" w:hAnsiTheme="minorHAnsi"/>
          <w:color w:val="000000"/>
          <w:sz w:val="24"/>
          <w:szCs w:val="24"/>
          <w:u w:val="single"/>
          <w:lang w:val="fr-FR" w:eastAsia="zh-CN"/>
        </w:rPr>
        <w:t>Maxime</w:t>
      </w:r>
      <w:r>
        <w:rPr>
          <w:rFonts w:asciiTheme="minorHAnsi" w:eastAsia="SimSun" w:hAnsiTheme="minorHAnsi"/>
          <w:color w:val="000000"/>
          <w:sz w:val="24"/>
          <w:szCs w:val="24"/>
          <w:u w:val="single"/>
          <w:lang w:val="fr-FR" w:eastAsia="zh-CN"/>
        </w:rPr>
        <w:t xml:space="preserve"> </w:t>
      </w:r>
      <w:r w:rsidRPr="00B141C6">
        <w:rPr>
          <w:rFonts w:asciiTheme="minorHAnsi" w:eastAsia="SimSun" w:hAnsiTheme="minorHAnsi"/>
          <w:color w:val="000000"/>
          <w:sz w:val="24"/>
          <w:szCs w:val="24"/>
          <w:u w:val="single"/>
          <w:lang w:val="fr-FR" w:eastAsia="zh-CN"/>
        </w:rPr>
        <w:t>Carrie</w:t>
      </w:r>
      <w:r>
        <w:rPr>
          <w:rFonts w:asciiTheme="minorHAnsi" w:eastAsia="SimSun" w:hAnsiTheme="minorHAnsi"/>
          <w:color w:val="000000"/>
          <w:sz w:val="24"/>
          <w:szCs w:val="24"/>
          <w:u w:val="single"/>
          <w:vertAlign w:val="superscript"/>
          <w:lang w:val="fr-FR" w:eastAsia="zh-CN"/>
        </w:rPr>
        <w:t>1</w:t>
      </w:r>
      <w:r w:rsidR="00736B13" w:rsidRPr="00B141C6">
        <w:rPr>
          <w:rFonts w:asciiTheme="minorHAnsi" w:eastAsia="SimSun" w:hAnsiTheme="minorHAnsi"/>
          <w:color w:val="000000"/>
          <w:sz w:val="24"/>
          <w:szCs w:val="24"/>
          <w:lang w:val="fr-FR" w:eastAsia="zh-CN"/>
        </w:rPr>
        <w:t>,</w:t>
      </w:r>
      <w:r>
        <w:rPr>
          <w:rFonts w:asciiTheme="minorHAnsi" w:eastAsia="SimSun" w:hAnsiTheme="minorHAnsi"/>
          <w:color w:val="000000"/>
          <w:sz w:val="24"/>
          <w:szCs w:val="24"/>
          <w:lang w:val="fr-FR" w:eastAsia="zh-CN"/>
        </w:rPr>
        <w:t xml:space="preserve"> </w:t>
      </w:r>
      <w:r w:rsidRPr="00B141C6">
        <w:rPr>
          <w:rFonts w:asciiTheme="minorHAnsi" w:eastAsia="SimSun" w:hAnsiTheme="minorHAnsi"/>
          <w:color w:val="000000"/>
          <w:sz w:val="24"/>
          <w:szCs w:val="24"/>
          <w:lang w:val="fr-FR" w:eastAsia="zh-CN"/>
        </w:rPr>
        <w:t>Jean-Christophe Gabelle</w:t>
      </w:r>
      <w:r>
        <w:rPr>
          <w:rFonts w:asciiTheme="minorHAnsi" w:eastAsia="SimSun" w:hAnsiTheme="minorHAnsi"/>
          <w:color w:val="000000"/>
          <w:sz w:val="24"/>
          <w:szCs w:val="24"/>
          <w:vertAlign w:val="superscript"/>
          <w:lang w:val="fr-FR" w:eastAsia="zh-CN"/>
        </w:rPr>
        <w:t>1</w:t>
      </w:r>
      <w:r>
        <w:rPr>
          <w:rFonts w:asciiTheme="minorHAnsi" w:eastAsia="SimSun" w:hAnsiTheme="minorHAnsi"/>
          <w:color w:val="000000"/>
          <w:sz w:val="24"/>
          <w:szCs w:val="24"/>
          <w:lang w:val="fr-FR" w:eastAsia="zh-CN"/>
        </w:rPr>
        <w:t>*</w:t>
      </w:r>
      <w:r w:rsidRPr="00B141C6">
        <w:rPr>
          <w:rFonts w:asciiTheme="minorHAnsi" w:eastAsia="SimSun" w:hAnsiTheme="minorHAnsi"/>
          <w:color w:val="000000"/>
          <w:sz w:val="24"/>
          <w:szCs w:val="24"/>
          <w:lang w:val="fr-FR" w:eastAsia="zh-CN"/>
        </w:rPr>
        <w:t>, Hélène Velly</w:t>
      </w:r>
      <w:r w:rsidR="00184A32">
        <w:rPr>
          <w:rFonts w:asciiTheme="minorHAnsi" w:eastAsia="SimSun" w:hAnsiTheme="minorHAnsi"/>
          <w:color w:val="000000"/>
          <w:sz w:val="24"/>
          <w:szCs w:val="24"/>
          <w:vertAlign w:val="superscript"/>
          <w:lang w:val="fr-FR" w:eastAsia="zh-CN"/>
        </w:rPr>
        <w:t>2</w:t>
      </w:r>
      <w:r w:rsidR="00DE1691">
        <w:rPr>
          <w:rFonts w:asciiTheme="minorHAnsi" w:eastAsia="SimSun" w:hAnsiTheme="minorHAnsi"/>
          <w:color w:val="000000"/>
          <w:sz w:val="24"/>
          <w:szCs w:val="24"/>
          <w:lang w:val="fr-FR" w:eastAsia="zh-CN"/>
        </w:rPr>
        <w:t>,</w:t>
      </w:r>
      <w:r w:rsidRPr="00B141C6">
        <w:rPr>
          <w:rFonts w:asciiTheme="minorHAnsi" w:eastAsia="SimSun" w:hAnsiTheme="minorHAnsi"/>
          <w:color w:val="000000"/>
          <w:sz w:val="24"/>
          <w:szCs w:val="24"/>
          <w:lang w:val="fr-FR" w:eastAsia="zh-CN"/>
        </w:rPr>
        <w:t xml:space="preserve"> </w:t>
      </w:r>
      <w:r w:rsidR="005445F6" w:rsidRPr="00B141C6">
        <w:rPr>
          <w:rFonts w:asciiTheme="minorHAnsi" w:eastAsia="SimSun" w:hAnsiTheme="minorHAnsi"/>
          <w:color w:val="000000"/>
          <w:sz w:val="24"/>
          <w:szCs w:val="24"/>
          <w:lang w:val="fr-FR" w:eastAsia="zh-CN"/>
        </w:rPr>
        <w:t>Fadhel Ben Chabaane</w:t>
      </w:r>
      <w:r w:rsidR="005445F6">
        <w:rPr>
          <w:rFonts w:asciiTheme="minorHAnsi" w:eastAsia="SimSun" w:hAnsiTheme="minorHAnsi"/>
          <w:color w:val="000000"/>
          <w:sz w:val="24"/>
          <w:szCs w:val="24"/>
          <w:vertAlign w:val="superscript"/>
          <w:lang w:val="fr-FR" w:eastAsia="zh-CN"/>
        </w:rPr>
        <w:t>2</w:t>
      </w:r>
      <w:r w:rsidR="005445F6">
        <w:rPr>
          <w:rFonts w:asciiTheme="minorHAnsi" w:eastAsia="SimSun" w:hAnsiTheme="minorHAnsi"/>
          <w:color w:val="000000"/>
          <w:sz w:val="24"/>
          <w:szCs w:val="24"/>
          <w:lang w:val="fr-FR" w:eastAsia="zh-CN"/>
        </w:rPr>
        <w:t>,</w:t>
      </w:r>
    </w:p>
    <w:p w:rsidR="00D923C2" w:rsidRDefault="00D923C2" w:rsidP="00D923C2">
      <w:pPr>
        <w:snapToGrid w:val="0"/>
        <w:spacing w:after="120"/>
        <w:jc w:val="center"/>
        <w:rPr>
          <w:rFonts w:asciiTheme="minorHAnsi" w:eastAsia="MS PGothic" w:hAnsiTheme="minorHAnsi"/>
          <w:i/>
          <w:iCs/>
          <w:color w:val="000000"/>
          <w:sz w:val="20"/>
          <w:lang w:val="fr-FR"/>
        </w:rPr>
      </w:pPr>
      <w:r w:rsidRPr="00B21982">
        <w:rPr>
          <w:rFonts w:eastAsia="MS PGothic"/>
          <w:i/>
          <w:iCs/>
          <w:color w:val="000000"/>
          <w:sz w:val="20"/>
          <w:vertAlign w:val="superscript"/>
          <w:lang w:val="fr-FR"/>
        </w:rPr>
        <w:t>1</w:t>
      </w:r>
      <w:r w:rsidRPr="00B21982">
        <w:rPr>
          <w:rFonts w:asciiTheme="minorHAnsi" w:eastAsia="MS PGothic" w:hAnsiTheme="minorHAnsi"/>
          <w:i/>
          <w:iCs/>
          <w:color w:val="000000"/>
          <w:sz w:val="20"/>
          <w:lang w:val="fr-FR"/>
        </w:rPr>
        <w:t xml:space="preserve"> </w:t>
      </w:r>
      <w:r>
        <w:rPr>
          <w:rFonts w:asciiTheme="minorHAnsi" w:eastAsia="MS PGothic" w:hAnsiTheme="minorHAnsi"/>
          <w:i/>
          <w:iCs/>
          <w:color w:val="000000"/>
          <w:sz w:val="20"/>
          <w:lang w:val="fr-FR"/>
        </w:rPr>
        <w:t>IFP Energie Nouvelles, Rond-point de l’échangeur de Solaize, BP3, 69360 Solaize</w:t>
      </w:r>
      <w:r w:rsidRPr="00B21982">
        <w:rPr>
          <w:rFonts w:asciiTheme="minorHAnsi" w:eastAsia="MS PGothic" w:hAnsiTheme="minorHAnsi"/>
          <w:i/>
          <w:iCs/>
          <w:color w:val="000000"/>
          <w:sz w:val="20"/>
          <w:lang w:val="fr-FR"/>
        </w:rPr>
        <w:t xml:space="preserve"> </w:t>
      </w:r>
    </w:p>
    <w:p w:rsidR="00D923C2" w:rsidRPr="00201CAB" w:rsidRDefault="00D923C2" w:rsidP="00D923C2">
      <w:pPr>
        <w:snapToGrid w:val="0"/>
        <w:spacing w:after="120"/>
        <w:jc w:val="center"/>
        <w:rPr>
          <w:rFonts w:asciiTheme="minorHAnsi" w:eastAsia="MS PGothic" w:hAnsiTheme="minorHAnsi"/>
          <w:i/>
          <w:iCs/>
          <w:color w:val="000000"/>
          <w:sz w:val="20"/>
          <w:lang w:val="fr-FR"/>
        </w:rPr>
      </w:pPr>
      <w:r>
        <w:rPr>
          <w:rFonts w:asciiTheme="minorHAnsi" w:eastAsia="MS PGothic" w:hAnsiTheme="minorHAnsi"/>
          <w:i/>
          <w:iCs/>
          <w:color w:val="000000"/>
          <w:sz w:val="20"/>
          <w:vertAlign w:val="superscript"/>
          <w:lang w:val="fr-FR"/>
        </w:rPr>
        <w:t>2</w:t>
      </w:r>
      <w:r>
        <w:rPr>
          <w:rFonts w:asciiTheme="minorHAnsi" w:eastAsia="MS PGothic" w:hAnsiTheme="minorHAnsi"/>
          <w:i/>
          <w:iCs/>
          <w:color w:val="000000"/>
          <w:sz w:val="20"/>
          <w:lang w:val="fr-FR"/>
        </w:rPr>
        <w:t xml:space="preserve"> IFP Energie Nouvelles, 1 et 4 avenue de Bois préau 92852 Rueil-Malmaison.</w:t>
      </w:r>
    </w:p>
    <w:p w:rsidR="00D923C2" w:rsidRPr="005153AB" w:rsidRDefault="00D923C2" w:rsidP="00D923C2">
      <w:pPr>
        <w:snapToGrid w:val="0"/>
        <w:jc w:val="center"/>
        <w:rPr>
          <w:rFonts w:asciiTheme="minorHAnsi" w:eastAsia="MS PGothic" w:hAnsiTheme="minorHAnsi"/>
          <w:bCs/>
          <w:i/>
          <w:iCs/>
          <w:sz w:val="20"/>
          <w:lang w:val="fr-FR"/>
        </w:rPr>
      </w:pPr>
      <w:r w:rsidRPr="005153AB">
        <w:rPr>
          <w:rFonts w:asciiTheme="minorHAnsi" w:eastAsia="MS PGothic" w:hAnsiTheme="minorHAnsi"/>
          <w:bCs/>
          <w:i/>
          <w:iCs/>
          <w:color w:val="000000"/>
          <w:sz w:val="20"/>
          <w:lang w:val="fr-FR"/>
        </w:rPr>
        <w:t>*jean-christophe.gabelle@ifpen.fr</w:t>
      </w:r>
    </w:p>
    <w:p w:rsidR="00704BDF" w:rsidRPr="00D923C2" w:rsidRDefault="00704BDF" w:rsidP="00704BDF">
      <w:pPr>
        <w:pStyle w:val="AbstractHeading"/>
        <w:tabs>
          <w:tab w:val="left" w:pos="3547"/>
          <w:tab w:val="center" w:pos="4694"/>
        </w:tabs>
        <w:spacing w:before="240" w:after="0"/>
        <w:ind w:firstLine="357"/>
        <w:rPr>
          <w:rFonts w:asciiTheme="minorHAnsi" w:hAnsiTheme="minorHAnsi"/>
          <w:b/>
          <w:lang w:val="fr-FR"/>
        </w:rPr>
      </w:pPr>
      <w:proofErr w:type="spellStart"/>
      <w:r w:rsidRPr="00D923C2">
        <w:rPr>
          <w:rFonts w:asciiTheme="minorHAnsi" w:hAnsiTheme="minorHAnsi"/>
          <w:b/>
          <w:lang w:val="fr-FR"/>
        </w:rPr>
        <w:t>Highlights</w:t>
      </w:r>
      <w:proofErr w:type="spellEnd"/>
    </w:p>
    <w:p w:rsidR="00704BDF" w:rsidRPr="00B141C6" w:rsidRDefault="00B141C6" w:rsidP="00704BDF">
      <w:pPr>
        <w:pStyle w:val="AbstractBody"/>
        <w:numPr>
          <w:ilvl w:val="0"/>
          <w:numId w:val="16"/>
        </w:numPr>
        <w:rPr>
          <w:rFonts w:asciiTheme="minorHAnsi" w:hAnsiTheme="minorHAnsi" w:cstheme="minorHAnsi"/>
        </w:rPr>
      </w:pPr>
      <w:r w:rsidRPr="00B141C6">
        <w:rPr>
          <w:rFonts w:asciiTheme="minorHAnsi" w:hAnsiTheme="minorHAnsi" w:cstheme="minorHAnsi"/>
        </w:rPr>
        <w:t xml:space="preserve">Enzymatic deconstruction is performed to extract immobilized cells of </w:t>
      </w:r>
      <w:r w:rsidRPr="00B141C6">
        <w:rPr>
          <w:rFonts w:asciiTheme="minorHAnsi" w:hAnsiTheme="minorHAnsi" w:cstheme="minorHAnsi"/>
          <w:i/>
        </w:rPr>
        <w:t xml:space="preserve">Clostridium beijerinckii </w:t>
      </w:r>
      <w:r w:rsidRPr="00B141C6">
        <w:rPr>
          <w:rFonts w:asciiTheme="minorHAnsi" w:hAnsiTheme="minorHAnsi" w:cstheme="minorHAnsi"/>
        </w:rPr>
        <w:t xml:space="preserve">from their </w:t>
      </w:r>
      <w:proofErr w:type="spellStart"/>
      <w:r w:rsidRPr="00B141C6">
        <w:rPr>
          <w:rFonts w:asciiTheme="minorHAnsi" w:hAnsiTheme="minorHAnsi" w:cstheme="minorHAnsi"/>
        </w:rPr>
        <w:t>polymerous</w:t>
      </w:r>
      <w:proofErr w:type="spellEnd"/>
      <w:r w:rsidRPr="00B141C6">
        <w:rPr>
          <w:rFonts w:asciiTheme="minorHAnsi" w:hAnsiTheme="minorHAnsi" w:cstheme="minorHAnsi"/>
        </w:rPr>
        <w:t xml:space="preserve"> matrix</w:t>
      </w:r>
      <w:r w:rsidR="00704BDF" w:rsidRPr="00B141C6">
        <w:rPr>
          <w:rFonts w:asciiTheme="minorHAnsi" w:hAnsiTheme="minorHAnsi" w:cstheme="minorHAnsi"/>
        </w:rPr>
        <w:t xml:space="preserve">. </w:t>
      </w:r>
    </w:p>
    <w:p w:rsidR="00B141C6" w:rsidRPr="00B141C6" w:rsidRDefault="00B141C6" w:rsidP="00B141C6">
      <w:pPr>
        <w:pStyle w:val="Paragraphedeliste"/>
        <w:numPr>
          <w:ilvl w:val="0"/>
          <w:numId w:val="16"/>
        </w:numPr>
        <w:rPr>
          <w:rFonts w:asciiTheme="minorHAnsi" w:hAnsiTheme="minorHAnsi" w:cstheme="minorHAnsi"/>
          <w:sz w:val="20"/>
          <w:lang w:val="en-US"/>
        </w:rPr>
      </w:pPr>
      <w:r w:rsidRPr="00B141C6">
        <w:rPr>
          <w:rFonts w:asciiTheme="minorHAnsi" w:hAnsiTheme="minorHAnsi" w:cstheme="minorHAnsi"/>
          <w:sz w:val="20"/>
          <w:lang w:val="en-US"/>
        </w:rPr>
        <w:t xml:space="preserve">Viability analysis is achieved by flow cytometry </w:t>
      </w:r>
      <w:bookmarkStart w:id="0" w:name="_GoBack"/>
      <w:bookmarkEnd w:id="0"/>
    </w:p>
    <w:p w:rsidR="00704BDF" w:rsidRDefault="00B141C6" w:rsidP="00E430F6">
      <w:pPr>
        <w:pStyle w:val="Paragraphedeliste"/>
        <w:numPr>
          <w:ilvl w:val="0"/>
          <w:numId w:val="16"/>
        </w:numPr>
        <w:rPr>
          <w:sz w:val="20"/>
          <w:lang w:val="en-US"/>
        </w:rPr>
      </w:pPr>
      <w:r w:rsidRPr="00B141C6">
        <w:rPr>
          <w:rFonts w:asciiTheme="minorHAnsi" w:hAnsiTheme="minorHAnsi" w:cstheme="minorHAnsi"/>
          <w:sz w:val="20"/>
          <w:lang w:val="en-US"/>
        </w:rPr>
        <w:t>Heterogeneous viability repartition within the biofilm is assessed by confocal microscopy</w:t>
      </w:r>
      <w:r w:rsidRPr="00B141C6">
        <w:rPr>
          <w:sz w:val="20"/>
          <w:lang w:val="en-US"/>
        </w:rPr>
        <w:t>.</w:t>
      </w:r>
    </w:p>
    <w:p w:rsidR="00E430F6" w:rsidRPr="00E430F6" w:rsidRDefault="00E430F6" w:rsidP="00E430F6">
      <w:pPr>
        <w:pStyle w:val="Paragraphedeliste"/>
        <w:ind w:left="1440"/>
        <w:rPr>
          <w:sz w:val="20"/>
          <w:lang w:val="en-US"/>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B141C6" w:rsidRPr="00B141C6" w:rsidRDefault="00075893" w:rsidP="00B141C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b/>
      </w:r>
      <w:r w:rsidR="00B141C6" w:rsidRPr="00B141C6">
        <w:rPr>
          <w:rFonts w:asciiTheme="minorHAnsi" w:eastAsia="MS PGothic" w:hAnsiTheme="minorHAnsi"/>
          <w:color w:val="000000"/>
          <w:sz w:val="22"/>
          <w:szCs w:val="22"/>
          <w:lang w:val="en-US"/>
        </w:rPr>
        <w:t xml:space="preserve">Butanol and isopropanol are commonly used chemicals in the industry as solvent. They can also be employed as fuels and are mainly produced from propylene coming from </w:t>
      </w:r>
      <w:proofErr w:type="spellStart"/>
      <w:r w:rsidR="00B141C6" w:rsidRPr="00B141C6">
        <w:rPr>
          <w:rFonts w:asciiTheme="minorHAnsi" w:eastAsia="MS PGothic" w:hAnsiTheme="minorHAnsi"/>
          <w:color w:val="000000"/>
          <w:sz w:val="22"/>
          <w:szCs w:val="22"/>
          <w:lang w:val="en-US"/>
        </w:rPr>
        <w:t>petrochemistry</w:t>
      </w:r>
      <w:proofErr w:type="spellEnd"/>
      <w:r w:rsidR="00B141C6" w:rsidRPr="00B141C6">
        <w:rPr>
          <w:rFonts w:asciiTheme="minorHAnsi" w:eastAsia="MS PGothic" w:hAnsiTheme="minorHAnsi"/>
          <w:color w:val="000000"/>
          <w:sz w:val="22"/>
          <w:szCs w:val="22"/>
          <w:lang w:val="en-US"/>
        </w:rPr>
        <w:t xml:space="preserve">. To a lesser extent, an alternative </w:t>
      </w:r>
      <w:proofErr w:type="spellStart"/>
      <w:r w:rsidR="00B141C6" w:rsidRPr="00B141C6">
        <w:rPr>
          <w:rFonts w:asciiTheme="minorHAnsi" w:eastAsia="MS PGothic" w:hAnsiTheme="minorHAnsi"/>
          <w:color w:val="000000"/>
          <w:sz w:val="22"/>
          <w:szCs w:val="22"/>
          <w:lang w:val="en-US"/>
        </w:rPr>
        <w:t>bioproduction</w:t>
      </w:r>
      <w:proofErr w:type="spellEnd"/>
      <w:r w:rsidR="00B141C6" w:rsidRPr="00B141C6">
        <w:rPr>
          <w:rFonts w:asciiTheme="minorHAnsi" w:eastAsia="MS PGothic" w:hAnsiTheme="minorHAnsi"/>
          <w:color w:val="000000"/>
          <w:sz w:val="22"/>
          <w:szCs w:val="22"/>
          <w:lang w:val="en-US"/>
        </w:rPr>
        <w:t xml:space="preserve"> of Isopropanol and Butanol mixture using </w:t>
      </w:r>
      <w:proofErr w:type="spellStart"/>
      <w:r w:rsidR="00B141C6" w:rsidRPr="00B141C6">
        <w:rPr>
          <w:rFonts w:asciiTheme="minorHAnsi" w:eastAsia="MS PGothic" w:hAnsiTheme="minorHAnsi"/>
          <w:color w:val="000000"/>
          <w:sz w:val="22"/>
          <w:szCs w:val="22"/>
          <w:lang w:val="en-US"/>
        </w:rPr>
        <w:t>solventogenic</w:t>
      </w:r>
      <w:proofErr w:type="spellEnd"/>
      <w:r w:rsidR="00B141C6" w:rsidRPr="00B141C6">
        <w:rPr>
          <w:rFonts w:asciiTheme="minorHAnsi" w:eastAsia="MS PGothic" w:hAnsiTheme="minorHAnsi"/>
          <w:color w:val="000000"/>
          <w:sz w:val="22"/>
          <w:szCs w:val="22"/>
          <w:lang w:val="en-US"/>
        </w:rPr>
        <w:t xml:space="preserve"> Clostridium is also currently investigated .</w:t>
      </w:r>
    </w:p>
    <w:p w:rsidR="00B141C6" w:rsidRPr="00B141C6" w:rsidRDefault="00B141C6" w:rsidP="00B141C6">
      <w:pPr>
        <w:snapToGrid w:val="0"/>
        <w:spacing w:after="120"/>
        <w:rPr>
          <w:rFonts w:asciiTheme="minorHAnsi" w:eastAsia="MS PGothic" w:hAnsiTheme="minorHAnsi"/>
          <w:color w:val="000000"/>
          <w:sz w:val="22"/>
          <w:szCs w:val="22"/>
          <w:lang w:val="en-US"/>
        </w:rPr>
      </w:pPr>
      <w:r w:rsidRPr="00B141C6">
        <w:rPr>
          <w:rFonts w:asciiTheme="minorHAnsi" w:eastAsia="MS PGothic" w:hAnsiTheme="minorHAnsi"/>
          <w:color w:val="000000"/>
          <w:sz w:val="22"/>
          <w:szCs w:val="22"/>
          <w:lang w:val="en-US"/>
        </w:rPr>
        <w:t>However, this fermentation process is not used at an industrial scale because of low productivity and low solvent yield and titer due to butanol toxicity of classical batch or continuous processes. To overcome this issue, continuous fermentation using immobilized cells on a carrier is currently employed at a laboratory scale. This system allow</w:t>
      </w:r>
      <w:r w:rsidR="009740F3">
        <w:rPr>
          <w:rFonts w:asciiTheme="minorHAnsi" w:eastAsia="MS PGothic" w:hAnsiTheme="minorHAnsi"/>
          <w:color w:val="000000"/>
          <w:sz w:val="22"/>
          <w:szCs w:val="22"/>
          <w:lang w:val="en-US"/>
        </w:rPr>
        <w:t>s</w:t>
      </w:r>
      <w:r w:rsidRPr="00B141C6">
        <w:rPr>
          <w:rFonts w:asciiTheme="minorHAnsi" w:eastAsia="MS PGothic" w:hAnsiTheme="minorHAnsi"/>
          <w:color w:val="000000"/>
          <w:sz w:val="22"/>
          <w:szCs w:val="22"/>
          <w:lang w:val="en-US"/>
        </w:rPr>
        <w:t xml:space="preserve"> th</w:t>
      </w:r>
      <w:r w:rsidR="005445F6">
        <w:rPr>
          <w:rFonts w:asciiTheme="minorHAnsi" w:eastAsia="MS PGothic" w:hAnsiTheme="minorHAnsi"/>
          <w:color w:val="000000"/>
          <w:sz w:val="22"/>
          <w:szCs w:val="22"/>
          <w:lang w:val="en-US"/>
        </w:rPr>
        <w:t>e continuous removal of butanol</w:t>
      </w:r>
      <w:r w:rsidRPr="00B141C6">
        <w:rPr>
          <w:rFonts w:asciiTheme="minorHAnsi" w:eastAsia="MS PGothic" w:hAnsiTheme="minorHAnsi"/>
          <w:color w:val="000000"/>
          <w:sz w:val="22"/>
          <w:szCs w:val="22"/>
          <w:lang w:val="en-US"/>
        </w:rPr>
        <w:t>, can be operated at high dilution rate without causing cell washout, and give</w:t>
      </w:r>
      <w:r w:rsidR="009740F3">
        <w:rPr>
          <w:rFonts w:asciiTheme="minorHAnsi" w:eastAsia="MS PGothic" w:hAnsiTheme="minorHAnsi"/>
          <w:color w:val="000000"/>
          <w:sz w:val="22"/>
          <w:szCs w:val="22"/>
          <w:lang w:val="en-US"/>
        </w:rPr>
        <w:t>s</w:t>
      </w:r>
      <w:r w:rsidRPr="00B141C6">
        <w:rPr>
          <w:rFonts w:asciiTheme="minorHAnsi" w:eastAsia="MS PGothic" w:hAnsiTheme="minorHAnsi"/>
          <w:color w:val="000000"/>
          <w:sz w:val="22"/>
          <w:szCs w:val="22"/>
          <w:lang w:val="en-US"/>
        </w:rPr>
        <w:t xml:space="preserve"> high productivity (4 g.L</w:t>
      </w:r>
      <w:r w:rsidRPr="00075893">
        <w:rPr>
          <w:rFonts w:asciiTheme="minorHAnsi" w:eastAsia="MS PGothic" w:hAnsiTheme="minorHAnsi"/>
          <w:color w:val="000000"/>
          <w:sz w:val="22"/>
          <w:szCs w:val="22"/>
          <w:vertAlign w:val="superscript"/>
          <w:lang w:val="en-US"/>
        </w:rPr>
        <w:t>-1</w:t>
      </w:r>
      <w:r w:rsidRPr="00B141C6">
        <w:rPr>
          <w:rFonts w:asciiTheme="minorHAnsi" w:eastAsia="MS PGothic" w:hAnsiTheme="minorHAnsi"/>
          <w:color w:val="000000"/>
          <w:sz w:val="22"/>
          <w:szCs w:val="22"/>
          <w:lang w:val="en-US"/>
        </w:rPr>
        <w:t>.h</w:t>
      </w:r>
      <w:r w:rsidRPr="00075893">
        <w:rPr>
          <w:rFonts w:asciiTheme="minorHAnsi" w:eastAsia="MS PGothic" w:hAnsiTheme="minorHAnsi"/>
          <w:color w:val="000000"/>
          <w:sz w:val="22"/>
          <w:szCs w:val="22"/>
          <w:vertAlign w:val="superscript"/>
          <w:lang w:val="en-US"/>
        </w:rPr>
        <w:t>-1</w:t>
      </w:r>
      <w:r w:rsidR="00075893">
        <w:rPr>
          <w:rFonts w:asciiTheme="minorHAnsi" w:eastAsia="MS PGothic" w:hAnsiTheme="minorHAnsi"/>
          <w:color w:val="000000"/>
          <w:sz w:val="22"/>
          <w:szCs w:val="22"/>
          <w:lang w:val="en-US"/>
        </w:rPr>
        <w:t xml:space="preserve">) </w:t>
      </w:r>
      <w:r w:rsidRPr="00075893">
        <w:rPr>
          <w:rFonts w:asciiTheme="minorHAnsi" w:eastAsia="MS PGothic" w:hAnsiTheme="minorHAnsi"/>
          <w:color w:val="000000"/>
          <w:sz w:val="22"/>
          <w:szCs w:val="22"/>
          <w:vertAlign w:val="superscript"/>
          <w:lang w:val="en-US"/>
        </w:rPr>
        <w:t>1</w:t>
      </w:r>
      <w:r w:rsidRPr="00B141C6">
        <w:rPr>
          <w:rFonts w:asciiTheme="minorHAnsi" w:eastAsia="MS PGothic" w:hAnsiTheme="minorHAnsi"/>
          <w:color w:val="000000"/>
          <w:sz w:val="22"/>
          <w:szCs w:val="22"/>
          <w:lang w:val="en-US"/>
        </w:rPr>
        <w:t>.</w:t>
      </w:r>
    </w:p>
    <w:p w:rsidR="00B141C6" w:rsidRPr="00B141C6" w:rsidRDefault="00B141C6" w:rsidP="00B141C6">
      <w:pPr>
        <w:snapToGrid w:val="0"/>
        <w:spacing w:after="120"/>
        <w:rPr>
          <w:rFonts w:asciiTheme="minorHAnsi" w:eastAsia="MS PGothic" w:hAnsiTheme="minorHAnsi"/>
          <w:color w:val="000000"/>
          <w:sz w:val="22"/>
          <w:szCs w:val="22"/>
          <w:lang w:val="en-US"/>
        </w:rPr>
      </w:pPr>
      <w:r w:rsidRPr="00B141C6">
        <w:rPr>
          <w:rFonts w:asciiTheme="minorHAnsi" w:eastAsia="MS PGothic" w:hAnsiTheme="minorHAnsi"/>
          <w:color w:val="000000"/>
          <w:sz w:val="22"/>
          <w:szCs w:val="22"/>
          <w:lang w:val="en-US"/>
        </w:rPr>
        <w:t xml:space="preserve">During immobilized cell fermentation, bacteria adhere to the solid and form a structure called biofilm. This biofilm is composed of cells trapped into a gel-like matrix made from a mix of polysaccharides, proteins and extracellular DNA </w:t>
      </w:r>
      <w:r w:rsidRPr="00075893">
        <w:rPr>
          <w:rFonts w:asciiTheme="minorHAnsi" w:eastAsia="MS PGothic" w:hAnsiTheme="minorHAnsi"/>
          <w:color w:val="000000"/>
          <w:sz w:val="22"/>
          <w:szCs w:val="22"/>
          <w:vertAlign w:val="superscript"/>
          <w:lang w:val="en-US"/>
        </w:rPr>
        <w:t>2</w:t>
      </w:r>
      <w:r w:rsidRPr="00B141C6">
        <w:rPr>
          <w:rFonts w:asciiTheme="minorHAnsi" w:eastAsia="MS PGothic" w:hAnsiTheme="minorHAnsi"/>
          <w:color w:val="000000"/>
          <w:sz w:val="22"/>
          <w:szCs w:val="22"/>
          <w:lang w:val="en-US"/>
        </w:rPr>
        <w:t>. But the scale-up of an immobilized fermentation system is not easy as bacterial adhesion or biofilm growth and evolution are not well known</w:t>
      </w:r>
      <w:r w:rsidR="00075893">
        <w:rPr>
          <w:rFonts w:asciiTheme="minorHAnsi" w:eastAsia="MS PGothic" w:hAnsiTheme="minorHAnsi"/>
          <w:color w:val="000000"/>
          <w:sz w:val="22"/>
          <w:szCs w:val="22"/>
          <w:lang w:val="en-US"/>
        </w:rPr>
        <w:t xml:space="preserve"> </w:t>
      </w:r>
      <w:r w:rsidRPr="00075893">
        <w:rPr>
          <w:rFonts w:asciiTheme="minorHAnsi" w:eastAsia="MS PGothic" w:hAnsiTheme="minorHAnsi"/>
          <w:color w:val="000000"/>
          <w:sz w:val="22"/>
          <w:szCs w:val="22"/>
          <w:vertAlign w:val="superscript"/>
          <w:lang w:val="en-US"/>
        </w:rPr>
        <w:t>3</w:t>
      </w:r>
      <w:r w:rsidRPr="00B141C6">
        <w:rPr>
          <w:rFonts w:asciiTheme="minorHAnsi" w:eastAsia="MS PGothic" w:hAnsiTheme="minorHAnsi"/>
          <w:color w:val="000000"/>
          <w:sz w:val="22"/>
          <w:szCs w:val="22"/>
          <w:lang w:val="en-US"/>
        </w:rPr>
        <w:t>. This study focus</w:t>
      </w:r>
      <w:r w:rsidR="009740F3">
        <w:rPr>
          <w:rFonts w:asciiTheme="minorHAnsi" w:eastAsia="MS PGothic" w:hAnsiTheme="minorHAnsi"/>
          <w:color w:val="000000"/>
          <w:sz w:val="22"/>
          <w:szCs w:val="22"/>
          <w:lang w:val="en-US"/>
        </w:rPr>
        <w:t>es</w:t>
      </w:r>
      <w:r w:rsidRPr="00B141C6">
        <w:rPr>
          <w:rFonts w:asciiTheme="minorHAnsi" w:eastAsia="MS PGothic" w:hAnsiTheme="minorHAnsi"/>
          <w:color w:val="000000"/>
          <w:sz w:val="22"/>
          <w:szCs w:val="22"/>
          <w:lang w:val="en-US"/>
        </w:rPr>
        <w:t xml:space="preserve"> on cells viability assessment during IBE immobilized fermentation.</w:t>
      </w:r>
    </w:p>
    <w:p w:rsidR="00075893" w:rsidRDefault="00B141C6" w:rsidP="00075893">
      <w:pPr>
        <w:snapToGrid w:val="0"/>
        <w:spacing w:after="120"/>
        <w:rPr>
          <w:rFonts w:asciiTheme="minorHAnsi" w:eastAsia="MS PGothic" w:hAnsiTheme="minorHAnsi"/>
          <w:color w:val="000000"/>
          <w:sz w:val="22"/>
          <w:szCs w:val="22"/>
          <w:lang w:val="en-US"/>
        </w:rPr>
      </w:pPr>
      <w:r w:rsidRPr="00B141C6">
        <w:rPr>
          <w:rFonts w:asciiTheme="minorHAnsi" w:eastAsia="MS PGothic" w:hAnsiTheme="minorHAnsi"/>
          <w:color w:val="000000"/>
          <w:sz w:val="22"/>
          <w:szCs w:val="22"/>
          <w:lang w:val="en-US"/>
        </w:rPr>
        <w:t>Firstly, confocal microscopy is used to show the cells repartition within the biofilm according to their viability. Then a sequential enzymatic lysis of the biofilm matrix coupled to flow cytometry analysis gave us information about physiological state of both sessile and planktonic cells during continuous fermentation.</w:t>
      </w:r>
    </w:p>
    <w:p w:rsidR="00704BDF" w:rsidRPr="008D0BEB" w:rsidRDefault="00704BDF" w:rsidP="00075893">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075893" w:rsidRPr="00075893" w:rsidRDefault="00075893" w:rsidP="00075893">
      <w:pPr>
        <w:snapToGrid w:val="0"/>
        <w:spacing w:before="240" w:line="300" w:lineRule="auto"/>
        <w:rPr>
          <w:rFonts w:asciiTheme="minorHAnsi" w:eastAsia="MS PGothic" w:hAnsiTheme="minorHAnsi" w:cstheme="minorHAnsi"/>
          <w:bCs/>
          <w:color w:val="000000"/>
          <w:sz w:val="22"/>
          <w:szCs w:val="22"/>
          <w:lang w:val="en-US"/>
        </w:rPr>
      </w:pPr>
      <w:r w:rsidRPr="00075893">
        <w:rPr>
          <w:rFonts w:asciiTheme="minorHAnsi" w:eastAsia="MS PGothic" w:hAnsiTheme="minorHAnsi" w:cstheme="minorHAnsi"/>
          <w:bCs/>
          <w:color w:val="000000"/>
          <w:sz w:val="22"/>
          <w:szCs w:val="22"/>
          <w:lang w:val="en-US"/>
        </w:rPr>
        <w:lastRenderedPageBreak/>
        <w:t>Four screw scrap bottles, fill with the immobilization carrier, were used as reactors. The system was operated in continuous mode at an useful volume of 80mL. The analysis were performed by scarifying each reactor at different fermentation time.</w:t>
      </w:r>
    </w:p>
    <w:p w:rsidR="00075893" w:rsidRPr="00075893" w:rsidRDefault="00075893" w:rsidP="00075893">
      <w:pPr>
        <w:snapToGrid w:val="0"/>
        <w:spacing w:before="240" w:line="300" w:lineRule="auto"/>
        <w:rPr>
          <w:rFonts w:asciiTheme="minorHAnsi" w:eastAsia="MS PGothic" w:hAnsiTheme="minorHAnsi" w:cstheme="minorHAnsi"/>
          <w:bCs/>
          <w:color w:val="000000"/>
          <w:sz w:val="22"/>
          <w:szCs w:val="22"/>
          <w:lang w:val="en-US"/>
        </w:rPr>
      </w:pPr>
      <w:r w:rsidRPr="00075893">
        <w:rPr>
          <w:rFonts w:asciiTheme="minorHAnsi" w:eastAsia="MS PGothic" w:hAnsiTheme="minorHAnsi" w:cstheme="minorHAnsi"/>
          <w:bCs/>
          <w:color w:val="000000"/>
          <w:sz w:val="22"/>
          <w:szCs w:val="22"/>
          <w:lang w:val="en-US"/>
        </w:rPr>
        <w:t xml:space="preserve">After staining with a mix of </w:t>
      </w:r>
      <w:proofErr w:type="spellStart"/>
      <w:r w:rsidRPr="00075893">
        <w:rPr>
          <w:rFonts w:asciiTheme="minorHAnsi" w:eastAsia="MS PGothic" w:hAnsiTheme="minorHAnsi" w:cstheme="minorHAnsi"/>
          <w:bCs/>
          <w:color w:val="000000"/>
          <w:sz w:val="22"/>
          <w:szCs w:val="22"/>
          <w:lang w:val="en-US"/>
        </w:rPr>
        <w:t>carboxy</w:t>
      </w:r>
      <w:proofErr w:type="spellEnd"/>
      <w:r w:rsidRPr="00075893">
        <w:rPr>
          <w:rFonts w:asciiTheme="minorHAnsi" w:eastAsia="MS PGothic" w:hAnsiTheme="minorHAnsi" w:cstheme="minorHAnsi"/>
          <w:bCs/>
          <w:color w:val="000000"/>
          <w:sz w:val="22"/>
          <w:szCs w:val="22"/>
          <w:lang w:val="en-US"/>
        </w:rPr>
        <w:t xml:space="preserve"> </w:t>
      </w:r>
      <w:proofErr w:type="spellStart"/>
      <w:r w:rsidRPr="00075893">
        <w:rPr>
          <w:rFonts w:asciiTheme="minorHAnsi" w:eastAsia="MS PGothic" w:hAnsiTheme="minorHAnsi" w:cstheme="minorHAnsi"/>
          <w:bCs/>
          <w:color w:val="000000"/>
          <w:sz w:val="22"/>
          <w:szCs w:val="22"/>
          <w:lang w:val="en-US"/>
        </w:rPr>
        <w:t>fluorodesceine</w:t>
      </w:r>
      <w:proofErr w:type="spellEnd"/>
      <w:r w:rsidRPr="00075893">
        <w:rPr>
          <w:rFonts w:asciiTheme="minorHAnsi" w:eastAsia="MS PGothic" w:hAnsiTheme="minorHAnsi" w:cstheme="minorHAnsi"/>
          <w:bCs/>
          <w:color w:val="000000"/>
          <w:sz w:val="22"/>
          <w:szCs w:val="22"/>
          <w:lang w:val="en-US"/>
        </w:rPr>
        <w:t xml:space="preserve"> </w:t>
      </w:r>
      <w:proofErr w:type="spellStart"/>
      <w:r w:rsidRPr="00075893">
        <w:rPr>
          <w:rFonts w:asciiTheme="minorHAnsi" w:eastAsia="MS PGothic" w:hAnsiTheme="minorHAnsi" w:cstheme="minorHAnsi"/>
          <w:bCs/>
          <w:color w:val="000000"/>
          <w:sz w:val="22"/>
          <w:szCs w:val="22"/>
          <w:lang w:val="en-US"/>
        </w:rPr>
        <w:t>diacetate</w:t>
      </w:r>
      <w:proofErr w:type="spellEnd"/>
      <w:r w:rsidRPr="00075893">
        <w:rPr>
          <w:rFonts w:asciiTheme="minorHAnsi" w:eastAsia="MS PGothic" w:hAnsiTheme="minorHAnsi" w:cstheme="minorHAnsi"/>
          <w:bCs/>
          <w:color w:val="000000"/>
          <w:sz w:val="22"/>
          <w:szCs w:val="22"/>
          <w:lang w:val="en-US"/>
        </w:rPr>
        <w:t xml:space="preserve"> [</w:t>
      </w:r>
      <w:proofErr w:type="spellStart"/>
      <w:r w:rsidRPr="00075893">
        <w:rPr>
          <w:rFonts w:asciiTheme="minorHAnsi" w:eastAsia="MS PGothic" w:hAnsiTheme="minorHAnsi" w:cstheme="minorHAnsi"/>
          <w:bCs/>
          <w:color w:val="000000"/>
          <w:sz w:val="22"/>
          <w:szCs w:val="22"/>
          <w:lang w:val="en-US"/>
        </w:rPr>
        <w:t>cFDA</w:t>
      </w:r>
      <w:proofErr w:type="spellEnd"/>
      <w:r w:rsidRPr="00075893">
        <w:rPr>
          <w:rFonts w:asciiTheme="minorHAnsi" w:eastAsia="MS PGothic" w:hAnsiTheme="minorHAnsi" w:cstheme="minorHAnsi"/>
          <w:bCs/>
          <w:color w:val="000000"/>
          <w:sz w:val="22"/>
          <w:szCs w:val="22"/>
          <w:lang w:val="en-US"/>
        </w:rPr>
        <w:t xml:space="preserve">] and </w:t>
      </w:r>
      <w:proofErr w:type="spellStart"/>
      <w:r w:rsidRPr="00075893">
        <w:rPr>
          <w:rFonts w:asciiTheme="minorHAnsi" w:eastAsia="MS PGothic" w:hAnsiTheme="minorHAnsi" w:cstheme="minorHAnsi"/>
          <w:bCs/>
          <w:color w:val="000000"/>
          <w:sz w:val="22"/>
          <w:szCs w:val="22"/>
          <w:lang w:val="en-US"/>
        </w:rPr>
        <w:t>propidium</w:t>
      </w:r>
      <w:proofErr w:type="spellEnd"/>
      <w:r w:rsidRPr="00075893">
        <w:rPr>
          <w:rFonts w:asciiTheme="minorHAnsi" w:eastAsia="MS PGothic" w:hAnsiTheme="minorHAnsi" w:cstheme="minorHAnsi"/>
          <w:bCs/>
          <w:color w:val="000000"/>
          <w:sz w:val="22"/>
          <w:szCs w:val="22"/>
          <w:lang w:val="en-US"/>
        </w:rPr>
        <w:t xml:space="preserve"> iodide [PI], the level of viability of the </w:t>
      </w:r>
      <w:r w:rsidRPr="00075893">
        <w:rPr>
          <w:rFonts w:asciiTheme="minorHAnsi" w:eastAsia="MS PGothic" w:hAnsiTheme="minorHAnsi" w:cstheme="minorHAnsi"/>
          <w:bCs/>
          <w:i/>
          <w:color w:val="000000"/>
          <w:sz w:val="22"/>
          <w:szCs w:val="22"/>
          <w:lang w:val="en-US"/>
        </w:rPr>
        <w:t>Clostridium</w:t>
      </w:r>
      <w:r w:rsidRPr="00075893">
        <w:rPr>
          <w:rFonts w:asciiTheme="minorHAnsi" w:eastAsia="MS PGothic" w:hAnsiTheme="minorHAnsi" w:cstheme="minorHAnsi"/>
          <w:bCs/>
          <w:color w:val="000000"/>
          <w:sz w:val="22"/>
          <w:szCs w:val="22"/>
          <w:lang w:val="en-US"/>
        </w:rPr>
        <w:t xml:space="preserve"> cells were </w:t>
      </w:r>
      <w:proofErr w:type="spellStart"/>
      <w:r w:rsidRPr="00075893">
        <w:rPr>
          <w:rFonts w:asciiTheme="minorHAnsi" w:eastAsia="MS PGothic" w:hAnsiTheme="minorHAnsi" w:cstheme="minorHAnsi"/>
          <w:bCs/>
          <w:color w:val="000000"/>
          <w:sz w:val="22"/>
          <w:szCs w:val="22"/>
          <w:lang w:val="en-US"/>
        </w:rPr>
        <w:t>analysed</w:t>
      </w:r>
      <w:proofErr w:type="spellEnd"/>
      <w:r w:rsidRPr="00075893">
        <w:rPr>
          <w:rFonts w:asciiTheme="minorHAnsi" w:eastAsia="MS PGothic" w:hAnsiTheme="minorHAnsi" w:cstheme="minorHAnsi"/>
          <w:bCs/>
          <w:color w:val="000000"/>
          <w:sz w:val="22"/>
          <w:szCs w:val="22"/>
          <w:lang w:val="en-US"/>
        </w:rPr>
        <w:t xml:space="preserve"> by flow cytometry (</w:t>
      </w:r>
      <w:proofErr w:type="spellStart"/>
      <w:r w:rsidRPr="00075893">
        <w:rPr>
          <w:rFonts w:asciiTheme="minorHAnsi" w:eastAsia="MS PGothic" w:hAnsiTheme="minorHAnsi" w:cstheme="minorHAnsi"/>
          <w:bCs/>
          <w:color w:val="000000"/>
          <w:sz w:val="22"/>
          <w:szCs w:val="22"/>
          <w:lang w:val="en-US"/>
        </w:rPr>
        <w:t>Cyflow</w:t>
      </w:r>
      <w:proofErr w:type="spellEnd"/>
      <w:r w:rsidRPr="00075893">
        <w:rPr>
          <w:rFonts w:asciiTheme="minorHAnsi" w:eastAsia="MS PGothic" w:hAnsiTheme="minorHAnsi" w:cstheme="minorHAnsi"/>
          <w:bCs/>
          <w:color w:val="000000"/>
          <w:sz w:val="22"/>
          <w:szCs w:val="22"/>
          <w:lang w:val="en-US"/>
        </w:rPr>
        <w:t xml:space="preserve"> Space, </w:t>
      </w:r>
      <w:proofErr w:type="spellStart"/>
      <w:r w:rsidRPr="00075893">
        <w:rPr>
          <w:rFonts w:asciiTheme="minorHAnsi" w:eastAsia="MS PGothic" w:hAnsiTheme="minorHAnsi" w:cstheme="minorHAnsi"/>
          <w:bCs/>
          <w:color w:val="000000"/>
          <w:sz w:val="22"/>
          <w:szCs w:val="22"/>
          <w:lang w:val="en-US"/>
        </w:rPr>
        <w:t>Sysmex</w:t>
      </w:r>
      <w:proofErr w:type="spellEnd"/>
      <w:r w:rsidRPr="00075893">
        <w:rPr>
          <w:rFonts w:asciiTheme="minorHAnsi" w:eastAsia="MS PGothic" w:hAnsiTheme="minorHAnsi" w:cstheme="minorHAnsi"/>
          <w:bCs/>
          <w:color w:val="000000"/>
          <w:sz w:val="22"/>
          <w:szCs w:val="22"/>
          <w:lang w:val="en-US"/>
        </w:rPr>
        <w:t>).</w:t>
      </w:r>
    </w:p>
    <w:p w:rsidR="00075893" w:rsidRPr="00075893" w:rsidRDefault="00075893" w:rsidP="00075893">
      <w:pPr>
        <w:snapToGrid w:val="0"/>
        <w:spacing w:before="240" w:line="300" w:lineRule="auto"/>
        <w:rPr>
          <w:rFonts w:asciiTheme="minorHAnsi" w:eastAsia="MS PGothic" w:hAnsiTheme="minorHAnsi" w:cstheme="minorHAnsi"/>
          <w:bCs/>
          <w:color w:val="000000"/>
          <w:sz w:val="22"/>
          <w:szCs w:val="22"/>
          <w:lang w:val="en-US"/>
        </w:rPr>
      </w:pPr>
      <w:r w:rsidRPr="00075893">
        <w:rPr>
          <w:rFonts w:asciiTheme="minorHAnsi" w:eastAsia="MS PGothic" w:hAnsiTheme="minorHAnsi" w:cstheme="minorHAnsi"/>
          <w:bCs/>
          <w:color w:val="000000"/>
          <w:sz w:val="22"/>
          <w:szCs w:val="22"/>
          <w:lang w:val="en-US"/>
        </w:rPr>
        <w:t xml:space="preserve">For confocal analysis, the carriers has been removed from the system and gently washed with deionized sterile water to remove planktonic cells attached to the biofilm. Then the carriers were put into staining solution containing </w:t>
      </w:r>
      <w:proofErr w:type="spellStart"/>
      <w:r w:rsidRPr="00075893">
        <w:rPr>
          <w:rFonts w:asciiTheme="minorHAnsi" w:eastAsia="MS PGothic" w:hAnsiTheme="minorHAnsi" w:cstheme="minorHAnsi"/>
          <w:bCs/>
          <w:color w:val="000000"/>
          <w:sz w:val="22"/>
          <w:szCs w:val="22"/>
          <w:lang w:val="en-US"/>
        </w:rPr>
        <w:t>propidium</w:t>
      </w:r>
      <w:proofErr w:type="spellEnd"/>
      <w:r w:rsidRPr="00075893">
        <w:rPr>
          <w:rFonts w:asciiTheme="minorHAnsi" w:eastAsia="MS PGothic" w:hAnsiTheme="minorHAnsi" w:cstheme="minorHAnsi"/>
          <w:bCs/>
          <w:color w:val="000000"/>
          <w:sz w:val="22"/>
          <w:szCs w:val="22"/>
          <w:lang w:val="en-US"/>
        </w:rPr>
        <w:t xml:space="preserve"> iodide and </w:t>
      </w:r>
      <w:proofErr w:type="spellStart"/>
      <w:r w:rsidRPr="00075893">
        <w:rPr>
          <w:rFonts w:asciiTheme="minorHAnsi" w:eastAsia="MS PGothic" w:hAnsiTheme="minorHAnsi" w:cstheme="minorHAnsi"/>
          <w:bCs/>
          <w:color w:val="000000"/>
          <w:sz w:val="22"/>
          <w:szCs w:val="22"/>
          <w:lang w:val="en-US"/>
        </w:rPr>
        <w:t>syto</w:t>
      </w:r>
      <w:proofErr w:type="spellEnd"/>
      <w:r w:rsidRPr="00075893">
        <w:rPr>
          <w:rFonts w:asciiTheme="minorHAnsi" w:eastAsia="MS PGothic" w:hAnsiTheme="minorHAnsi" w:cstheme="minorHAnsi"/>
          <w:bCs/>
          <w:color w:val="000000"/>
          <w:sz w:val="22"/>
          <w:szCs w:val="22"/>
          <w:lang w:val="en-US"/>
        </w:rPr>
        <w:t xml:space="preserve"> 9. After staining the carriers were </w:t>
      </w:r>
      <w:proofErr w:type="spellStart"/>
      <w:r w:rsidRPr="00075893">
        <w:rPr>
          <w:rFonts w:asciiTheme="minorHAnsi" w:eastAsia="MS PGothic" w:hAnsiTheme="minorHAnsi" w:cstheme="minorHAnsi"/>
          <w:bCs/>
          <w:color w:val="000000"/>
          <w:sz w:val="22"/>
          <w:szCs w:val="22"/>
          <w:lang w:val="en-US"/>
        </w:rPr>
        <w:t>plonged</w:t>
      </w:r>
      <w:proofErr w:type="spellEnd"/>
      <w:r w:rsidRPr="00075893">
        <w:rPr>
          <w:rFonts w:asciiTheme="minorHAnsi" w:eastAsia="MS PGothic" w:hAnsiTheme="minorHAnsi" w:cstheme="minorHAnsi"/>
          <w:bCs/>
          <w:color w:val="000000"/>
          <w:sz w:val="22"/>
          <w:szCs w:val="22"/>
          <w:lang w:val="en-US"/>
        </w:rPr>
        <w:t xml:space="preserve"> into PFA solution and then observed under a Zeiss LSM800 confocal laser microscope.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075893" w:rsidRPr="00075893" w:rsidRDefault="00075893" w:rsidP="00075893">
      <w:pPr>
        <w:snapToGrid w:val="0"/>
        <w:spacing w:after="120"/>
        <w:rPr>
          <w:rFonts w:asciiTheme="minorHAnsi" w:eastAsia="MS PGothic" w:hAnsiTheme="minorHAnsi" w:cstheme="minorHAnsi"/>
          <w:color w:val="000000"/>
          <w:sz w:val="22"/>
          <w:lang w:val="en-US"/>
        </w:rPr>
      </w:pPr>
      <w:r w:rsidRPr="00075893">
        <w:rPr>
          <w:rFonts w:asciiTheme="minorHAnsi" w:eastAsia="MS PGothic" w:hAnsiTheme="minorHAnsi" w:cstheme="minorHAnsi"/>
          <w:color w:val="000000"/>
          <w:sz w:val="22"/>
          <w:lang w:val="en-US"/>
        </w:rPr>
        <w:t>Flow cytometry, showed that enzymatic deconstruction using sequentially Dnase and protease are able to extract cells from the biofilm without altering their viability. Using this method, the percentages of viable planktonic and sessile cells follow similar patterns during fermentation. However the amounts of viable sessile cells on the carriers are less important than the planktonic one. Using confocal microscopy, heterogeneity of viability is observed within the biofilm. Those observations also helped us to describe qualitatively the growth of the biofilm inside the foam during continuous fermentation.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075893" w:rsidRPr="003667DC" w:rsidRDefault="00075893" w:rsidP="00075893">
      <w:pPr>
        <w:pStyle w:val="CitaviBibliographyHeading"/>
        <w:jc w:val="both"/>
        <w:rPr>
          <w:lang w:eastAsia="zh-CN"/>
        </w:rPr>
      </w:pPr>
      <w:r>
        <w:rPr>
          <w:lang w:eastAsia="zh-CN"/>
        </w:rPr>
        <w:t>In this study, two methods w</w:t>
      </w:r>
      <w:r w:rsidR="009740F3">
        <w:rPr>
          <w:lang w:eastAsia="zh-CN"/>
        </w:rPr>
        <w:t>ere</w:t>
      </w:r>
      <w:r>
        <w:rPr>
          <w:lang w:eastAsia="zh-CN"/>
        </w:rPr>
        <w:t xml:space="preserve"> validated in order to evaluate the physiological state of </w:t>
      </w:r>
      <w:r>
        <w:rPr>
          <w:i/>
          <w:lang w:eastAsia="zh-CN"/>
        </w:rPr>
        <w:t>C.</w:t>
      </w:r>
      <w:r w:rsidRPr="003667DC">
        <w:rPr>
          <w:i/>
          <w:lang w:eastAsia="zh-CN"/>
        </w:rPr>
        <w:t xml:space="preserve"> beijerinckii</w:t>
      </w:r>
      <w:r>
        <w:rPr>
          <w:lang w:eastAsia="zh-CN"/>
        </w:rPr>
        <w:t xml:space="preserve"> cells during continuous fermentation of immobilized cells. Other parameters of cell viability, such as membrane fluidity or polarization, may complement this analysis in the future. In addition, cell viability analysis using confocal microscopy highlight a high heterogeneity within the biofilm but need some improvement in order to better identified solvent producing cells in the biofilm. </w:t>
      </w:r>
    </w:p>
    <w:p w:rsidR="00A86253" w:rsidRPr="00A86253" w:rsidRDefault="00A86253" w:rsidP="00A86253">
      <w:pPr>
        <w:pStyle w:val="CitaviBibliographyHeading"/>
        <w:rPr>
          <w:b/>
          <w:sz w:val="20"/>
        </w:rPr>
      </w:pPr>
      <w:r w:rsidRPr="00A86253">
        <w:rPr>
          <w:sz w:val="20"/>
        </w:rPr>
        <w:fldChar w:fldCharType="begin"/>
      </w:r>
      <w:r w:rsidRPr="00A86253">
        <w:rPr>
          <w:sz w:val="20"/>
        </w:rPr>
        <w:instrText>ADDIN CITAVI.BIBLIOGRAPHY PD94bWwgdmVyc2lvbj0iMS4wIiBlbmNvZGluZz0idXRmLTE2Ij8+PEJpYmxpb2dyYXBoeT48QWRkSW5WZXJzaW9uPjUuMy4xLjA8L0FkZEluVmVyc2lvbj48SWQ+MDQ2MTZjZDItY2Q3Zi00MGU1LWJlMjAtMmUwMzZmYzBlYTFj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4x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</w:instrText>
      </w:r>
      <w:r w:rsidRPr="00A86253">
        <w:rPr>
          <w:sz w:val="20"/>
        </w:rPr>
        <w:fldChar w:fldCharType="separate"/>
      </w:r>
      <w:bookmarkStart w:id="1" w:name="_CTVBIBLIOGRAPHY1"/>
      <w:bookmarkEnd w:id="1"/>
      <w:r w:rsidRPr="00A86253">
        <w:rPr>
          <w:b/>
          <w:sz w:val="20"/>
        </w:rPr>
        <w:t>References</w:t>
      </w:r>
    </w:p>
    <w:p w:rsidR="00A86253" w:rsidRPr="00A86253" w:rsidRDefault="00A86253" w:rsidP="00A86253">
      <w:pPr>
        <w:pStyle w:val="CitaviBibliographyEntry"/>
        <w:rPr>
          <w:sz w:val="20"/>
          <w:lang w:val="en-US"/>
        </w:rPr>
      </w:pPr>
      <w:r>
        <w:rPr>
          <w:sz w:val="20"/>
          <w:lang w:val="en-US"/>
        </w:rPr>
        <w:t>[</w:t>
      </w:r>
      <w:r w:rsidRPr="00A86253">
        <w:rPr>
          <w:sz w:val="20"/>
          <w:lang w:val="en-US"/>
        </w:rPr>
        <w:t>1</w:t>
      </w:r>
      <w:r>
        <w:rPr>
          <w:sz w:val="20"/>
          <w:lang w:val="en-US"/>
        </w:rPr>
        <w:t>]</w:t>
      </w:r>
      <w:r w:rsidRPr="00A86253">
        <w:rPr>
          <w:sz w:val="20"/>
          <w:lang w:val="en-US"/>
        </w:rPr>
        <w:tab/>
      </w:r>
      <w:bookmarkStart w:id="2" w:name="_CTVL001275358becf0f4d13a1a464904b45f272"/>
      <w:r w:rsidRPr="00A86253">
        <w:rPr>
          <w:sz w:val="20"/>
          <w:lang w:val="en-US"/>
        </w:rPr>
        <w:t xml:space="preserve">Bankar, S. B., Survase, S. A., Ojamo, H., and Granström, T., “The two stage immobilized column reactor with an integrated solvent recovery module for enhanced ABE production,” </w:t>
      </w:r>
      <w:bookmarkEnd w:id="2"/>
      <w:r w:rsidRPr="00A86253">
        <w:rPr>
          <w:i/>
          <w:sz w:val="20"/>
          <w:lang w:val="en-US"/>
        </w:rPr>
        <w:t>Bioresource Technology</w:t>
      </w:r>
      <w:r w:rsidRPr="00A86253">
        <w:rPr>
          <w:sz w:val="20"/>
          <w:lang w:val="en-US"/>
        </w:rPr>
        <w:t>, V. 140, 2013, pp. 269–276.</w:t>
      </w:r>
    </w:p>
    <w:p w:rsidR="00A86253" w:rsidRPr="00A86253" w:rsidRDefault="00A86253" w:rsidP="00A86253">
      <w:pPr>
        <w:pStyle w:val="CitaviBibliographyEntry"/>
        <w:rPr>
          <w:sz w:val="20"/>
          <w:lang w:val="en-US"/>
        </w:rPr>
      </w:pPr>
      <w:r>
        <w:rPr>
          <w:sz w:val="20"/>
          <w:lang w:val="en-US"/>
        </w:rPr>
        <w:t>[</w:t>
      </w:r>
      <w:r w:rsidRPr="00A86253">
        <w:rPr>
          <w:sz w:val="20"/>
          <w:lang w:val="en-US"/>
        </w:rPr>
        <w:t>2</w:t>
      </w:r>
      <w:r>
        <w:rPr>
          <w:sz w:val="20"/>
          <w:lang w:val="en-US"/>
        </w:rPr>
        <w:t>]</w:t>
      </w:r>
      <w:r w:rsidRPr="00A86253">
        <w:rPr>
          <w:sz w:val="20"/>
          <w:lang w:val="en-US"/>
        </w:rPr>
        <w:tab/>
      </w:r>
      <w:bookmarkStart w:id="3" w:name="_CTVL001f5d811a9e7794e7cb2d946af91b62872"/>
      <w:r w:rsidRPr="00A86253">
        <w:rPr>
          <w:sz w:val="20"/>
          <w:lang w:val="en-US"/>
        </w:rPr>
        <w:t xml:space="preserve">Pantaléon, V., Bouttier, S., Soavelomandroso, A. P., Janoir, C., and Candela, T., “Biofilms of Clostridium species,” </w:t>
      </w:r>
      <w:bookmarkEnd w:id="3"/>
      <w:r w:rsidRPr="00A86253">
        <w:rPr>
          <w:i/>
          <w:sz w:val="20"/>
          <w:lang w:val="en-US"/>
        </w:rPr>
        <w:t>Anaerobe</w:t>
      </w:r>
      <w:r w:rsidRPr="00A86253">
        <w:rPr>
          <w:sz w:val="20"/>
          <w:lang w:val="en-US"/>
        </w:rPr>
        <w:t>, V. 30, 2014, pp. 193–198.</w:t>
      </w:r>
    </w:p>
    <w:p w:rsidR="00A86253" w:rsidRPr="005445F6" w:rsidRDefault="00A86253" w:rsidP="00A86253">
      <w:pPr>
        <w:pStyle w:val="CitaviBibliographyEntry"/>
        <w:rPr>
          <w:sz w:val="20"/>
          <w:lang w:val="en-US"/>
        </w:rPr>
      </w:pPr>
      <w:r w:rsidRPr="005445F6">
        <w:rPr>
          <w:sz w:val="20"/>
          <w:lang w:val="en-US"/>
        </w:rPr>
        <w:t>[3]</w:t>
      </w:r>
      <w:r w:rsidRPr="005445F6">
        <w:rPr>
          <w:sz w:val="20"/>
          <w:lang w:val="en-US"/>
        </w:rPr>
        <w:tab/>
      </w:r>
      <w:bookmarkStart w:id="4" w:name="_CTVL00105ce5c9856874a7ebf8be456ac8f579d"/>
      <w:r w:rsidRPr="005445F6">
        <w:rPr>
          <w:sz w:val="20"/>
          <w:lang w:val="en-US"/>
        </w:rPr>
        <w:t>Frédéric Habouzit, “Rôle des matériaux-supports sur la mise en place du biofilm : Application au démarrage d’un procédé de méthanisation,” Génie des procédés, Université Montpellier II, Science des Procédés-Science des Aliments, Montpellier, 2010, 244 pp.</w:t>
      </w:r>
      <w:bookmarkEnd w:id="4"/>
      <w:r w:rsidRPr="00A86253">
        <w:rPr>
          <w:sz w:val="20"/>
        </w:rPr>
        <w:fldChar w:fldCharType="end"/>
      </w:r>
    </w:p>
    <w:p w:rsidR="00704BDF" w:rsidRPr="005445F6"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5445F6"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5445F6"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5445F6"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Pr="005445F6"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Pr="005445F6"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Pr="005445F6"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5445F6"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5445F6"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5445F6"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5445F6"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5445F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714" w:rsidRDefault="00A20714" w:rsidP="004F5E36">
      <w:r>
        <w:separator/>
      </w:r>
    </w:p>
  </w:endnote>
  <w:endnote w:type="continuationSeparator" w:id="0">
    <w:p w:rsidR="00A20714" w:rsidRDefault="00A2071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714" w:rsidRDefault="00A20714" w:rsidP="004F5E36">
      <w:r>
        <w:separator/>
      </w:r>
    </w:p>
  </w:footnote>
  <w:footnote w:type="continuationSeparator" w:id="0">
    <w:p w:rsidR="00A20714" w:rsidRDefault="00A2071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42F83"/>
    <w:rsid w:val="00062A9A"/>
    <w:rsid w:val="00075893"/>
    <w:rsid w:val="000A03B2"/>
    <w:rsid w:val="000D34BE"/>
    <w:rsid w:val="000E36F1"/>
    <w:rsid w:val="000E3A73"/>
    <w:rsid w:val="000E414A"/>
    <w:rsid w:val="0013121F"/>
    <w:rsid w:val="00134DE4"/>
    <w:rsid w:val="00150E59"/>
    <w:rsid w:val="00184A32"/>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445F6"/>
    <w:rsid w:val="00594E9F"/>
    <w:rsid w:val="005B61E6"/>
    <w:rsid w:val="005C77E1"/>
    <w:rsid w:val="005D6A2F"/>
    <w:rsid w:val="005E1A82"/>
    <w:rsid w:val="005F0A28"/>
    <w:rsid w:val="005F0E5E"/>
    <w:rsid w:val="00620DEE"/>
    <w:rsid w:val="00625639"/>
    <w:rsid w:val="006366F8"/>
    <w:rsid w:val="0064184D"/>
    <w:rsid w:val="00660E3E"/>
    <w:rsid w:val="00662E74"/>
    <w:rsid w:val="006C5579"/>
    <w:rsid w:val="00704BDF"/>
    <w:rsid w:val="00736B13"/>
    <w:rsid w:val="007447F3"/>
    <w:rsid w:val="007661C8"/>
    <w:rsid w:val="007D52CD"/>
    <w:rsid w:val="00813288"/>
    <w:rsid w:val="008168FC"/>
    <w:rsid w:val="008479A2"/>
    <w:rsid w:val="00852EEC"/>
    <w:rsid w:val="0087637F"/>
    <w:rsid w:val="008A1512"/>
    <w:rsid w:val="008D0BEB"/>
    <w:rsid w:val="008D69FD"/>
    <w:rsid w:val="008E566E"/>
    <w:rsid w:val="00901EB6"/>
    <w:rsid w:val="009450CE"/>
    <w:rsid w:val="0095164B"/>
    <w:rsid w:val="009740F3"/>
    <w:rsid w:val="00996483"/>
    <w:rsid w:val="009E788A"/>
    <w:rsid w:val="00A1763D"/>
    <w:rsid w:val="00A17CEC"/>
    <w:rsid w:val="00A20714"/>
    <w:rsid w:val="00A27EF0"/>
    <w:rsid w:val="00A76EFC"/>
    <w:rsid w:val="00A86253"/>
    <w:rsid w:val="00A97F29"/>
    <w:rsid w:val="00AB0964"/>
    <w:rsid w:val="00AE377D"/>
    <w:rsid w:val="00B141C6"/>
    <w:rsid w:val="00B61DBF"/>
    <w:rsid w:val="00BC30C9"/>
    <w:rsid w:val="00BE3E58"/>
    <w:rsid w:val="00C01616"/>
    <w:rsid w:val="00C0162B"/>
    <w:rsid w:val="00C345B1"/>
    <w:rsid w:val="00C40142"/>
    <w:rsid w:val="00C57182"/>
    <w:rsid w:val="00C655FD"/>
    <w:rsid w:val="00C67BB6"/>
    <w:rsid w:val="00C94434"/>
    <w:rsid w:val="00CA1C95"/>
    <w:rsid w:val="00CA5A9C"/>
    <w:rsid w:val="00CD5FE2"/>
    <w:rsid w:val="00CE1057"/>
    <w:rsid w:val="00D02B4C"/>
    <w:rsid w:val="00D84576"/>
    <w:rsid w:val="00D923C2"/>
    <w:rsid w:val="00DE0019"/>
    <w:rsid w:val="00DE1691"/>
    <w:rsid w:val="00DE264A"/>
    <w:rsid w:val="00E041E7"/>
    <w:rsid w:val="00E23CA1"/>
    <w:rsid w:val="00E409A8"/>
    <w:rsid w:val="00E430F6"/>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B141C6"/>
    <w:pPr>
      <w:ind w:left="720"/>
      <w:contextualSpacing/>
    </w:pPr>
  </w:style>
  <w:style w:type="paragraph" w:customStyle="1" w:styleId="CitaviBibliographyHeading">
    <w:name w:val="Citavi Bibliography Heading"/>
    <w:basedOn w:val="Normal"/>
    <w:link w:val="CitaviBibliographyHeadingCar"/>
    <w:rsid w:val="00075893"/>
    <w:pPr>
      <w:snapToGrid w:val="0"/>
      <w:spacing w:after="120"/>
      <w:jc w:val="left"/>
    </w:pPr>
    <w:rPr>
      <w:rFonts w:asciiTheme="minorHAnsi" w:eastAsia="MS PGothic" w:hAnsiTheme="minorHAnsi"/>
      <w:color w:val="000000"/>
      <w:sz w:val="22"/>
      <w:szCs w:val="22"/>
      <w:lang w:val="en-US"/>
    </w:rPr>
  </w:style>
  <w:style w:type="character" w:customStyle="1" w:styleId="CitaviBibliographyHeadingCar">
    <w:name w:val="Citavi Bibliography Heading Car"/>
    <w:basedOn w:val="Policepardfaut"/>
    <w:link w:val="CitaviBibliographyHeading"/>
    <w:rsid w:val="00075893"/>
    <w:rPr>
      <w:rFonts w:eastAsia="MS PGothic" w:cs="Times New Roman"/>
      <w:color w:val="000000"/>
      <w:lang w:val="en-US"/>
    </w:rPr>
  </w:style>
  <w:style w:type="paragraph" w:customStyle="1" w:styleId="CitaviBibliographyEntry">
    <w:name w:val="Citavi Bibliography Entry"/>
    <w:basedOn w:val="Normal"/>
    <w:link w:val="CitaviBibliographyEntryCar"/>
    <w:rsid w:val="00A86253"/>
    <w:pPr>
      <w:tabs>
        <w:tab w:val="clear" w:pos="7100"/>
        <w:tab w:val="left" w:pos="397"/>
      </w:tabs>
      <w:spacing w:line="276" w:lineRule="auto"/>
      <w:ind w:left="397" w:hanging="397"/>
      <w:jc w:val="left"/>
    </w:pPr>
    <w:rPr>
      <w:rFonts w:asciiTheme="minorHAnsi" w:eastAsiaTheme="minorHAnsi" w:hAnsiTheme="minorHAnsi" w:cstheme="minorBidi"/>
      <w:sz w:val="22"/>
      <w:szCs w:val="22"/>
      <w:lang w:val="fr-FR"/>
    </w:rPr>
  </w:style>
  <w:style w:type="character" w:customStyle="1" w:styleId="CitaviBibliographyEntryCar">
    <w:name w:val="Citavi Bibliography Entry Car"/>
    <w:basedOn w:val="Policepardfaut"/>
    <w:link w:val="CitaviBibliographyEntry"/>
    <w:rsid w:val="00A86253"/>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B141C6"/>
    <w:pPr>
      <w:ind w:left="720"/>
      <w:contextualSpacing/>
    </w:pPr>
  </w:style>
  <w:style w:type="paragraph" w:customStyle="1" w:styleId="CitaviBibliographyHeading">
    <w:name w:val="Citavi Bibliography Heading"/>
    <w:basedOn w:val="Normal"/>
    <w:link w:val="CitaviBibliographyHeadingCar"/>
    <w:rsid w:val="00075893"/>
    <w:pPr>
      <w:snapToGrid w:val="0"/>
      <w:spacing w:after="120"/>
      <w:jc w:val="left"/>
    </w:pPr>
    <w:rPr>
      <w:rFonts w:asciiTheme="minorHAnsi" w:eastAsia="MS PGothic" w:hAnsiTheme="minorHAnsi"/>
      <w:color w:val="000000"/>
      <w:sz w:val="22"/>
      <w:szCs w:val="22"/>
      <w:lang w:val="en-US"/>
    </w:rPr>
  </w:style>
  <w:style w:type="character" w:customStyle="1" w:styleId="CitaviBibliographyHeadingCar">
    <w:name w:val="Citavi Bibliography Heading Car"/>
    <w:basedOn w:val="Policepardfaut"/>
    <w:link w:val="CitaviBibliographyHeading"/>
    <w:rsid w:val="00075893"/>
    <w:rPr>
      <w:rFonts w:eastAsia="MS PGothic" w:cs="Times New Roman"/>
      <w:color w:val="000000"/>
      <w:lang w:val="en-US"/>
    </w:rPr>
  </w:style>
  <w:style w:type="paragraph" w:customStyle="1" w:styleId="CitaviBibliographyEntry">
    <w:name w:val="Citavi Bibliography Entry"/>
    <w:basedOn w:val="Normal"/>
    <w:link w:val="CitaviBibliographyEntryCar"/>
    <w:rsid w:val="00A86253"/>
    <w:pPr>
      <w:tabs>
        <w:tab w:val="clear" w:pos="7100"/>
        <w:tab w:val="left" w:pos="397"/>
      </w:tabs>
      <w:spacing w:line="276" w:lineRule="auto"/>
      <w:ind w:left="397" w:hanging="397"/>
      <w:jc w:val="left"/>
    </w:pPr>
    <w:rPr>
      <w:rFonts w:asciiTheme="minorHAnsi" w:eastAsiaTheme="minorHAnsi" w:hAnsiTheme="minorHAnsi" w:cstheme="minorBidi"/>
      <w:sz w:val="22"/>
      <w:szCs w:val="22"/>
      <w:lang w:val="fr-FR"/>
    </w:rPr>
  </w:style>
  <w:style w:type="character" w:customStyle="1" w:styleId="CitaviBibliographyEntryCar">
    <w:name w:val="Citavi Bibliography Entry Car"/>
    <w:basedOn w:val="Policepardfaut"/>
    <w:link w:val="CitaviBibliographyEntry"/>
    <w:rsid w:val="00A8625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0349-04D4-4594-8A15-A7A1EF8C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1592</Words>
  <Characters>8761</Characters>
  <Application>Microsoft Office Word</Application>
  <DocSecurity>0</DocSecurity>
  <Lines>73</Lines>
  <Paragraphs>20</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CARRIE Maxime</cp:lastModifiedBy>
  <cp:revision>5</cp:revision>
  <cp:lastPrinted>2015-05-12T18:31:00Z</cp:lastPrinted>
  <dcterms:created xsi:type="dcterms:W3CDTF">2019-01-11T09:08:00Z</dcterms:created>
  <dcterms:modified xsi:type="dcterms:W3CDTF">2019-01-14T16:39:00Z</dcterms:modified>
</cp:coreProperties>
</file>