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BFDD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CA6F6B4" w14:textId="77777777" w:rsidR="00704BDF" w:rsidRPr="00DE0019" w:rsidRDefault="00DE01F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Development of a </w:t>
      </w:r>
      <w:r w:rsidR="00CA7F5E">
        <w:rPr>
          <w:rFonts w:asciiTheme="minorHAnsi" w:eastAsia="MS PGothic" w:hAnsiTheme="minorHAnsi"/>
          <w:b/>
          <w:bCs/>
          <w:sz w:val="28"/>
          <w:szCs w:val="28"/>
          <w:lang w:val="en-US"/>
        </w:rPr>
        <w:t>hybrid biological process for oilfield produced water treatment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6C53350C" w14:textId="77777777" w:rsidR="00DE0019" w:rsidRPr="00D946B5" w:rsidRDefault="002A64DC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217D26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Nicolas Lusinier</w:t>
      </w:r>
      <w:r w:rsidR="00704BDF" w:rsidRPr="00217D2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736B13"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Isabelle Seyssiecq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Ce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cilia Sambusiti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Matthieu Jacob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Nicolas Lesage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4</w:t>
      </w:r>
      <w:r w:rsidR="00217D26" w:rsidRPr="00217D2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and Nicolas Roche</w:t>
      </w:r>
      <w:proofErr w:type="gramStart"/>
      <w:r w:rsidR="00217D26" w:rsidRP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217D2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,*</w:t>
      </w:r>
      <w:proofErr w:type="gramEnd"/>
      <w:r w:rsidR="00DE0019" w:rsidRPr="00D946B5">
        <w:rPr>
          <w:rFonts w:eastAsia="SimSun"/>
          <w:color w:val="000000"/>
          <w:lang w:val="fr-FR" w:eastAsia="zh-CN"/>
        </w:rPr>
        <w:t xml:space="preserve"> </w:t>
      </w:r>
    </w:p>
    <w:p w14:paraId="4F270F82" w14:textId="77777777" w:rsidR="00704BDF" w:rsidRPr="00B87B93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B87B93">
        <w:rPr>
          <w:rFonts w:eastAsia="MS PGothic"/>
          <w:i/>
          <w:iCs/>
          <w:color w:val="000000"/>
          <w:sz w:val="20"/>
          <w:lang w:val="fr-FR"/>
        </w:rPr>
        <w:t>1</w:t>
      </w:r>
      <w:r w:rsidR="00B87B93" w:rsidRP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Aix-Marseille </w:t>
      </w:r>
      <w:proofErr w:type="spellStart"/>
      <w:r w:rsidR="00B87B93" w:rsidRP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B87B93" w:rsidRP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CNRS, IRD, IN</w:t>
      </w:r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RA, </w:t>
      </w:r>
      <w:proofErr w:type="spellStart"/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Coll</w:t>
      </w:r>
      <w:proofErr w:type="spellEnd"/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France, CEREGE</w:t>
      </w:r>
      <w:r w:rsidR="00B87B93" w:rsidRP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Aix en Provence FRANCE ;</w:t>
      </w:r>
      <w:r w:rsidRP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2 </w:t>
      </w:r>
      <w:r w:rsid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Aix-Marseille </w:t>
      </w:r>
      <w:proofErr w:type="spellStart"/>
      <w:r w:rsid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CNRS, Centrale Mars</w:t>
      </w:r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eille, M2P2</w:t>
      </w:r>
      <w:r w:rsidR="00B87B93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Marseille France ; 3 TOTAL SA, PERL</w:t>
      </w:r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– Pôle d’Etudes et de Recherche de Lacq, Pôle Economique 2, BP 47 – RD 817, Lacq, France ; 4 TOTAL SA, CSTJF, Avenue </w:t>
      </w:r>
      <w:proofErr w:type="spellStart"/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Larribau</w:t>
      </w:r>
      <w:proofErr w:type="spellEnd"/>
      <w:r w:rsidR="00DE3B2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Pau, France </w:t>
      </w:r>
    </w:p>
    <w:p w14:paraId="288ADBB3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E3B2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nicolas.roche@univ-amu.fr</w:t>
      </w:r>
    </w:p>
    <w:p w14:paraId="721B23F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63F8E94" w14:textId="325D03AF" w:rsidR="00704BDF" w:rsidRPr="00EC66CC" w:rsidRDefault="00CC2C9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C2C94">
        <w:rPr>
          <w:rFonts w:asciiTheme="minorHAnsi" w:hAnsiTheme="minorHAnsi"/>
        </w:rPr>
        <w:t xml:space="preserve">Amount of produced water from oil exploration and production </w:t>
      </w:r>
      <w:r w:rsidR="00327226">
        <w:rPr>
          <w:rFonts w:asciiTheme="minorHAnsi" w:hAnsiTheme="minorHAnsi"/>
        </w:rPr>
        <w:t>is</w:t>
      </w:r>
      <w:r w:rsidRPr="00CC2C94">
        <w:rPr>
          <w:rFonts w:asciiTheme="minorHAnsi" w:hAnsiTheme="minorHAnsi"/>
        </w:rPr>
        <w:t xml:space="preserve"> increasing.</w:t>
      </w:r>
    </w:p>
    <w:p w14:paraId="1F4D8122" w14:textId="77777777" w:rsidR="00704BDF" w:rsidRPr="00EC66CC" w:rsidRDefault="00E001F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001F3">
        <w:rPr>
          <w:rFonts w:asciiTheme="minorHAnsi" w:hAnsiTheme="minorHAnsi"/>
        </w:rPr>
        <w:t>A hybrid biological process was developed to treat oil produced water.</w:t>
      </w:r>
    </w:p>
    <w:p w14:paraId="7B5FC61F" w14:textId="77777777" w:rsidR="00704BDF" w:rsidRPr="00CA53AB" w:rsidRDefault="008014CB" w:rsidP="00B925C1">
      <w:pPr>
        <w:pStyle w:val="AbstractBody"/>
        <w:numPr>
          <w:ilvl w:val="0"/>
          <w:numId w:val="16"/>
        </w:numPr>
        <w:rPr>
          <w:rFonts w:eastAsia="SimSun"/>
          <w:bCs/>
          <w:i/>
          <w:iCs/>
          <w:color w:val="000000" w:themeColor="text1"/>
          <w:lang w:eastAsia="zh-CN"/>
        </w:rPr>
      </w:pPr>
      <w:r w:rsidRPr="00CA53AB">
        <w:rPr>
          <w:rFonts w:asciiTheme="minorHAnsi" w:hAnsiTheme="minorHAnsi"/>
          <w:color w:val="000000" w:themeColor="text1"/>
        </w:rPr>
        <w:t>Enhancement of oxygen transfer occurs</w:t>
      </w:r>
      <w:r w:rsidR="00D54D2F" w:rsidRPr="00CA53AB">
        <w:rPr>
          <w:rFonts w:asciiTheme="minorHAnsi" w:hAnsiTheme="minorHAnsi"/>
          <w:color w:val="000000" w:themeColor="text1"/>
        </w:rPr>
        <w:t xml:space="preserve"> in</w:t>
      </w:r>
      <w:r w:rsidRPr="00CA53AB">
        <w:rPr>
          <w:rFonts w:asciiTheme="minorHAnsi" w:hAnsiTheme="minorHAnsi"/>
          <w:color w:val="000000" w:themeColor="text1"/>
        </w:rPr>
        <w:t xml:space="preserve"> the presence of a packing material.</w:t>
      </w:r>
    </w:p>
    <w:p w14:paraId="24408C2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B4C5AA6" w14:textId="14F084C2" w:rsidR="00C867B1" w:rsidRPr="008D0BEB" w:rsidRDefault="005246A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246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Crude oil extraction leads to the production of produced water (PW). PW flowrate increases with </w:t>
      </w:r>
      <w:r w:rsidR="00735A13">
        <w:rPr>
          <w:rFonts w:asciiTheme="minorHAnsi" w:eastAsia="MS PGothic" w:hAnsiTheme="minorHAnsi"/>
          <w:color w:val="000000"/>
          <w:sz w:val="22"/>
          <w:szCs w:val="22"/>
          <w:lang w:val="en-US"/>
        </w:rPr>
        <w:t>oil field lifetime</w:t>
      </w:r>
      <w:r w:rsidRPr="005246A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up to more than 20 times the flowrate of crude oil.</w:t>
      </w:r>
      <w:r w:rsid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 the regulations regarding PW disposal becom</w:t>
      </w:r>
      <w:r w:rsidR="005F7B7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more stringent</w:t>
      </w:r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there is a big challenge in developing efficient treatment processes (i.e. </w:t>
      </w:r>
      <w:proofErr w:type="spellStart"/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-chemical and/or biological treatments). Among them, biological treatments (i.e. conventional activated sludge processes) are commonly installed in the industrial sector, due to cheaper operation costs and higher removal efficiencies 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80381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biodegradable compounds compared to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those obtained by</w:t>
      </w:r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treatments</w:t>
      </w:r>
      <w:r w:rsidR="002A73BC" w:rsidRPr="002A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A73BC" w:rsidRPr="006F7B3D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critical parameters, such as</w:t>
      </w:r>
      <w:r w:rsidR="00980381" w:rsidRPr="006F7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PW composition (i.e. salinity and low biodegradability of some compounds) and technology compactness</w:t>
      </w:r>
      <w:r w:rsidR="006133DD" w:rsidRPr="006F7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offshore implementation,</w:t>
      </w:r>
      <w:r w:rsidR="002A73BC" w:rsidRPr="006F7B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have to be taken into acco</w:t>
      </w:r>
      <w:r w:rsidR="00AF30B9" w:rsidRPr="006F7B3D">
        <w:rPr>
          <w:rFonts w:asciiTheme="minorHAnsi" w:eastAsia="MS PGothic" w:hAnsiTheme="minorHAnsi"/>
          <w:color w:val="000000"/>
          <w:sz w:val="22"/>
          <w:szCs w:val="22"/>
          <w:lang w:val="en-US"/>
        </w:rPr>
        <w:t>unt.</w:t>
      </w:r>
      <w:r w:rsidRPr="005246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Hybrid processes defined here, as the </w:t>
      </w:r>
      <w:r w:rsidRP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combination of two </w:t>
      </w:r>
      <w:proofErr w:type="spellStart"/>
      <w:r w:rsidR="00FA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731542" w:rsidRP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</w:t>
      </w:r>
      <w:proofErr w:type="spellEnd"/>
      <w:r w:rsidR="00731542" w:rsidRP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</w:t>
      </w:r>
      <w:r w:rsidR="00A53EA6" w:rsidRP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(i.e.</w:t>
      </w:r>
      <w:r w:rsid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fixed and suspended</w:t>
      </w:r>
      <w:r w:rsidR="00FA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microbial </w:t>
      </w:r>
      <w:r w:rsid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biomass in the same reactor)</w:t>
      </w:r>
      <w:r w:rsidRPr="005246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</w:t>
      </w:r>
      <w:r w:rsidR="00F52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wed promising performances</w:t>
      </w:r>
      <w:r w:rsidR="001E3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 oxygen transfer</w:t>
      </w:r>
      <w:r w:rsidR="00692E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1E3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Furthermore, </w:t>
      </w:r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A53EA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combination</w:t>
      </w:r>
      <w:r w:rsidR="001E3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enhance</w:t>
      </w:r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E3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treatment efficiencies</w:t>
      </w:r>
      <w:r w:rsidR="00054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both, </w:t>
      </w:r>
      <w:r w:rsidR="00054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biomass concentration </w:t>
      </w:r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</w:t>
      </w:r>
      <w:proofErr w:type="gramStart"/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microorganisms</w:t>
      </w:r>
      <w:proofErr w:type="gramEnd"/>
      <w:r w:rsidR="00D54D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variety </w:t>
      </w:r>
      <w:r w:rsidR="00054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 in the bioreactor</w:t>
      </w:r>
      <w:r w:rsidR="00692E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1E3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A1D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Thus, t</w:t>
      </w:r>
      <w:r w:rsidR="00054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his study relates the development of a hybrid biological process for oilfield produced water treatment. </w:t>
      </w:r>
    </w:p>
    <w:p w14:paraId="1B3E86E5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8C9CAF2" w14:textId="77777777" w:rsidR="00704BDF" w:rsidRDefault="00506EF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were carried out </w:t>
      </w:r>
      <w:r w:rsidR="00021E99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using a</w:t>
      </w:r>
      <w:r w:rsid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laboratory pilot plant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consisting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74F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bioreactors 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FC3BBB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30 L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working volume)</w:t>
      </w:r>
      <w:r w:rsidR="00FC3BBB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two clarifiers</w:t>
      </w:r>
      <w:r w:rsidR="005948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FC3BBB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5 L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working volume)</w:t>
      </w:r>
      <w:r w:rsidR="00FC3BBB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1E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parallel (Figure 1)</w:t>
      </w:r>
      <w:r w:rsidR="005948E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70E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1E9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 columns</w:t>
      </w:r>
      <w:r w:rsidR="00086CD3" w:rsidRPr="00086C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1E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an </w:t>
      </w:r>
      <w:r w:rsidR="00086CD3" w:rsidRPr="00086C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inner diameter </w:t>
      </w:r>
      <w:r w:rsidR="00021E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21E99" w:rsidRPr="00086C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19 cm </w:t>
      </w:r>
      <w:r w:rsidR="00086CD3" w:rsidRPr="00086C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086CD3" w:rsidRPr="00086CD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</w:t>
      </w:r>
      <w:r w:rsid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al height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107 cm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aeration is supplied by </w:t>
      </w:r>
      <w:r w:rsidR="00E219F1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compressed air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flowing into 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membrane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provide </w:t>
      </w:r>
      <w:r w:rsidR="001F67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fine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bubbles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579E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packing material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753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confined into 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bioreactors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7579E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74F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made of</w:t>
      </w:r>
      <w:r w:rsidR="009574FF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7579E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cylindrical solid rings (</w:t>
      </w:r>
      <w:proofErr w:type="spellStart"/>
      <w:r w:rsidR="0097579E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AnoxKaldnes</w:t>
      </w:r>
      <w:proofErr w:type="spellEnd"/>
      <w:r w:rsidR="00463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®</w:t>
      </w:r>
      <w:r w:rsidR="0097579E" w:rsidRP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757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air flowrate</w:t>
      </w:r>
      <w:r w:rsidR="00187F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1595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controlled</w:t>
      </w:r>
      <w:r w:rsidR="00980381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4F4998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91E00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flowmeter</w:t>
      </w:r>
      <w:r w:rsidR="00187F6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91E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91E00" w:rsidRPr="004F499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tests were conducted to determine the</w:t>
      </w:r>
      <w:r w:rsidR="000817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oxygen transfer rate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FC3BBB" w:rsidRPr="0064313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on clear water and on a </w:t>
      </w:r>
      <w:proofErr w:type="spellStart"/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-chemical Newtonian suspension (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i.e. 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3g/L bentonite suspension), by varying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air flow rate (4-10-16 L/min) and the packing h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>ei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gh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(0-1</w:t>
      </w:r>
      <w:r w:rsidR="00060992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-34 cm). </w:t>
      </w:r>
      <w:r w:rsidR="00F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xygen transfer measurements were carried out </w:t>
      </w:r>
      <w:r w:rsidR="00E219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the </w:t>
      </w:r>
      <w:proofErr w:type="spellStart"/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disulfite</w:t>
      </w:r>
      <w:proofErr w:type="spellEnd"/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deoxygenation</w:t>
      </w:r>
      <w:r w:rsidR="00C54D61" w:rsidRPr="009574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 followed by a re-oxygenation phase</w:t>
      </w:r>
      <w:r w:rsidR="00B530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817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07B71E5" w14:textId="77777777" w:rsidR="0097579E" w:rsidRDefault="00F06145" w:rsidP="009B0FC3">
      <w:pPr>
        <w:snapToGrid w:val="0"/>
        <w:spacing w:after="120"/>
        <w:jc w:val="center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noProof/>
          <w:color w:val="000000"/>
          <w:sz w:val="22"/>
          <w:szCs w:val="22"/>
          <w:lang w:val="fr-FR" w:eastAsia="fr-FR"/>
        </w:rPr>
        <w:lastRenderedPageBreak/>
        <w:drawing>
          <wp:inline distT="0" distB="0" distL="0" distR="0" wp14:anchorId="569BBBB7" wp14:editId="2F7D4A87">
            <wp:extent cx="2848200" cy="1692000"/>
            <wp:effectExtent l="0" t="0" r="0" b="101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ma_proce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18B7" w14:textId="77777777" w:rsidR="00585F4D" w:rsidRPr="00773189" w:rsidRDefault="00585F4D" w:rsidP="00585F4D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773189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614235" w:rsidRPr="00773189">
        <w:rPr>
          <w:rFonts w:asciiTheme="minorHAnsi" w:hAnsiTheme="minorHAnsi"/>
          <w:lang w:val="en-US"/>
        </w:rPr>
        <w:t>Experimental set-up of the two packed-bed bioreactors</w:t>
      </w:r>
      <w:r w:rsidR="00FC3BBB">
        <w:rPr>
          <w:rFonts w:asciiTheme="minorHAnsi" w:hAnsiTheme="minorHAnsi"/>
          <w:lang w:val="en-US"/>
        </w:rPr>
        <w:t>.</w:t>
      </w:r>
    </w:p>
    <w:p w14:paraId="4939D2A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A52985C" w14:textId="733248E8" w:rsidR="00704BDF" w:rsidRDefault="009C762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Concerning the oxygen transfer,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results showed that</w:t>
      </w:r>
      <w:r w:rsidR="005F3240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presence of </w:t>
      </w:r>
      <w:r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-chemical Newtonian 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suspension </w:t>
      </w:r>
      <w:r w:rsidR="001A47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(bentonite suspension) 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oxygen transfer is </w:t>
      </w:r>
      <w:r w:rsidR="00081707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reduced compared to clear water </w:t>
      </w:r>
      <w:r w:rsidR="002712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a same packing height and/or air flowrate </w:t>
      </w:r>
      <w:r w:rsidR="00081707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F22E49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2a and 2b</w:t>
      </w:r>
      <w:r w:rsidR="00081707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</w:t>
      </w:r>
      <w:r w:rsidR="00081707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urthermore, f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igure </w:t>
      </w:r>
      <w:r w:rsidR="00773189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340478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0D15F4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shows that the oxygen transfer coefficient </w:t>
      </w:r>
      <w:r w:rsidR="00DE5742" w:rsidRPr="002E131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increases with the air flowrate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6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C57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</w:t>
      </w:r>
      <w:r w:rsidR="00BD6A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60 %) 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but also with the packing height.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7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Indeed, t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presence of the packing bed is thought to induce a decrease in bubble coalescence, inducing in turn a</w:t>
      </w:r>
      <w:r w:rsidR="00C54D61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in specific exchange area, thus of the </w:t>
      </w:r>
      <w:proofErr w:type="spellStart"/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060992" w:rsidRPr="0006099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coefficient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C57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</w:t>
      </w:r>
      <w:r w:rsidR="00BD6AB1">
        <w:rPr>
          <w:rFonts w:asciiTheme="minorHAnsi" w:eastAsia="MS PGothic" w:hAnsiTheme="minorHAnsi"/>
          <w:color w:val="000000"/>
          <w:sz w:val="22"/>
          <w:szCs w:val="22"/>
          <w:lang w:val="en-US"/>
        </w:rPr>
        <w:t>30 %</w:t>
      </w:r>
      <w:r w:rsidR="0098038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980381" w14:paraId="3A5AC197" w14:textId="77777777" w:rsidTr="006F7B3D">
        <w:tc>
          <w:tcPr>
            <w:tcW w:w="4388" w:type="dxa"/>
          </w:tcPr>
          <w:p w14:paraId="5DABDB2F" w14:textId="77777777" w:rsidR="00980381" w:rsidRDefault="009B7FD0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340478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fr-FR" w:eastAsia="fr-FR"/>
              </w:rPr>
              <w:drawing>
                <wp:inline distT="0" distB="0" distL="0" distR="0" wp14:anchorId="08ACFE8A" wp14:editId="4B0C2FBE">
                  <wp:extent cx="2516400" cy="1299600"/>
                  <wp:effectExtent l="0" t="0" r="0" b="0"/>
                  <wp:docPr id="7" name="Graphique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25048B25" w14:textId="77777777" w:rsidR="00980381" w:rsidRDefault="009B7FD0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6C1C13">
              <w:rPr>
                <w:noProof/>
                <w:lang w:val="fr-FR" w:eastAsia="fr-FR"/>
              </w:rPr>
              <w:drawing>
                <wp:inline distT="0" distB="0" distL="0" distR="0" wp14:anchorId="71B977B9" wp14:editId="2541093D">
                  <wp:extent cx="2519424" cy="1296000"/>
                  <wp:effectExtent l="0" t="0" r="0" b="0"/>
                  <wp:docPr id="6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6C18BB5" w14:textId="77777777" w:rsidR="00704BDF" w:rsidRPr="00CA53AB" w:rsidRDefault="00585F4D" w:rsidP="006F7B3D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0E3A75">
        <w:rPr>
          <w:rFonts w:asciiTheme="minorHAnsi" w:hAnsiTheme="minorHAnsi"/>
          <w:lang w:val="en-US"/>
        </w:rPr>
        <w:t xml:space="preserve"> </w:t>
      </w:r>
      <w:r w:rsidR="005C2C8C" w:rsidRPr="00CA53AB">
        <w:rPr>
          <w:rFonts w:asciiTheme="minorHAnsi" w:hAnsiTheme="minorHAnsi"/>
          <w:lang w:val="en-US"/>
        </w:rPr>
        <w:t>Evolution of oxygen transfer coefficient as a function of air flowrate and packing height</w:t>
      </w:r>
      <w:r w:rsidR="006F7B3D" w:rsidRPr="00C57793">
        <w:rPr>
          <w:rFonts w:asciiTheme="minorHAnsi" w:eastAsia="MS PGothic" w:hAnsiTheme="minorHAnsi"/>
          <w:color w:val="000000"/>
          <w:szCs w:val="18"/>
          <w:lang w:val="en-US"/>
        </w:rPr>
        <w:t xml:space="preserve"> for clear water (a) and bentonite suspension (b)</w:t>
      </w:r>
    </w:p>
    <w:p w14:paraId="0A196E08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C9EE321" w14:textId="14F60528" w:rsidR="006F7B3D" w:rsidRDefault="00AC5E18" w:rsidP="006F7B3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showed that the presence of the packing bed induce a 52-64 % increase in oxygen transfer</w:t>
      </w:r>
      <w:r w:rsidR="003B5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6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both clear water and </w:t>
      </w:r>
      <w:r w:rsidR="00833F96">
        <w:rPr>
          <w:rFonts w:asciiTheme="minorHAnsi" w:eastAsia="MS PGothic" w:hAnsiTheme="minorHAnsi"/>
          <w:color w:val="000000"/>
          <w:sz w:val="22"/>
          <w:szCs w:val="22"/>
          <w:lang w:val="en-US"/>
        </w:rPr>
        <w:t>bentonite</w:t>
      </w:r>
      <w:r w:rsidR="00FE60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suspension</w:t>
      </w:r>
      <w:r w:rsidR="001A47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an identical energy input (constant air flow </w:t>
      </w:r>
      <w:r w:rsidR="00A839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rate) due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presence of 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packing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bed</w:t>
      </w:r>
      <w:r w:rsidR="005F32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decrease of bubbles coalescence along the column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Further studies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1B30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oxygen transfer </w:t>
      </w:r>
      <w:r w:rsidR="00833F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</w:t>
      </w:r>
      <w:r w:rsidR="001B30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performed with a non-Newtonian </w:t>
      </w:r>
      <w:proofErr w:type="spellStart"/>
      <w:r w:rsidR="001B307C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bioflocs</w:t>
      </w:r>
      <w:proofErr w:type="spellEnd"/>
      <w:r w:rsidR="001B30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suspension, as well as </w:t>
      </w:r>
      <w:proofErr w:type="spellStart"/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DC52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</w:t>
      </w:r>
      <w:proofErr w:type="spellEnd"/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30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studies 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assess the treatment efficiency of such 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for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26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synthetic 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water. </w:t>
      </w:r>
      <w:r w:rsidR="00DC52C1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acclimation test, f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>irst results showed that the COD of produced water c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removed 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treatment efficiencies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CE0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&gt;95 </w:t>
      </w:r>
      <w:r w:rsidR="003400F6">
        <w:rPr>
          <w:rFonts w:asciiTheme="minorHAnsi" w:eastAsia="MS PGothic" w:hAnsiTheme="minorHAnsi"/>
          <w:color w:val="000000"/>
          <w:sz w:val="22"/>
          <w:szCs w:val="22"/>
          <w:lang w:val="en-US"/>
        </w:rPr>
        <w:t>%)</w:t>
      </w:r>
      <w:r w:rsidR="00DE57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67C21A2" w14:textId="77777777" w:rsidR="00704BDF" w:rsidRPr="008D0BEB" w:rsidRDefault="007B5A55" w:rsidP="006F7B3D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232329FB" w14:textId="77777777" w:rsidR="00704BDF" w:rsidRPr="008D0BEB" w:rsidRDefault="0077682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P. </w:t>
      </w:r>
      <w:proofErr w:type="spellStart"/>
      <w:r>
        <w:rPr>
          <w:rFonts w:asciiTheme="minorHAnsi" w:hAnsiTheme="minorHAnsi"/>
          <w:color w:val="000000"/>
        </w:rPr>
        <w:t>Baldoni</w:t>
      </w:r>
      <w:proofErr w:type="spellEnd"/>
      <w:r>
        <w:rPr>
          <w:rFonts w:asciiTheme="minorHAnsi" w:hAnsiTheme="minorHAnsi"/>
          <w:color w:val="000000"/>
        </w:rPr>
        <w:t xml:space="preserve">-Andrey, </w:t>
      </w:r>
      <w:r w:rsidR="00CE2479">
        <w:rPr>
          <w:rFonts w:asciiTheme="minorHAnsi" w:hAnsiTheme="minorHAnsi"/>
          <w:color w:val="000000"/>
        </w:rPr>
        <w:t xml:space="preserve">P. </w:t>
      </w:r>
      <w:proofErr w:type="spellStart"/>
      <w:r w:rsidR="00CE2479">
        <w:rPr>
          <w:rFonts w:asciiTheme="minorHAnsi" w:hAnsiTheme="minorHAnsi"/>
          <w:color w:val="000000"/>
        </w:rPr>
        <w:t>Pedenaud</w:t>
      </w:r>
      <w:proofErr w:type="spellEnd"/>
      <w:r w:rsidR="00CE2479">
        <w:rPr>
          <w:rFonts w:asciiTheme="minorHAnsi" w:hAnsiTheme="minorHAnsi"/>
          <w:color w:val="000000"/>
        </w:rPr>
        <w:t xml:space="preserve">, P.L. </w:t>
      </w:r>
      <w:proofErr w:type="spellStart"/>
      <w:r w:rsidR="00CE2479">
        <w:rPr>
          <w:rFonts w:asciiTheme="minorHAnsi" w:hAnsiTheme="minorHAnsi"/>
          <w:color w:val="000000"/>
        </w:rPr>
        <w:t>Dehaene</w:t>
      </w:r>
      <w:proofErr w:type="spellEnd"/>
      <w:r w:rsidR="00CE2479">
        <w:rPr>
          <w:rFonts w:asciiTheme="minorHAnsi" w:hAnsiTheme="minorHAnsi"/>
          <w:color w:val="000000"/>
        </w:rPr>
        <w:t>, B. Segues, Society of Petroleum Engineers (2006)</w:t>
      </w:r>
      <w:r w:rsidR="00704BDF" w:rsidRPr="008D0BEB">
        <w:rPr>
          <w:rFonts w:asciiTheme="minorHAnsi" w:hAnsiTheme="minorHAnsi"/>
          <w:color w:val="000000"/>
        </w:rPr>
        <w:t>.</w:t>
      </w:r>
    </w:p>
    <w:p w14:paraId="170E4BC4" w14:textId="77777777" w:rsidR="00704BDF" w:rsidRPr="008D0BEB" w:rsidRDefault="00607F1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P. </w:t>
      </w:r>
      <w:proofErr w:type="spellStart"/>
      <w:r>
        <w:rPr>
          <w:rFonts w:asciiTheme="minorHAnsi" w:hAnsiTheme="minorHAnsi"/>
          <w:color w:val="000000"/>
        </w:rPr>
        <w:t>Pedenaud</w:t>
      </w:r>
      <w:proofErr w:type="spellEnd"/>
      <w:r>
        <w:rPr>
          <w:rFonts w:asciiTheme="minorHAnsi" w:hAnsiTheme="minorHAnsi"/>
          <w:color w:val="000000"/>
        </w:rPr>
        <w:t xml:space="preserve">, P. </w:t>
      </w:r>
      <w:proofErr w:type="spellStart"/>
      <w:r>
        <w:rPr>
          <w:rFonts w:asciiTheme="minorHAnsi" w:hAnsiTheme="minorHAnsi"/>
          <w:color w:val="000000"/>
        </w:rPr>
        <w:t>Baldoni</w:t>
      </w:r>
      <w:proofErr w:type="spellEnd"/>
      <w:r>
        <w:rPr>
          <w:rFonts w:asciiTheme="minorHAnsi" w:hAnsiTheme="minorHAnsi"/>
          <w:color w:val="000000"/>
        </w:rPr>
        <w:t xml:space="preserve">-Andrey, A. Breton, B. Segues, </w:t>
      </w:r>
      <w:r w:rsidR="00E34F39">
        <w:rPr>
          <w:rFonts w:asciiTheme="minorHAnsi" w:hAnsiTheme="minorHAnsi"/>
          <w:color w:val="000000"/>
        </w:rPr>
        <w:t xml:space="preserve">A. </w:t>
      </w:r>
      <w:proofErr w:type="spellStart"/>
      <w:r w:rsidR="00E34F39">
        <w:rPr>
          <w:rFonts w:asciiTheme="minorHAnsi" w:hAnsiTheme="minorHAnsi"/>
          <w:color w:val="000000"/>
        </w:rPr>
        <w:t>Demangel</w:t>
      </w:r>
      <w:proofErr w:type="spellEnd"/>
      <w:r w:rsidR="00E34F39">
        <w:rPr>
          <w:rFonts w:asciiTheme="minorHAnsi" w:hAnsiTheme="minorHAnsi"/>
          <w:color w:val="000000"/>
        </w:rPr>
        <w:t>, M. Jacob, Society of Petroleum Engineers (2018)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14:paraId="1A7D5FEB" w14:textId="77777777" w:rsidR="005346C8" w:rsidRPr="007B5A55" w:rsidRDefault="00E458FA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7B5A55">
        <w:rPr>
          <w:rFonts w:asciiTheme="minorHAnsi" w:hAnsiTheme="minorHAnsi"/>
          <w:color w:val="000000"/>
        </w:rPr>
        <w:t xml:space="preserve">K. </w:t>
      </w:r>
      <w:proofErr w:type="spellStart"/>
      <w:r w:rsidRPr="007B5A55">
        <w:rPr>
          <w:rFonts w:asciiTheme="minorHAnsi" w:hAnsiTheme="minorHAnsi"/>
          <w:color w:val="000000"/>
        </w:rPr>
        <w:t>Zerari</w:t>
      </w:r>
      <w:proofErr w:type="spellEnd"/>
      <w:r w:rsidRPr="007B5A55">
        <w:rPr>
          <w:rFonts w:asciiTheme="minorHAnsi" w:hAnsiTheme="minorHAnsi"/>
          <w:color w:val="000000"/>
        </w:rPr>
        <w:t xml:space="preserve">, I. </w:t>
      </w:r>
      <w:proofErr w:type="spellStart"/>
      <w:r w:rsidRPr="007B5A55">
        <w:rPr>
          <w:rFonts w:asciiTheme="minorHAnsi" w:hAnsiTheme="minorHAnsi"/>
          <w:color w:val="000000"/>
        </w:rPr>
        <w:t>Seyssiecq</w:t>
      </w:r>
      <w:proofErr w:type="spellEnd"/>
      <w:r w:rsidRPr="007B5A55">
        <w:rPr>
          <w:rFonts w:asciiTheme="minorHAnsi" w:hAnsiTheme="minorHAnsi"/>
          <w:color w:val="000000"/>
        </w:rPr>
        <w:t xml:space="preserve">, D.E. </w:t>
      </w:r>
      <w:proofErr w:type="spellStart"/>
      <w:r w:rsidRPr="007B5A55">
        <w:rPr>
          <w:rFonts w:asciiTheme="minorHAnsi" w:hAnsiTheme="minorHAnsi"/>
          <w:color w:val="000000"/>
        </w:rPr>
        <w:t>Akretche</w:t>
      </w:r>
      <w:proofErr w:type="spellEnd"/>
      <w:r w:rsidRPr="007B5A55">
        <w:rPr>
          <w:rFonts w:asciiTheme="minorHAnsi" w:hAnsiTheme="minorHAnsi"/>
          <w:color w:val="000000"/>
        </w:rPr>
        <w:t>, N. Roche</w:t>
      </w:r>
      <w:r w:rsidR="007B5A55">
        <w:rPr>
          <w:rFonts w:asciiTheme="minorHAnsi" w:hAnsiTheme="minorHAnsi"/>
          <w:color w:val="000000"/>
        </w:rPr>
        <w:t>, Journal of Chemical Technology &amp; biotechnology 88 (2013) 1007-1013</w:t>
      </w:r>
      <w:r w:rsidR="00704BDF" w:rsidRPr="007B5A55">
        <w:rPr>
          <w:rFonts w:asciiTheme="minorHAnsi" w:hAnsiTheme="minorHAnsi"/>
          <w:color w:val="000000"/>
        </w:rPr>
        <w:t>.</w:t>
      </w:r>
    </w:p>
    <w:p w14:paraId="56D5794F" w14:textId="77777777" w:rsidR="00704BDF" w:rsidRPr="00B5303F" w:rsidRDefault="002F1464" w:rsidP="00A4057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B5303F">
        <w:rPr>
          <w:rFonts w:asciiTheme="minorHAnsi" w:eastAsia="SimSun" w:hAnsiTheme="minorHAnsi"/>
          <w:lang w:eastAsia="zh-CN"/>
        </w:rPr>
        <w:t xml:space="preserve">V.S. </w:t>
      </w:r>
      <w:proofErr w:type="spellStart"/>
      <w:r w:rsidRPr="00B5303F">
        <w:rPr>
          <w:rFonts w:asciiTheme="minorHAnsi" w:eastAsia="SimSun" w:hAnsiTheme="minorHAnsi"/>
          <w:lang w:eastAsia="zh-CN"/>
        </w:rPr>
        <w:t>Ruys</w:t>
      </w:r>
      <w:proofErr w:type="spellEnd"/>
      <w:r w:rsidRPr="00B5303F">
        <w:rPr>
          <w:rFonts w:asciiTheme="minorHAnsi" w:eastAsia="SimSun" w:hAnsiTheme="minorHAnsi"/>
          <w:lang w:eastAsia="zh-CN"/>
        </w:rPr>
        <w:t xml:space="preserve">, K. </w:t>
      </w:r>
      <w:proofErr w:type="spellStart"/>
      <w:r w:rsidRPr="00B5303F">
        <w:rPr>
          <w:rFonts w:asciiTheme="minorHAnsi" w:eastAsia="SimSun" w:hAnsiTheme="minorHAnsi"/>
          <w:lang w:eastAsia="zh-CN"/>
        </w:rPr>
        <w:t>Zerari</w:t>
      </w:r>
      <w:proofErr w:type="spellEnd"/>
      <w:r w:rsidRPr="00B5303F">
        <w:rPr>
          <w:rFonts w:asciiTheme="minorHAnsi" w:eastAsia="SimSun" w:hAnsiTheme="minorHAnsi"/>
          <w:lang w:eastAsia="zh-CN"/>
        </w:rPr>
        <w:t xml:space="preserve">, I. </w:t>
      </w:r>
      <w:proofErr w:type="spellStart"/>
      <w:r w:rsidRPr="00B5303F">
        <w:rPr>
          <w:rFonts w:asciiTheme="minorHAnsi" w:eastAsia="SimSun" w:hAnsiTheme="minorHAnsi"/>
          <w:lang w:eastAsia="zh-CN"/>
        </w:rPr>
        <w:t>Seyssiecq</w:t>
      </w:r>
      <w:proofErr w:type="spellEnd"/>
      <w:r w:rsidRPr="00B5303F">
        <w:rPr>
          <w:rFonts w:asciiTheme="minorHAnsi" w:eastAsia="SimSun" w:hAnsiTheme="minorHAnsi"/>
          <w:lang w:eastAsia="zh-CN"/>
        </w:rPr>
        <w:t>, N. Roche, Journal of Chemistry (2017) 1-7.</w:t>
      </w:r>
    </w:p>
    <w:sectPr w:rsidR="00704BDF" w:rsidRPr="00B5303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51721" w16cid:durableId="1FE05099"/>
  <w16cid:commentId w16cid:paraId="12E8906D" w16cid:durableId="1FE0504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4C5E0" w14:textId="77777777" w:rsidR="006A6C73" w:rsidRDefault="006A6C73" w:rsidP="004F5E36">
      <w:r>
        <w:separator/>
      </w:r>
    </w:p>
  </w:endnote>
  <w:endnote w:type="continuationSeparator" w:id="0">
    <w:p w14:paraId="66814EDD" w14:textId="77777777" w:rsidR="006A6C73" w:rsidRDefault="006A6C7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2EA7" w14:textId="77777777" w:rsidR="006A6C73" w:rsidRDefault="006A6C73" w:rsidP="004F5E36">
      <w:r>
        <w:separator/>
      </w:r>
    </w:p>
  </w:footnote>
  <w:footnote w:type="continuationSeparator" w:id="0">
    <w:p w14:paraId="2E8EC4B1" w14:textId="77777777" w:rsidR="006A6C73" w:rsidRDefault="006A6C7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36E3" w14:textId="77777777" w:rsidR="00021E99" w:rsidRPr="00DE0019" w:rsidRDefault="00594E9F" w:rsidP="00021E99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0EEB5" wp14:editId="7E12813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F1202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021E99">
      <w:rPr>
        <w:noProof/>
        <w:lang w:val="fr-FR" w:eastAsia="fr-FR"/>
      </w:rPr>
      <w:drawing>
        <wp:anchor distT="0" distB="0" distL="114300" distR="114300" simplePos="0" relativeHeight="251668480" behindDoc="0" locked="0" layoutInCell="1" allowOverlap="1" wp14:anchorId="26F36D80" wp14:editId="63BC979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E99">
      <w:rPr>
        <w:b/>
        <w:i/>
        <w:color w:val="8A046D"/>
        <w:sz w:val="28"/>
        <w:szCs w:val="28"/>
      </w:rPr>
      <w:t xml:space="preserve">           </w:t>
    </w:r>
    <w:r w:rsidR="00021E9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="00021E9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="00021E9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="00021E9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="00021E9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673B47C7" w14:textId="77777777" w:rsidR="004D1162" w:rsidRPr="00AD493F" w:rsidRDefault="004D1162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C6C4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510A917" wp14:editId="7B33AF6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7C5FAFB" w14:textId="77777777" w:rsidR="00704BDF" w:rsidRDefault="00704BDF">
    <w:pPr>
      <w:pStyle w:val="En-tte"/>
    </w:pPr>
  </w:p>
  <w:p w14:paraId="313A6EB6" w14:textId="77777777"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DC9FF2" wp14:editId="12F0A9E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CF776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2451"/>
    <w:rsid w:val="00021E99"/>
    <w:rsid w:val="0003148D"/>
    <w:rsid w:val="00054DA7"/>
    <w:rsid w:val="00060992"/>
    <w:rsid w:val="00062A9A"/>
    <w:rsid w:val="00070E1A"/>
    <w:rsid w:val="00081707"/>
    <w:rsid w:val="00086CD3"/>
    <w:rsid w:val="000A03B2"/>
    <w:rsid w:val="000D15F4"/>
    <w:rsid w:val="000D34BE"/>
    <w:rsid w:val="000E36F1"/>
    <w:rsid w:val="000E3A73"/>
    <w:rsid w:val="000E3A75"/>
    <w:rsid w:val="000E414A"/>
    <w:rsid w:val="001157C4"/>
    <w:rsid w:val="0013121F"/>
    <w:rsid w:val="00134DE4"/>
    <w:rsid w:val="001509C1"/>
    <w:rsid w:val="00150E59"/>
    <w:rsid w:val="00151308"/>
    <w:rsid w:val="00151E7D"/>
    <w:rsid w:val="00184AD6"/>
    <w:rsid w:val="00184F1B"/>
    <w:rsid w:val="00187F64"/>
    <w:rsid w:val="00191E00"/>
    <w:rsid w:val="00193401"/>
    <w:rsid w:val="0019406D"/>
    <w:rsid w:val="001A47C0"/>
    <w:rsid w:val="001B307C"/>
    <w:rsid w:val="001B65C1"/>
    <w:rsid w:val="001C684B"/>
    <w:rsid w:val="001D53FC"/>
    <w:rsid w:val="001E3B51"/>
    <w:rsid w:val="001F2EC7"/>
    <w:rsid w:val="001F672A"/>
    <w:rsid w:val="002065DB"/>
    <w:rsid w:val="00217D26"/>
    <w:rsid w:val="00220450"/>
    <w:rsid w:val="00220500"/>
    <w:rsid w:val="00222DEF"/>
    <w:rsid w:val="002447EF"/>
    <w:rsid w:val="00251550"/>
    <w:rsid w:val="00271285"/>
    <w:rsid w:val="0027221A"/>
    <w:rsid w:val="00275B61"/>
    <w:rsid w:val="002A64DC"/>
    <w:rsid w:val="002A73BC"/>
    <w:rsid w:val="002C2630"/>
    <w:rsid w:val="002C6D74"/>
    <w:rsid w:val="002D1F12"/>
    <w:rsid w:val="002E131A"/>
    <w:rsid w:val="002E360A"/>
    <w:rsid w:val="002E5202"/>
    <w:rsid w:val="002F1464"/>
    <w:rsid w:val="003009B7"/>
    <w:rsid w:val="0030469C"/>
    <w:rsid w:val="00327226"/>
    <w:rsid w:val="003400F6"/>
    <w:rsid w:val="00340478"/>
    <w:rsid w:val="00350B92"/>
    <w:rsid w:val="003723D4"/>
    <w:rsid w:val="003825C7"/>
    <w:rsid w:val="003A7D1C"/>
    <w:rsid w:val="003B5D1B"/>
    <w:rsid w:val="0046164A"/>
    <w:rsid w:val="00462DCD"/>
    <w:rsid w:val="00463426"/>
    <w:rsid w:val="0049289B"/>
    <w:rsid w:val="004D1162"/>
    <w:rsid w:val="004E4DD6"/>
    <w:rsid w:val="004F4998"/>
    <w:rsid w:val="004F5E36"/>
    <w:rsid w:val="00506EF4"/>
    <w:rsid w:val="005119A5"/>
    <w:rsid w:val="00515B41"/>
    <w:rsid w:val="005246AB"/>
    <w:rsid w:val="005278B7"/>
    <w:rsid w:val="00533431"/>
    <w:rsid w:val="005346C8"/>
    <w:rsid w:val="00546BF4"/>
    <w:rsid w:val="00553EB2"/>
    <w:rsid w:val="00567ACA"/>
    <w:rsid w:val="00585F4D"/>
    <w:rsid w:val="005948E4"/>
    <w:rsid w:val="00594E9F"/>
    <w:rsid w:val="005B61E6"/>
    <w:rsid w:val="005C2C8C"/>
    <w:rsid w:val="005C77E1"/>
    <w:rsid w:val="005D6A2F"/>
    <w:rsid w:val="005E1A82"/>
    <w:rsid w:val="005E3153"/>
    <w:rsid w:val="005F0A28"/>
    <w:rsid w:val="005F0E5E"/>
    <w:rsid w:val="005F3240"/>
    <w:rsid w:val="005F7B49"/>
    <w:rsid w:val="005F7B75"/>
    <w:rsid w:val="00601F32"/>
    <w:rsid w:val="00607F16"/>
    <w:rsid w:val="006133DD"/>
    <w:rsid w:val="00614235"/>
    <w:rsid w:val="00620DEE"/>
    <w:rsid w:val="00625639"/>
    <w:rsid w:val="0064184D"/>
    <w:rsid w:val="00643137"/>
    <w:rsid w:val="00660E3E"/>
    <w:rsid w:val="00662E74"/>
    <w:rsid w:val="00687D0E"/>
    <w:rsid w:val="00692E0A"/>
    <w:rsid w:val="006A1853"/>
    <w:rsid w:val="006A2A35"/>
    <w:rsid w:val="006A3D36"/>
    <w:rsid w:val="006A58D2"/>
    <w:rsid w:val="006A6C73"/>
    <w:rsid w:val="006A7A51"/>
    <w:rsid w:val="006C5579"/>
    <w:rsid w:val="006D04B3"/>
    <w:rsid w:val="006F7B3D"/>
    <w:rsid w:val="00704BDF"/>
    <w:rsid w:val="00731542"/>
    <w:rsid w:val="00735A13"/>
    <w:rsid w:val="00736B13"/>
    <w:rsid w:val="007447F3"/>
    <w:rsid w:val="007558F2"/>
    <w:rsid w:val="007661C8"/>
    <w:rsid w:val="00773189"/>
    <w:rsid w:val="00776825"/>
    <w:rsid w:val="00795691"/>
    <w:rsid w:val="007B5A55"/>
    <w:rsid w:val="007C65D5"/>
    <w:rsid w:val="007D52CD"/>
    <w:rsid w:val="007D7493"/>
    <w:rsid w:val="007E53F1"/>
    <w:rsid w:val="008014CB"/>
    <w:rsid w:val="00813288"/>
    <w:rsid w:val="008168FC"/>
    <w:rsid w:val="00833F96"/>
    <w:rsid w:val="008479A2"/>
    <w:rsid w:val="00875154"/>
    <w:rsid w:val="0087637F"/>
    <w:rsid w:val="008A1512"/>
    <w:rsid w:val="008C50C9"/>
    <w:rsid w:val="008D0BEB"/>
    <w:rsid w:val="008D1D38"/>
    <w:rsid w:val="008E566E"/>
    <w:rsid w:val="00901EB6"/>
    <w:rsid w:val="009450CE"/>
    <w:rsid w:val="0095164B"/>
    <w:rsid w:val="009574FF"/>
    <w:rsid w:val="00962BC6"/>
    <w:rsid w:val="0097579E"/>
    <w:rsid w:val="00980381"/>
    <w:rsid w:val="0099210E"/>
    <w:rsid w:val="00996483"/>
    <w:rsid w:val="009B0FC3"/>
    <w:rsid w:val="009B7F4E"/>
    <w:rsid w:val="009B7FD0"/>
    <w:rsid w:val="009C1595"/>
    <w:rsid w:val="009C3547"/>
    <w:rsid w:val="009C7621"/>
    <w:rsid w:val="009E788A"/>
    <w:rsid w:val="009F7024"/>
    <w:rsid w:val="00A00760"/>
    <w:rsid w:val="00A1763D"/>
    <w:rsid w:val="00A17CEC"/>
    <w:rsid w:val="00A23947"/>
    <w:rsid w:val="00A27EF0"/>
    <w:rsid w:val="00A40574"/>
    <w:rsid w:val="00A53EA6"/>
    <w:rsid w:val="00A76EFC"/>
    <w:rsid w:val="00A839C8"/>
    <w:rsid w:val="00A908A5"/>
    <w:rsid w:val="00A9626B"/>
    <w:rsid w:val="00A97F29"/>
    <w:rsid w:val="00AB0964"/>
    <w:rsid w:val="00AC5E18"/>
    <w:rsid w:val="00AD493F"/>
    <w:rsid w:val="00AE2DBE"/>
    <w:rsid w:val="00AE31BC"/>
    <w:rsid w:val="00AE377D"/>
    <w:rsid w:val="00AF30B9"/>
    <w:rsid w:val="00B261B6"/>
    <w:rsid w:val="00B305A9"/>
    <w:rsid w:val="00B367F3"/>
    <w:rsid w:val="00B5303F"/>
    <w:rsid w:val="00B61DBF"/>
    <w:rsid w:val="00B75339"/>
    <w:rsid w:val="00B87B93"/>
    <w:rsid w:val="00B925C1"/>
    <w:rsid w:val="00BA1302"/>
    <w:rsid w:val="00BC30C9"/>
    <w:rsid w:val="00BC44B4"/>
    <w:rsid w:val="00BD6AB1"/>
    <w:rsid w:val="00BE3E58"/>
    <w:rsid w:val="00C01616"/>
    <w:rsid w:val="00C0162B"/>
    <w:rsid w:val="00C05087"/>
    <w:rsid w:val="00C115DE"/>
    <w:rsid w:val="00C345B1"/>
    <w:rsid w:val="00C40142"/>
    <w:rsid w:val="00C54D61"/>
    <w:rsid w:val="00C57182"/>
    <w:rsid w:val="00C57793"/>
    <w:rsid w:val="00C655FD"/>
    <w:rsid w:val="00C83EE6"/>
    <w:rsid w:val="00C867B1"/>
    <w:rsid w:val="00C94434"/>
    <w:rsid w:val="00CA082C"/>
    <w:rsid w:val="00CA1C95"/>
    <w:rsid w:val="00CA53AB"/>
    <w:rsid w:val="00CA5A9C"/>
    <w:rsid w:val="00CA7F5E"/>
    <w:rsid w:val="00CB196F"/>
    <w:rsid w:val="00CC2C94"/>
    <w:rsid w:val="00CD5FE2"/>
    <w:rsid w:val="00CE0F5F"/>
    <w:rsid w:val="00CE2479"/>
    <w:rsid w:val="00CE2DF7"/>
    <w:rsid w:val="00D02B4C"/>
    <w:rsid w:val="00D25A4D"/>
    <w:rsid w:val="00D43A95"/>
    <w:rsid w:val="00D54D2F"/>
    <w:rsid w:val="00D84576"/>
    <w:rsid w:val="00D946B5"/>
    <w:rsid w:val="00DC52C1"/>
    <w:rsid w:val="00DD0C6D"/>
    <w:rsid w:val="00DD6E7A"/>
    <w:rsid w:val="00DE0019"/>
    <w:rsid w:val="00DE01F3"/>
    <w:rsid w:val="00DE264A"/>
    <w:rsid w:val="00DE3B28"/>
    <w:rsid w:val="00DE5742"/>
    <w:rsid w:val="00E001F3"/>
    <w:rsid w:val="00E041E7"/>
    <w:rsid w:val="00E219F1"/>
    <w:rsid w:val="00E23CA1"/>
    <w:rsid w:val="00E3247A"/>
    <w:rsid w:val="00E34F39"/>
    <w:rsid w:val="00E359E8"/>
    <w:rsid w:val="00E409A8"/>
    <w:rsid w:val="00E458FA"/>
    <w:rsid w:val="00E7209D"/>
    <w:rsid w:val="00EA3C62"/>
    <w:rsid w:val="00EA50E1"/>
    <w:rsid w:val="00EC77A7"/>
    <w:rsid w:val="00EE0131"/>
    <w:rsid w:val="00EF0BE0"/>
    <w:rsid w:val="00F02C47"/>
    <w:rsid w:val="00F06145"/>
    <w:rsid w:val="00F22E49"/>
    <w:rsid w:val="00F30C64"/>
    <w:rsid w:val="00F35B95"/>
    <w:rsid w:val="00F52272"/>
    <w:rsid w:val="00F609DC"/>
    <w:rsid w:val="00FA1D9E"/>
    <w:rsid w:val="00FB6A91"/>
    <w:rsid w:val="00FB730C"/>
    <w:rsid w:val="00FC2695"/>
    <w:rsid w:val="00FC3BBB"/>
    <w:rsid w:val="00FC3E03"/>
    <w:rsid w:val="00FC50E2"/>
    <w:rsid w:val="00FE60E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491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F3240"/>
    <w:rPr>
      <w:sz w:val="16"/>
      <w:szCs w:val="16"/>
    </w:rPr>
  </w:style>
  <w:style w:type="paragraph" w:styleId="Rvision">
    <w:name w:val="Revision"/>
    <w:hidden/>
    <w:uiPriority w:val="99"/>
    <w:semiHidden/>
    <w:rsid w:val="00FC3BB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1.xml"/><Relationship Id="rId12" Type="http://schemas.openxmlformats.org/officeDocument/2006/relationships/chart" Target="charts/chart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ocalhost\Users\nicolaslusinier\Desktop\The&#768;se%20CEREGE\e&#769;tude%20transfert%20g:l\plan%20d'exp.xlsx" TargetMode="External"/><Relationship Id="rId4" Type="http://schemas.openxmlformats.org/officeDocument/2006/relationships/chartUserShapes" Target="../drawings/drawing1.xml"/><Relationship Id="rId1" Type="http://schemas.microsoft.com/office/2011/relationships/chartStyle" Target="style1.xml"/><Relationship Id="rId2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ocalhost\Users\nicolaslusinier\Desktop\The&#768;se%20CEREGE\e&#769;tude%20transfert%20g:l\plan%20d'exp.xlsx" TargetMode="External"/><Relationship Id="rId4" Type="http://schemas.openxmlformats.org/officeDocument/2006/relationships/chartUserShapes" Target="../drawings/drawing2.xml"/><Relationship Id="rId1" Type="http://schemas.microsoft.com/office/2011/relationships/chartStyle" Target="style2.xml"/><Relationship Id="rId2" Type="http://schemas.microsoft.com/office/2011/relationships/chartColorStyle" Target="colors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9103106566393"/>
          <c:y val="0.0574331787055445"/>
          <c:w val="0.694564704365743"/>
          <c:h val="0.659984144210713"/>
        </c:manualLayout>
      </c:layout>
      <c:scatterChart>
        <c:scatterStyle val="lineMarker"/>
        <c:varyColors val="0"/>
        <c:ser>
          <c:idx val="0"/>
          <c:order val="0"/>
          <c:tx>
            <c:v>0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Clear water'!$D$3:$D$5</c:f>
                <c:numCache>
                  <c:formatCode>General</c:formatCode>
                  <c:ptCount val="3"/>
                  <c:pt idx="0">
                    <c:v>0.000351188458428424</c:v>
                  </c:pt>
                  <c:pt idx="1">
                    <c:v>0.0004</c:v>
                  </c:pt>
                  <c:pt idx="2">
                    <c:v>0.0004</c:v>
                  </c:pt>
                </c:numCache>
              </c:numRef>
            </c:plus>
            <c:minus>
              <c:numRef>
                <c:f>'Exploitation Clear water'!$D$3:$D$5</c:f>
                <c:numCache>
                  <c:formatCode>General</c:formatCode>
                  <c:ptCount val="3"/>
                  <c:pt idx="0">
                    <c:v>0.000351188458428424</c:v>
                  </c:pt>
                  <c:pt idx="1">
                    <c:v>0.0004</c:v>
                  </c:pt>
                  <c:pt idx="2">
                    <c:v>0.0004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Clear water'!$B$3:$B$5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Clear water'!$C$3:$C$5</c:f>
              <c:numCache>
                <c:formatCode>General</c:formatCode>
                <c:ptCount val="3"/>
                <c:pt idx="0">
                  <c:v>0.00823333333333333</c:v>
                </c:pt>
                <c:pt idx="1">
                  <c:v>0.01583</c:v>
                </c:pt>
                <c:pt idx="2">
                  <c:v>0.0273</c:v>
                </c:pt>
              </c:numCache>
            </c:numRef>
          </c:yVal>
          <c:smooth val="0"/>
        </c:ser>
        <c:ser>
          <c:idx val="1"/>
          <c:order val="1"/>
          <c:tx>
            <c:v>17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Clear water'!$D$9:$D$11</c:f>
                <c:numCache>
                  <c:formatCode>General</c:formatCode>
                  <c:ptCount val="3"/>
                  <c:pt idx="0">
                    <c:v>0.0004</c:v>
                  </c:pt>
                  <c:pt idx="1">
                    <c:v>0.000305505046330389</c:v>
                  </c:pt>
                  <c:pt idx="2">
                    <c:v>0.0004</c:v>
                  </c:pt>
                </c:numCache>
              </c:numRef>
            </c:plus>
            <c:minus>
              <c:numRef>
                <c:f>'Exploitation Clear water'!$D$9:$D$11</c:f>
                <c:numCache>
                  <c:formatCode>General</c:formatCode>
                  <c:ptCount val="3"/>
                  <c:pt idx="0">
                    <c:v>0.0004</c:v>
                  </c:pt>
                  <c:pt idx="1">
                    <c:v>0.000305505046330389</c:v>
                  </c:pt>
                  <c:pt idx="2">
                    <c:v>0.0004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Clear water'!$B$6:$B$8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Clear water'!$C$6:$C$8</c:f>
              <c:numCache>
                <c:formatCode>General</c:formatCode>
                <c:ptCount val="3"/>
                <c:pt idx="0">
                  <c:v>0.0083</c:v>
                </c:pt>
                <c:pt idx="1">
                  <c:v>0.0127</c:v>
                </c:pt>
                <c:pt idx="2">
                  <c:v>0.0252666666666667</c:v>
                </c:pt>
              </c:numCache>
            </c:numRef>
          </c:yVal>
          <c:smooth val="0"/>
        </c:ser>
        <c:ser>
          <c:idx val="2"/>
          <c:order val="2"/>
          <c:tx>
            <c:v>34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Clear water'!$D$9:$D$11</c:f>
                <c:numCache>
                  <c:formatCode>General</c:formatCode>
                  <c:ptCount val="3"/>
                  <c:pt idx="0">
                    <c:v>0.0004</c:v>
                  </c:pt>
                  <c:pt idx="1">
                    <c:v>0.000305505046330389</c:v>
                  </c:pt>
                  <c:pt idx="2">
                    <c:v>0.0004</c:v>
                  </c:pt>
                </c:numCache>
              </c:numRef>
            </c:plus>
            <c:minus>
              <c:numRef>
                <c:f>'Exploitation Clear water'!$D$9:$D$11</c:f>
                <c:numCache>
                  <c:formatCode>General</c:formatCode>
                  <c:ptCount val="3"/>
                  <c:pt idx="0">
                    <c:v>0.0004</c:v>
                  </c:pt>
                  <c:pt idx="1">
                    <c:v>0.000305505046330389</c:v>
                  </c:pt>
                  <c:pt idx="2">
                    <c:v>0.0004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Clear water'!$B$9:$B$11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Clear water'!$C$9:$C$11</c:f>
              <c:numCache>
                <c:formatCode>General</c:formatCode>
                <c:ptCount val="3"/>
                <c:pt idx="0">
                  <c:v>0.0079</c:v>
                </c:pt>
                <c:pt idx="1">
                  <c:v>0.0144333333333333</c:v>
                </c:pt>
                <c:pt idx="2">
                  <c:v>0.0238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650391616"/>
        <c:axId val="-579656848"/>
      </c:scatterChart>
      <c:valAx>
        <c:axId val="-650391616"/>
        <c:scaling>
          <c:orientation val="minMax"/>
          <c:max val="17.0"/>
          <c:min val="0.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</a:t>
                </a:r>
                <a:r>
                  <a:rPr lang="fr-FR" baseline="-25000"/>
                  <a:t>air </a:t>
                </a:r>
                <a:r>
                  <a:rPr lang="fr-FR"/>
                  <a:t>(L.min</a:t>
                </a:r>
                <a:r>
                  <a:rPr lang="fr-FR" baseline="30000"/>
                  <a:t>-1</a:t>
                </a:r>
                <a:r>
                  <a:rPr lang="fr-FR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579656848"/>
        <c:crosses val="autoZero"/>
        <c:crossBetween val="midCat"/>
        <c:majorUnit val="4.0"/>
      </c:valAx>
      <c:valAx>
        <c:axId val="-57965684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K</a:t>
                </a:r>
                <a:r>
                  <a:rPr lang="fr-FR" baseline="-25000"/>
                  <a:t>L</a:t>
                </a:r>
                <a:r>
                  <a:rPr lang="fr-FR"/>
                  <a:t>a</a:t>
                </a:r>
                <a:r>
                  <a:rPr lang="fr-FR" baseline="0"/>
                  <a:t> (s</a:t>
                </a:r>
                <a:r>
                  <a:rPr lang="fr-FR" baseline="30000"/>
                  <a:t>-1</a:t>
                </a:r>
                <a:r>
                  <a:rPr lang="fr-FR" baseline="0"/>
                  <a:t>)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0297181491889485"/>
              <c:y val="0.1919705051531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650391616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5824512002225"/>
          <c:y val="0.0209003215434084"/>
          <c:w val="0.722561556185168"/>
          <c:h val="0.661252894858731"/>
        </c:manualLayout>
      </c:layout>
      <c:scatterChart>
        <c:scatterStyle val="lineMarker"/>
        <c:varyColors val="0"/>
        <c:ser>
          <c:idx val="0"/>
          <c:order val="0"/>
          <c:tx>
            <c:v>0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bentonite'!$D$4:$D$6</c:f>
                <c:numCache>
                  <c:formatCode>General</c:formatCode>
                  <c:ptCount val="3"/>
                  <c:pt idx="0">
                    <c:v>5.77350269189627E-5</c:v>
                  </c:pt>
                  <c:pt idx="1">
                    <c:v>0.00055075705472861</c:v>
                  </c:pt>
                  <c:pt idx="2">
                    <c:v>0.00028</c:v>
                  </c:pt>
                </c:numCache>
              </c:numRef>
            </c:plus>
            <c:minus>
              <c:numRef>
                <c:f>'Exploitation bentonite'!$D$4:$D$6</c:f>
                <c:numCache>
                  <c:formatCode>General</c:formatCode>
                  <c:ptCount val="3"/>
                  <c:pt idx="0">
                    <c:v>5.77350269189627E-5</c:v>
                  </c:pt>
                  <c:pt idx="1">
                    <c:v>0.00055075705472861</c:v>
                  </c:pt>
                  <c:pt idx="2">
                    <c:v>0.00028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bentonite'!$B$4:$B$6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bentonite'!$C$4:$C$6</c:f>
              <c:numCache>
                <c:formatCode>0.0000</c:formatCode>
                <c:ptCount val="3"/>
                <c:pt idx="0" formatCode="General">
                  <c:v>0.0056</c:v>
                </c:pt>
                <c:pt idx="1">
                  <c:v>0.0100666666666667</c:v>
                </c:pt>
                <c:pt idx="2" formatCode="General">
                  <c:v>0.0158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FC1-4BF7-BCB3-56EAB71195AD}"/>
            </c:ext>
          </c:extLst>
        </c:ser>
        <c:ser>
          <c:idx val="1"/>
          <c:order val="1"/>
          <c:tx>
            <c:v>17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bentonite'!$D$7:$D$9</c:f>
                <c:numCache>
                  <c:formatCode>General</c:formatCode>
                  <c:ptCount val="3"/>
                  <c:pt idx="0">
                    <c:v>0.0001</c:v>
                  </c:pt>
                  <c:pt idx="1">
                    <c:v>0.00028</c:v>
                  </c:pt>
                  <c:pt idx="2">
                    <c:v>0.000802080627701063</c:v>
                  </c:pt>
                </c:numCache>
              </c:numRef>
            </c:plus>
            <c:minus>
              <c:numRef>
                <c:f>'Exploitation bentonite'!$D$7:$D$9</c:f>
                <c:numCache>
                  <c:formatCode>General</c:formatCode>
                  <c:ptCount val="3"/>
                  <c:pt idx="0">
                    <c:v>0.0001</c:v>
                  </c:pt>
                  <c:pt idx="1">
                    <c:v>0.00028</c:v>
                  </c:pt>
                  <c:pt idx="2">
                    <c:v>0.000802080627701063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bentonite'!$B$7:$B$9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bentonite'!$C$7:$C$9</c:f>
              <c:numCache>
                <c:formatCode>General</c:formatCode>
                <c:ptCount val="3"/>
                <c:pt idx="0">
                  <c:v>0.0071</c:v>
                </c:pt>
                <c:pt idx="1">
                  <c:v>0.0127</c:v>
                </c:pt>
                <c:pt idx="2" formatCode="0.0000">
                  <c:v>0.0184333333333333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FC1-4BF7-BCB3-56EAB71195AD}"/>
            </c:ext>
          </c:extLst>
        </c:ser>
        <c:ser>
          <c:idx val="2"/>
          <c:order val="2"/>
          <c:tx>
            <c:v>34 cm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'Exploitation bentonite'!$D$11:$D$13</c:f>
                <c:numCache>
                  <c:formatCode>General</c:formatCode>
                  <c:ptCount val="3"/>
                  <c:pt idx="0">
                    <c:v>0.00028</c:v>
                  </c:pt>
                  <c:pt idx="1">
                    <c:v>0.000173205080756888</c:v>
                  </c:pt>
                  <c:pt idx="2">
                    <c:v>0.000251661147842359</c:v>
                  </c:pt>
                </c:numCache>
              </c:numRef>
            </c:plus>
            <c:minus>
              <c:numRef>
                <c:f>'Exploitation bentonite'!$D$11:$D$13</c:f>
                <c:numCache>
                  <c:formatCode>General</c:formatCode>
                  <c:ptCount val="3"/>
                  <c:pt idx="0">
                    <c:v>0.00028</c:v>
                  </c:pt>
                  <c:pt idx="1">
                    <c:v>0.000173205080756888</c:v>
                  </c:pt>
                  <c:pt idx="2">
                    <c:v>0.000251661147842359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'Exploitation bentonite'!$B$11:$B$13</c:f>
              <c:numCache>
                <c:formatCode>General</c:formatCode>
                <c:ptCount val="3"/>
                <c:pt idx="0">
                  <c:v>4.0</c:v>
                </c:pt>
                <c:pt idx="1">
                  <c:v>10.0</c:v>
                </c:pt>
                <c:pt idx="2">
                  <c:v>16.0</c:v>
                </c:pt>
              </c:numCache>
            </c:numRef>
          </c:xVal>
          <c:yVal>
            <c:numRef>
              <c:f>'Exploitation bentonite'!$C$11:$C$13</c:f>
              <c:numCache>
                <c:formatCode>General</c:formatCode>
                <c:ptCount val="3"/>
                <c:pt idx="0">
                  <c:v>0.0092</c:v>
                </c:pt>
                <c:pt idx="1">
                  <c:v>0.0148</c:v>
                </c:pt>
                <c:pt idx="2" formatCode="0.0000">
                  <c:v>0.0193666666666667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FC1-4BF7-BCB3-56EAB7119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584802720"/>
        <c:axId val="-584799088"/>
      </c:scatterChart>
      <c:valAx>
        <c:axId val="-584802720"/>
        <c:scaling>
          <c:orientation val="minMax"/>
          <c:max val="17.0"/>
          <c:min val="0.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Q</a:t>
                </a:r>
                <a:r>
                  <a:rPr lang="fr-FR" baseline="-25000"/>
                  <a:t>air</a:t>
                </a:r>
                <a:r>
                  <a:rPr lang="fr-FR"/>
                  <a:t> (L.min</a:t>
                </a:r>
                <a:r>
                  <a:rPr lang="fr-FR" baseline="30000"/>
                  <a:t>-1</a:t>
                </a:r>
                <a:r>
                  <a:rPr lang="fr-FR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584799088"/>
        <c:crosses val="autoZero"/>
        <c:crossBetween val="midCat"/>
        <c:majorUnit val="4.0"/>
      </c:valAx>
      <c:valAx>
        <c:axId val="-584799088"/>
        <c:scaling>
          <c:orientation val="minMax"/>
          <c:max val="0.04"/>
          <c:min val="0.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K</a:t>
                </a:r>
                <a:r>
                  <a:rPr lang="fr-FR" baseline="-25000"/>
                  <a:t>L</a:t>
                </a:r>
                <a:r>
                  <a:rPr lang="fr-FR"/>
                  <a:t>a</a:t>
                </a:r>
                <a:r>
                  <a:rPr lang="fr-FR" baseline="0"/>
                  <a:t> (s</a:t>
                </a:r>
                <a:r>
                  <a:rPr lang="fr-FR" baseline="30000"/>
                  <a:t>-1</a:t>
                </a:r>
                <a:r>
                  <a:rPr lang="fr-FR" baseline="0"/>
                  <a:t>)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584802720"/>
        <c:crosses val="autoZero"/>
        <c:crossBetween val="midCat"/>
        <c:majorUnit val="0.02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0.01833</cdr:x>
      <cdr:y>0.80602</cdr:y>
    </cdr:from>
    <cdr:to>
      <cdr:x>0.10919</cdr:x>
      <cdr:y>0.98197</cdr:y>
    </cdr:to>
    <cdr:sp macro="" textlink="">
      <cdr:nvSpPr>
        <cdr:cNvPr id="2" name="Zone de texte 1"/>
        <cdr:cNvSpPr txBox="1"/>
      </cdr:nvSpPr>
      <cdr:spPr>
        <a:xfrm xmlns:a="http://schemas.openxmlformats.org/drawingml/2006/main">
          <a:off x="46119" y="1047189"/>
          <a:ext cx="228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100"/>
            <a:t>(a)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0.00142</cdr:x>
      <cdr:y>0.80839</cdr:y>
    </cdr:from>
    <cdr:to>
      <cdr:x>0.09217</cdr:x>
      <cdr:y>0.98486</cdr:y>
    </cdr:to>
    <cdr:sp macro="" textlink="">
      <cdr:nvSpPr>
        <cdr:cNvPr id="2" name="Zone de texte 1"/>
        <cdr:cNvSpPr txBox="1"/>
      </cdr:nvSpPr>
      <cdr:spPr>
        <a:xfrm xmlns:a="http://schemas.openxmlformats.org/drawingml/2006/main">
          <a:off x="3588" y="1047189"/>
          <a:ext cx="228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fr-FR"/>
            <a:t>(b)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E1B8-3080-0D44-BA69-DF330C73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4208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Nicolas LUSINIER</cp:lastModifiedBy>
  <cp:revision>2</cp:revision>
  <cp:lastPrinted>2015-05-12T18:31:00Z</cp:lastPrinted>
  <dcterms:created xsi:type="dcterms:W3CDTF">2019-01-14T13:43:00Z</dcterms:created>
  <dcterms:modified xsi:type="dcterms:W3CDTF">2019-01-14T13:43:00Z</dcterms:modified>
</cp:coreProperties>
</file>