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1D1E0C" w:rsidRPr="001D1E0C" w:rsidRDefault="001D1E0C" w:rsidP="001D1E0C">
      <w:pPr>
        <w:jc w:val="center"/>
        <w:rPr>
          <w:rFonts w:ascii="Calibri" w:hAnsi="Calibri"/>
          <w:b/>
          <w:color w:val="000000" w:themeColor="text1"/>
          <w:sz w:val="28"/>
          <w:szCs w:val="28"/>
        </w:rPr>
      </w:pPr>
      <w:r w:rsidRPr="001D1E0C">
        <w:rPr>
          <w:rFonts w:ascii="Calibri" w:hAnsi="Calibri"/>
          <w:b/>
          <w:color w:val="000000" w:themeColor="text1"/>
          <w:sz w:val="28"/>
          <w:szCs w:val="28"/>
        </w:rPr>
        <w:t xml:space="preserve">Evaluation of two-species binding model within anion-exchange membrane chromatography to predict pressure </w:t>
      </w:r>
      <w:proofErr w:type="spellStart"/>
      <w:r w:rsidRPr="001D1E0C">
        <w:rPr>
          <w:rFonts w:ascii="Calibri" w:hAnsi="Calibri"/>
          <w:b/>
          <w:color w:val="000000" w:themeColor="text1"/>
          <w:sz w:val="28"/>
          <w:szCs w:val="28"/>
        </w:rPr>
        <w:t>buildup</w:t>
      </w:r>
      <w:proofErr w:type="spellEnd"/>
      <w:r w:rsidRPr="001D1E0C">
        <w:rPr>
          <w:rFonts w:ascii="Calibri" w:hAnsi="Calibri"/>
          <w:b/>
          <w:color w:val="000000" w:themeColor="text1"/>
          <w:sz w:val="28"/>
          <w:szCs w:val="28"/>
        </w:rPr>
        <w:t xml:space="preserve"> </w:t>
      </w:r>
      <w:r>
        <w:rPr>
          <w:rFonts w:ascii="Calibri" w:hAnsi="Calibri"/>
          <w:b/>
          <w:color w:val="000000" w:themeColor="text1"/>
          <w:sz w:val="28"/>
          <w:szCs w:val="28"/>
        </w:rPr>
        <w:t>during recovery of a virus</w:t>
      </w:r>
    </w:p>
    <w:p w:rsidR="00704BDF" w:rsidRPr="00DE0019" w:rsidRDefault="00704BDF" w:rsidP="00704BDF">
      <w:pPr>
        <w:snapToGrid w:val="0"/>
        <w:spacing w:after="360"/>
        <w:jc w:val="center"/>
        <w:rPr>
          <w:rFonts w:asciiTheme="minorHAnsi" w:eastAsia="MS PGothic" w:hAnsiTheme="minorHAnsi"/>
          <w:b/>
          <w:bCs/>
          <w:sz w:val="28"/>
          <w:szCs w:val="28"/>
          <w:lang w:val="en-US" w:eastAsia="ko-KR"/>
        </w:rPr>
      </w:pPr>
    </w:p>
    <w:p w:rsidR="00DE0019" w:rsidRPr="006432E6" w:rsidRDefault="006432E6" w:rsidP="00704BDF">
      <w:pPr>
        <w:snapToGrid w:val="0"/>
        <w:spacing w:after="120"/>
        <w:jc w:val="center"/>
        <w:rPr>
          <w:rFonts w:ascii="Calibri" w:eastAsia="SimSun" w:hAnsi="Calibri"/>
          <w:color w:val="000000"/>
          <w:sz w:val="24"/>
          <w:szCs w:val="24"/>
          <w:lang w:val="en-US" w:eastAsia="zh-CN"/>
        </w:rPr>
      </w:pPr>
      <w:r w:rsidRPr="006432E6">
        <w:rPr>
          <w:rFonts w:ascii="Calibri" w:eastAsia="SimSun" w:hAnsi="Calibri"/>
          <w:color w:val="000000"/>
          <w:sz w:val="24"/>
          <w:szCs w:val="24"/>
          <w:u w:val="single"/>
          <w:lang w:val="en-US" w:eastAsia="zh-CN"/>
        </w:rPr>
        <w:t>William Kelly</w:t>
      </w:r>
      <w:r w:rsidR="00704BDF" w:rsidRPr="006432E6">
        <w:rPr>
          <w:rFonts w:ascii="Calibri" w:eastAsia="SimSun" w:hAnsi="Calibri"/>
          <w:color w:val="000000"/>
          <w:sz w:val="24"/>
          <w:szCs w:val="24"/>
          <w:u w:val="single"/>
          <w:vertAlign w:val="superscript"/>
          <w:lang w:val="en-US" w:eastAsia="zh-CN"/>
        </w:rPr>
        <w:t>1</w:t>
      </w:r>
      <w:r>
        <w:rPr>
          <w:rFonts w:ascii="Calibri" w:eastAsia="SimSun" w:hAnsi="Calibri"/>
          <w:color w:val="000000"/>
          <w:sz w:val="24"/>
          <w:szCs w:val="24"/>
          <w:u w:val="single"/>
          <w:vertAlign w:val="superscript"/>
          <w:lang w:val="en-US" w:eastAsia="zh-CN"/>
        </w:rPr>
        <w:t>*</w:t>
      </w:r>
      <w:r w:rsidRPr="006432E6">
        <w:rPr>
          <w:rFonts w:ascii="Calibri" w:eastAsia="SimSun" w:hAnsi="Calibri"/>
          <w:color w:val="000000"/>
          <w:sz w:val="24"/>
          <w:szCs w:val="24"/>
          <w:lang w:val="en-US" w:eastAsia="zh-CN"/>
        </w:rPr>
        <w:t>, Kelsey O’Donnell</w:t>
      </w:r>
      <w:r w:rsidRPr="006432E6">
        <w:rPr>
          <w:rFonts w:ascii="Calibri" w:eastAsia="SimSun" w:hAnsi="Calibri"/>
          <w:color w:val="000000"/>
          <w:sz w:val="24"/>
          <w:szCs w:val="24"/>
          <w:vertAlign w:val="superscript"/>
          <w:lang w:val="en-US" w:eastAsia="zh-CN"/>
        </w:rPr>
        <w:t>1</w:t>
      </w:r>
      <w:r w:rsidRPr="006432E6">
        <w:rPr>
          <w:rFonts w:ascii="Calibri" w:eastAsia="SimSun" w:hAnsi="Calibri"/>
          <w:color w:val="000000"/>
          <w:sz w:val="24"/>
          <w:szCs w:val="24"/>
          <w:lang w:val="en-US" w:eastAsia="zh-CN"/>
        </w:rPr>
        <w:t xml:space="preserve">, </w:t>
      </w:r>
      <w:proofErr w:type="spellStart"/>
      <w:r w:rsidRPr="006432E6">
        <w:rPr>
          <w:rFonts w:ascii="Calibri" w:eastAsia="SimSun" w:hAnsi="Calibri"/>
          <w:color w:val="000000"/>
          <w:sz w:val="24"/>
          <w:szCs w:val="24"/>
          <w:lang w:val="en-US" w:eastAsia="zh-CN"/>
        </w:rPr>
        <w:t>Zuyi</w:t>
      </w:r>
      <w:proofErr w:type="spellEnd"/>
      <w:r w:rsidRPr="006432E6">
        <w:rPr>
          <w:rFonts w:ascii="Calibri" w:eastAsia="SimSun" w:hAnsi="Calibri"/>
          <w:color w:val="000000"/>
          <w:sz w:val="24"/>
          <w:szCs w:val="24"/>
          <w:lang w:val="en-US" w:eastAsia="zh-CN"/>
        </w:rPr>
        <w:t xml:space="preserve"> Huang</w:t>
      </w:r>
      <w:r w:rsidRPr="006432E6">
        <w:rPr>
          <w:rFonts w:ascii="Calibri" w:eastAsia="SimSun" w:hAnsi="Calibri"/>
          <w:color w:val="000000"/>
          <w:sz w:val="24"/>
          <w:szCs w:val="24"/>
          <w:vertAlign w:val="superscript"/>
          <w:lang w:val="en-US" w:eastAsia="zh-CN"/>
        </w:rPr>
        <w:t>1</w:t>
      </w:r>
    </w:p>
    <w:p w:rsidR="00704BDF" w:rsidRPr="00460ED5" w:rsidRDefault="006432E6" w:rsidP="00704BDF">
      <w:pPr>
        <w:snapToGrid w:val="0"/>
        <w:spacing w:after="120"/>
        <w:jc w:val="center"/>
        <w:rPr>
          <w:rFonts w:asciiTheme="minorHAnsi" w:eastAsia="MS PGothic" w:hAnsiTheme="minorHAnsi"/>
          <w:i/>
          <w:iCs/>
          <w:color w:val="000000"/>
          <w:sz w:val="20"/>
          <w:lang w:val="en-US"/>
        </w:rPr>
      </w:pPr>
      <w:r w:rsidRPr="00460ED5">
        <w:rPr>
          <w:rFonts w:asciiTheme="minorHAnsi" w:eastAsia="MS PGothic" w:hAnsiTheme="minorHAnsi"/>
          <w:i/>
          <w:iCs/>
          <w:color w:val="000000"/>
          <w:sz w:val="20"/>
          <w:lang w:val="en-US"/>
        </w:rPr>
        <w:t>Department of Chemical Engineering</w:t>
      </w:r>
    </w:p>
    <w:p w:rsidR="006432E6" w:rsidRPr="00460ED5" w:rsidRDefault="006432E6" w:rsidP="00704BDF">
      <w:pPr>
        <w:snapToGrid w:val="0"/>
        <w:spacing w:after="120"/>
        <w:jc w:val="center"/>
        <w:rPr>
          <w:rFonts w:asciiTheme="minorHAnsi" w:eastAsia="MS PGothic" w:hAnsiTheme="minorHAnsi"/>
          <w:i/>
          <w:iCs/>
          <w:color w:val="000000"/>
          <w:sz w:val="20"/>
          <w:lang w:val="en-US"/>
        </w:rPr>
      </w:pPr>
      <w:r w:rsidRPr="00460ED5">
        <w:rPr>
          <w:rFonts w:asciiTheme="minorHAnsi" w:eastAsia="MS PGothic" w:hAnsiTheme="minorHAnsi"/>
          <w:i/>
          <w:iCs/>
          <w:color w:val="000000"/>
          <w:sz w:val="20"/>
          <w:lang w:val="en-US"/>
        </w:rPr>
        <w:t xml:space="preserve">Villanova University, </w:t>
      </w:r>
      <w:proofErr w:type="gramStart"/>
      <w:r w:rsidRPr="00460ED5">
        <w:rPr>
          <w:rFonts w:asciiTheme="minorHAnsi" w:eastAsia="MS PGothic" w:hAnsiTheme="minorHAnsi"/>
          <w:i/>
          <w:iCs/>
          <w:color w:val="000000"/>
          <w:sz w:val="20"/>
          <w:lang w:val="en-US"/>
        </w:rPr>
        <w:t>19085  USA</w:t>
      </w:r>
      <w:proofErr w:type="gramEnd"/>
    </w:p>
    <w:p w:rsidR="00704BDF" w:rsidRPr="00460ED5" w:rsidRDefault="00460ED5" w:rsidP="00460ED5">
      <w:pPr>
        <w:tabs>
          <w:tab w:val="center" w:pos="4393"/>
          <w:tab w:val="left" w:pos="7470"/>
        </w:tabs>
        <w:snapToGrid w:val="0"/>
        <w:jc w:val="left"/>
        <w:rPr>
          <w:rFonts w:asciiTheme="minorHAnsi" w:eastAsia="MS PGothic" w:hAnsiTheme="minorHAnsi"/>
          <w:bCs/>
          <w:i/>
          <w:iCs/>
          <w:sz w:val="20"/>
          <w:lang w:val="en-US"/>
        </w:rPr>
      </w:pPr>
      <w:r>
        <w:rPr>
          <w:rFonts w:asciiTheme="minorHAnsi" w:eastAsia="MS PGothic" w:hAnsiTheme="minorHAnsi"/>
          <w:bCs/>
          <w:i/>
          <w:iCs/>
          <w:color w:val="000000"/>
          <w:sz w:val="20"/>
          <w:lang w:val="en-US"/>
        </w:rPr>
        <w:tab/>
      </w:r>
      <w:r w:rsidR="006432E6" w:rsidRPr="00460ED5">
        <w:rPr>
          <w:rFonts w:asciiTheme="minorHAnsi" w:eastAsia="MS PGothic" w:hAnsiTheme="minorHAnsi"/>
          <w:bCs/>
          <w:i/>
          <w:iCs/>
          <w:color w:val="000000"/>
          <w:sz w:val="20"/>
          <w:lang w:val="en-US"/>
        </w:rPr>
        <w:t>*William.j.kelly@villanova.edu</w:t>
      </w:r>
      <w:r>
        <w:rPr>
          <w:rFonts w:asciiTheme="minorHAnsi" w:eastAsia="MS PGothic" w:hAnsiTheme="minorHAnsi"/>
          <w:bCs/>
          <w:i/>
          <w:iCs/>
          <w:color w:val="000000"/>
          <w:sz w:val="20"/>
          <w:lang w:val="en-US"/>
        </w:rPr>
        <w:tab/>
      </w:r>
      <w:r>
        <w:rPr>
          <w:rFonts w:asciiTheme="minorHAnsi" w:eastAsia="MS PGothic" w:hAnsiTheme="minorHAnsi"/>
          <w:bCs/>
          <w:i/>
          <w:iCs/>
          <w:color w:val="000000"/>
          <w:sz w:val="20"/>
          <w:lang w:val="en-US"/>
        </w:rPr>
        <w:tab/>
      </w:r>
    </w:p>
    <w:p w:rsidR="00704BDF" w:rsidRPr="00EC66CC" w:rsidRDefault="00704BDF" w:rsidP="00974930">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Default="00460ED5" w:rsidP="00460ED5">
      <w:pPr>
        <w:pStyle w:val="AbstractBody"/>
        <w:numPr>
          <w:ilvl w:val="0"/>
          <w:numId w:val="16"/>
        </w:numPr>
        <w:rPr>
          <w:rFonts w:asciiTheme="minorHAnsi" w:hAnsiTheme="minorHAnsi"/>
        </w:rPr>
      </w:pPr>
      <w:r>
        <w:rPr>
          <w:rFonts w:asciiTheme="minorHAnsi" w:hAnsiTheme="minorHAnsi"/>
        </w:rPr>
        <w:t>P</w:t>
      </w:r>
      <w:r w:rsidRPr="00460ED5">
        <w:rPr>
          <w:rFonts w:asciiTheme="minorHAnsi" w:hAnsiTheme="minorHAnsi"/>
        </w:rPr>
        <w:t xml:space="preserve">ressure drop across a membrane chromatography unit increases steadily during operation and that this increase is more significant if a higher amount of DNA is present in the feed to the membrane unit.  </w:t>
      </w:r>
    </w:p>
    <w:p w:rsidR="002B6DAE" w:rsidRPr="00E0462E" w:rsidRDefault="002B6DAE" w:rsidP="00460ED5">
      <w:pPr>
        <w:pStyle w:val="AbstractBody"/>
        <w:numPr>
          <w:ilvl w:val="0"/>
          <w:numId w:val="16"/>
        </w:numPr>
        <w:rPr>
          <w:rFonts w:asciiTheme="minorHAnsi" w:hAnsiTheme="minorHAnsi"/>
        </w:rPr>
      </w:pPr>
      <w:r w:rsidRPr="002B6DAE">
        <w:rPr>
          <w:rFonts w:asciiTheme="minorHAnsi" w:hAnsiTheme="minorHAnsi"/>
        </w:rPr>
        <w:t xml:space="preserve">A </w:t>
      </w:r>
      <w:r w:rsidRPr="00EB0E9E">
        <w:rPr>
          <w:rFonts w:ascii="Calibri" w:hAnsi="Calibri"/>
        </w:rPr>
        <w:t xml:space="preserve">mathematical model was developed that accounts for the competition of DNA and virus for binding sites </w:t>
      </w:r>
      <w:r w:rsidR="00EB0E9E" w:rsidRPr="00EB0E9E">
        <w:rPr>
          <w:rFonts w:ascii="Calibri" w:hAnsi="Calibri"/>
        </w:rPr>
        <w:t xml:space="preserve">on the membrane surface, and </w:t>
      </w:r>
      <w:r w:rsidR="00EB0E9E" w:rsidRPr="00EB0E9E">
        <w:rPr>
          <w:rFonts w:ascii="Calibri" w:hAnsi="Calibri"/>
          <w:color w:val="000000" w:themeColor="text1"/>
        </w:rPr>
        <w:t xml:space="preserve">predicts </w:t>
      </w:r>
      <w:r w:rsidR="00EB0E9E" w:rsidRPr="00EB0E9E">
        <w:rPr>
          <w:rFonts w:ascii="Calibri" w:hAnsi="Calibri"/>
          <w:color w:val="000000" w:themeColor="text1"/>
        </w:rPr>
        <w:t xml:space="preserve">virus bound per channel </w:t>
      </w:r>
      <w:r w:rsidR="00EB0E9E" w:rsidRPr="00EB0E9E">
        <w:rPr>
          <w:rFonts w:ascii="Calibri" w:hAnsi="Calibri"/>
          <w:color w:val="000000" w:themeColor="text1"/>
        </w:rPr>
        <w:t>lengt</w:t>
      </w:r>
      <w:r w:rsidR="00EB0E9E" w:rsidRPr="00EB0E9E">
        <w:rPr>
          <w:rFonts w:ascii="Calibri" w:hAnsi="Calibri"/>
          <w:color w:val="000000" w:themeColor="text1"/>
        </w:rPr>
        <w:t xml:space="preserve">h which </w:t>
      </w:r>
      <w:r w:rsidR="00EB0E9E" w:rsidRPr="00EB0E9E">
        <w:rPr>
          <w:rFonts w:ascii="Calibri" w:hAnsi="Calibri"/>
          <w:color w:val="000000" w:themeColor="text1"/>
        </w:rPr>
        <w:t>correlates well with pressure rise</w:t>
      </w:r>
      <w:r w:rsidR="00EB0E9E">
        <w:rPr>
          <w:rFonts w:ascii="Times New Roman" w:hAnsi="Times New Roman"/>
          <w:color w:val="000000" w:themeColor="text1"/>
          <w:sz w:val="22"/>
          <w:szCs w:val="22"/>
        </w:rPr>
        <w:t>.</w:t>
      </w:r>
    </w:p>
    <w:p w:rsidR="00E0462E" w:rsidRPr="00886C48" w:rsidRDefault="00E0462E" w:rsidP="00460ED5">
      <w:pPr>
        <w:pStyle w:val="AbstractBody"/>
        <w:numPr>
          <w:ilvl w:val="0"/>
          <w:numId w:val="16"/>
        </w:numPr>
        <w:rPr>
          <w:rFonts w:asciiTheme="minorHAnsi" w:hAnsiTheme="minorHAnsi"/>
        </w:rPr>
      </w:pPr>
      <w:r w:rsidRPr="00E0462E">
        <w:rPr>
          <w:rFonts w:asciiTheme="minorHAnsi" w:hAnsiTheme="minorHAnsi"/>
          <w:color w:val="000000" w:themeColor="text1"/>
        </w:rPr>
        <w:t>The model predicted quite well the experimental breakthrough curves (as well as the amount of virus loaded per membrane channel length) across a range of inlet DNA concentrations from 1 x 10</w:t>
      </w:r>
      <w:r w:rsidRPr="00E0462E">
        <w:rPr>
          <w:rFonts w:asciiTheme="minorHAnsi" w:hAnsiTheme="minorHAnsi"/>
          <w:color w:val="000000" w:themeColor="text1"/>
          <w:vertAlign w:val="superscript"/>
        </w:rPr>
        <w:t>-10</w:t>
      </w:r>
      <w:r w:rsidRPr="00E0462E">
        <w:rPr>
          <w:rFonts w:asciiTheme="minorHAnsi" w:hAnsiTheme="minorHAnsi"/>
          <w:color w:val="000000" w:themeColor="text1"/>
        </w:rPr>
        <w:t xml:space="preserve">  to 5 x 10</w:t>
      </w:r>
      <w:r w:rsidRPr="00E0462E">
        <w:rPr>
          <w:rFonts w:asciiTheme="minorHAnsi" w:hAnsiTheme="minorHAnsi"/>
          <w:color w:val="000000" w:themeColor="text1"/>
          <w:vertAlign w:val="superscript"/>
        </w:rPr>
        <w:t>-6</w:t>
      </w:r>
      <w:r w:rsidRPr="00E0462E">
        <w:rPr>
          <w:rFonts w:asciiTheme="minorHAnsi" w:hAnsiTheme="minorHAnsi"/>
          <w:color w:val="000000" w:themeColor="text1"/>
        </w:rPr>
        <w:t xml:space="preserve"> g/ml and a range of inlet virus concentration from 1-5 x 10</w:t>
      </w:r>
      <w:r w:rsidRPr="00E0462E">
        <w:rPr>
          <w:rFonts w:asciiTheme="minorHAnsi" w:hAnsiTheme="minorHAnsi"/>
          <w:color w:val="000000" w:themeColor="text1"/>
          <w:vertAlign w:val="superscript"/>
        </w:rPr>
        <w:t>-4</w:t>
      </w:r>
      <w:r w:rsidRPr="00E0462E">
        <w:rPr>
          <w:rFonts w:asciiTheme="minorHAnsi" w:hAnsiTheme="minorHAnsi"/>
          <w:color w:val="000000" w:themeColor="text1"/>
        </w:rPr>
        <w:t xml:space="preserve"> g/ml.</w:t>
      </w:r>
    </w:p>
    <w:p w:rsidR="00704BDF" w:rsidRDefault="00704BDF" w:rsidP="00704BDF">
      <w:pPr>
        <w:snapToGrid w:val="0"/>
        <w:spacing w:after="120"/>
        <w:jc w:val="center"/>
        <w:rPr>
          <w:rFonts w:eastAsia="SimSun"/>
          <w:bCs/>
          <w:i/>
          <w:iCs/>
          <w:color w:val="0000FF"/>
          <w:sz w:val="20"/>
          <w:lang w:val="en-US" w:eastAsia="zh-CN"/>
        </w:rPr>
      </w:pPr>
    </w:p>
    <w:p w:rsidR="000616F3" w:rsidRPr="00A15B93" w:rsidRDefault="000616F3"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076C7C" w:rsidRDefault="00945F53" w:rsidP="000616F3">
      <w:pPr>
        <w:spacing w:line="240" w:lineRule="auto"/>
        <w:rPr>
          <w:rFonts w:asciiTheme="minorHAnsi" w:hAnsiTheme="minorHAnsi"/>
          <w:sz w:val="22"/>
          <w:szCs w:val="22"/>
        </w:rPr>
      </w:pPr>
      <w:r w:rsidRPr="00A75477">
        <w:rPr>
          <w:rFonts w:asciiTheme="minorHAnsi" w:hAnsiTheme="minorHAnsi"/>
          <w:sz w:val="22"/>
          <w:szCs w:val="22"/>
        </w:rPr>
        <w:t>Membrane chromatography is an emerging technology for its effective removal of host cell DNA, proteins, and other small macromolecules throughout downstream purification. Multiple vendors supply this single-use technology in several surface chemistry options</w:t>
      </w:r>
      <w:r w:rsidR="00076C7C" w:rsidRPr="00A75477">
        <w:rPr>
          <w:rFonts w:asciiTheme="minorHAnsi" w:hAnsiTheme="minorHAnsi"/>
          <w:sz w:val="22"/>
          <w:szCs w:val="22"/>
        </w:rPr>
        <w:t>.</w:t>
      </w:r>
      <w:r w:rsidR="00A75477" w:rsidRPr="00A75477">
        <w:rPr>
          <w:rFonts w:asciiTheme="minorHAnsi" w:hAnsiTheme="minorHAnsi"/>
          <w:sz w:val="22"/>
          <w:szCs w:val="22"/>
        </w:rPr>
        <w:t xml:space="preserve"> </w:t>
      </w:r>
      <w:r w:rsidR="00A75477" w:rsidRPr="00A75477">
        <w:rPr>
          <w:rFonts w:asciiTheme="minorHAnsi" w:hAnsiTheme="minorHAnsi"/>
          <w:sz w:val="22"/>
          <w:szCs w:val="22"/>
        </w:rPr>
        <w:t>The main feature of chromatographic separations based on membranes is the absence of pore diffusion, which is the main transport resistance in conventional column chromatography. Using porous particles.  With the membranes, the molecules move via convection through the</w:t>
      </w:r>
      <w:r w:rsidR="00A75477">
        <w:rPr>
          <w:rFonts w:asciiTheme="minorHAnsi" w:hAnsiTheme="minorHAnsi"/>
          <w:sz w:val="22"/>
          <w:szCs w:val="22"/>
        </w:rPr>
        <w:t xml:space="preserve"> pores</w:t>
      </w:r>
      <w:r w:rsidR="00A75477" w:rsidRPr="00A75477">
        <w:rPr>
          <w:rFonts w:asciiTheme="minorHAnsi" w:hAnsiTheme="minorHAnsi"/>
          <w:sz w:val="22"/>
          <w:szCs w:val="22"/>
        </w:rPr>
        <w:t xml:space="preserve"> (1).</w:t>
      </w:r>
    </w:p>
    <w:p w:rsidR="000616F3" w:rsidRDefault="000616F3" w:rsidP="000616F3">
      <w:pPr>
        <w:spacing w:line="240" w:lineRule="auto"/>
        <w:rPr>
          <w:rFonts w:asciiTheme="minorHAnsi" w:hAnsiTheme="minorHAnsi"/>
          <w:sz w:val="22"/>
          <w:szCs w:val="22"/>
        </w:rPr>
      </w:pPr>
    </w:p>
    <w:p w:rsidR="00076C7C" w:rsidRDefault="00945F53" w:rsidP="00076C7C">
      <w:pPr>
        <w:snapToGrid w:val="0"/>
        <w:spacing w:before="240" w:line="300" w:lineRule="auto"/>
        <w:rPr>
          <w:rFonts w:asciiTheme="minorHAnsi" w:eastAsia="MS PGothic" w:hAnsiTheme="minorHAnsi"/>
          <w:color w:val="000000"/>
          <w:sz w:val="22"/>
          <w:szCs w:val="22"/>
          <w:lang w:val="en-US"/>
        </w:rPr>
      </w:pPr>
      <w:r w:rsidRPr="00945F53">
        <w:rPr>
          <w:rFonts w:asciiTheme="minorHAnsi" w:hAnsiTheme="minorHAnsi"/>
          <w:sz w:val="22"/>
          <w:szCs w:val="22"/>
        </w:rPr>
        <w:t xml:space="preserve"> </w:t>
      </w:r>
      <w:r w:rsidR="00704BDF" w:rsidRPr="00945F53">
        <w:rPr>
          <w:rFonts w:asciiTheme="minorHAnsi" w:eastAsia="MS PGothic" w:hAnsiTheme="minorHAnsi"/>
          <w:b/>
          <w:bCs/>
          <w:color w:val="000000"/>
          <w:sz w:val="22"/>
          <w:szCs w:val="22"/>
          <w:lang w:val="en-US"/>
        </w:rPr>
        <w:t>2. Methods</w:t>
      </w:r>
    </w:p>
    <w:p w:rsidR="00076C7C" w:rsidRPr="009B0576" w:rsidRDefault="00A75477" w:rsidP="00076C7C">
      <w:pPr>
        <w:snapToGrid w:val="0"/>
        <w:spacing w:before="240" w:line="300" w:lineRule="auto"/>
        <w:rPr>
          <w:rFonts w:asciiTheme="minorHAnsi" w:eastAsia="MS PGothic" w:hAnsiTheme="minorHAnsi"/>
          <w:color w:val="000000"/>
          <w:sz w:val="22"/>
          <w:szCs w:val="22"/>
          <w:lang w:val="en-US"/>
        </w:rPr>
      </w:pPr>
      <w:r>
        <w:rPr>
          <w:rFonts w:asciiTheme="minorHAnsi" w:hAnsiTheme="minorHAnsi"/>
          <w:sz w:val="22"/>
          <w:szCs w:val="22"/>
        </w:rPr>
        <w:tab/>
      </w:r>
      <w:r w:rsidR="00076C7C" w:rsidRPr="009B0576">
        <w:rPr>
          <w:rFonts w:asciiTheme="minorHAnsi" w:hAnsiTheme="minorHAnsi"/>
          <w:sz w:val="22"/>
          <w:szCs w:val="22"/>
        </w:rPr>
        <w:t xml:space="preserve">The presented findings aim to determine the cause of constant pressure rise observed during the loading phase of a viral recovery process using Sartorius </w:t>
      </w:r>
      <w:proofErr w:type="spellStart"/>
      <w:r w:rsidR="00076C7C" w:rsidRPr="009B0576">
        <w:rPr>
          <w:rFonts w:asciiTheme="minorHAnsi" w:hAnsiTheme="minorHAnsi"/>
          <w:sz w:val="22"/>
          <w:szCs w:val="22"/>
        </w:rPr>
        <w:t>Sartobind</w:t>
      </w:r>
      <w:proofErr w:type="spellEnd"/>
      <w:r w:rsidR="00076C7C" w:rsidRPr="009B0576">
        <w:rPr>
          <w:rFonts w:asciiTheme="minorHAnsi" w:hAnsiTheme="minorHAnsi"/>
          <w:sz w:val="22"/>
          <w:szCs w:val="22"/>
        </w:rPr>
        <w:t xml:space="preserve"> Q anion exchange membranes.</w:t>
      </w:r>
      <w:r w:rsidR="009B0576" w:rsidRPr="009B0576">
        <w:rPr>
          <w:rFonts w:asciiTheme="minorHAnsi" w:hAnsiTheme="minorHAnsi"/>
          <w:sz w:val="22"/>
          <w:szCs w:val="22"/>
        </w:rPr>
        <w:t xml:space="preserve">  </w:t>
      </w:r>
      <w:r w:rsidR="009B0576" w:rsidRPr="009B0576">
        <w:rPr>
          <w:rFonts w:asciiTheme="minorHAnsi" w:hAnsiTheme="minorHAnsi"/>
          <w:sz w:val="22"/>
          <w:szCs w:val="22"/>
        </w:rPr>
        <w:t>A mathematical model was developed, based on previous work with expanded bed adsorption of   proteins</w:t>
      </w:r>
      <w:r>
        <w:rPr>
          <w:rFonts w:asciiTheme="minorHAnsi" w:hAnsiTheme="minorHAnsi"/>
          <w:sz w:val="22"/>
          <w:szCs w:val="22"/>
        </w:rPr>
        <w:t xml:space="preserve"> (2</w:t>
      </w:r>
      <w:r w:rsidR="009B0576" w:rsidRPr="009B0576">
        <w:rPr>
          <w:rFonts w:asciiTheme="minorHAnsi" w:hAnsiTheme="minorHAnsi"/>
          <w:sz w:val="22"/>
          <w:szCs w:val="22"/>
        </w:rPr>
        <w:t xml:space="preserve">).  The membrane model accounts for the competition of DNA and virus for binding sites on the membrane surface as they flow convectively through a pores/channel. The adsorption </w:t>
      </w:r>
      <w:r w:rsidR="009B0576">
        <w:rPr>
          <w:rFonts w:asciiTheme="minorHAnsi" w:hAnsiTheme="minorHAnsi"/>
          <w:sz w:val="22"/>
          <w:szCs w:val="22"/>
        </w:rPr>
        <w:t xml:space="preserve">isotherm </w:t>
      </w:r>
      <w:r w:rsidR="009B0576" w:rsidRPr="009B0576">
        <w:rPr>
          <w:rFonts w:asciiTheme="minorHAnsi" w:hAnsiTheme="minorHAnsi"/>
          <w:sz w:val="22"/>
          <w:szCs w:val="22"/>
        </w:rPr>
        <w:t>was modelled as Langmuir</w:t>
      </w:r>
      <w:r w:rsidR="009B0576">
        <w:rPr>
          <w:rFonts w:asciiTheme="minorHAnsi" w:hAnsiTheme="minorHAnsi"/>
          <w:sz w:val="22"/>
          <w:szCs w:val="22"/>
        </w:rPr>
        <w:t>-like.</w:t>
      </w:r>
    </w:p>
    <w:p w:rsidR="00704BDF" w:rsidRPr="00945F53" w:rsidRDefault="00704BDF" w:rsidP="00704BDF">
      <w:pPr>
        <w:snapToGrid w:val="0"/>
        <w:spacing w:after="120"/>
        <w:rPr>
          <w:rFonts w:asciiTheme="minorHAnsi" w:eastAsia="MS PGothic" w:hAnsiTheme="minorHAnsi"/>
          <w:i/>
          <w:color w:val="000000"/>
          <w:sz w:val="22"/>
          <w:szCs w:val="22"/>
          <w:lang w:val="en-US"/>
        </w:rPr>
      </w:pPr>
    </w:p>
    <w:p w:rsidR="000616F3" w:rsidRDefault="000616F3" w:rsidP="00704BDF">
      <w:pPr>
        <w:snapToGrid w:val="0"/>
        <w:spacing w:before="240" w:line="300" w:lineRule="auto"/>
        <w:rPr>
          <w:rFonts w:asciiTheme="minorHAnsi" w:eastAsia="MS PGothic" w:hAnsiTheme="minorHAnsi"/>
          <w:b/>
          <w:bCs/>
          <w:color w:val="000000"/>
          <w:sz w:val="22"/>
          <w:szCs w:val="22"/>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Default="00B9770A" w:rsidP="00704BDF">
      <w:pPr>
        <w:snapToGrid w:val="0"/>
        <w:spacing w:after="120"/>
        <w:rPr>
          <w:rFonts w:asciiTheme="minorHAnsi" w:hAnsiTheme="minorHAnsi"/>
          <w:color w:val="000000" w:themeColor="text1"/>
          <w:sz w:val="22"/>
          <w:szCs w:val="22"/>
        </w:rPr>
      </w:pPr>
      <w:r w:rsidRPr="00B9770A">
        <w:rPr>
          <w:rFonts w:asciiTheme="minorHAnsi" w:hAnsiTheme="minorHAnsi"/>
          <w:color w:val="000000" w:themeColor="text1"/>
          <w:sz w:val="22"/>
          <w:szCs w:val="22"/>
        </w:rPr>
        <w:t>The mathematical model predicted the experimental breakthrough curves (as well as the amount of virus loaded per membrane channel length across a range of inlet DNA concentrations from 1 x 10</w:t>
      </w:r>
      <w:r w:rsidRPr="00B9770A">
        <w:rPr>
          <w:rFonts w:asciiTheme="minorHAnsi" w:hAnsiTheme="minorHAnsi"/>
          <w:color w:val="000000" w:themeColor="text1"/>
          <w:sz w:val="22"/>
          <w:szCs w:val="22"/>
          <w:vertAlign w:val="superscript"/>
        </w:rPr>
        <w:t>-</w:t>
      </w:r>
      <w:proofErr w:type="gramStart"/>
      <w:r w:rsidRPr="00B9770A">
        <w:rPr>
          <w:rFonts w:asciiTheme="minorHAnsi" w:hAnsiTheme="minorHAnsi"/>
          <w:color w:val="000000" w:themeColor="text1"/>
          <w:sz w:val="22"/>
          <w:szCs w:val="22"/>
          <w:vertAlign w:val="superscript"/>
        </w:rPr>
        <w:t>10</w:t>
      </w:r>
      <w:r w:rsidRPr="00B9770A">
        <w:rPr>
          <w:rFonts w:asciiTheme="minorHAnsi" w:hAnsiTheme="minorHAnsi"/>
          <w:color w:val="000000" w:themeColor="text1"/>
          <w:sz w:val="22"/>
          <w:szCs w:val="22"/>
        </w:rPr>
        <w:t xml:space="preserve">  to</w:t>
      </w:r>
      <w:proofErr w:type="gramEnd"/>
      <w:r w:rsidRPr="00B9770A">
        <w:rPr>
          <w:rFonts w:asciiTheme="minorHAnsi" w:hAnsiTheme="minorHAnsi"/>
          <w:color w:val="000000" w:themeColor="text1"/>
          <w:sz w:val="22"/>
          <w:szCs w:val="22"/>
        </w:rPr>
        <w:t xml:space="preserve"> 5 x 10</w:t>
      </w:r>
      <w:r w:rsidRPr="00B9770A">
        <w:rPr>
          <w:rFonts w:asciiTheme="minorHAnsi" w:hAnsiTheme="minorHAnsi"/>
          <w:color w:val="000000" w:themeColor="text1"/>
          <w:sz w:val="22"/>
          <w:szCs w:val="22"/>
          <w:vertAlign w:val="superscript"/>
        </w:rPr>
        <w:t>-6</w:t>
      </w:r>
      <w:r w:rsidRPr="00B9770A">
        <w:rPr>
          <w:rFonts w:asciiTheme="minorHAnsi" w:hAnsiTheme="minorHAnsi"/>
          <w:color w:val="000000" w:themeColor="text1"/>
          <w:sz w:val="22"/>
          <w:szCs w:val="22"/>
        </w:rPr>
        <w:t xml:space="preserve"> g/ml and a range of inlet virus concentration from 1-5 x 10</w:t>
      </w:r>
      <w:r w:rsidRPr="00B9770A">
        <w:rPr>
          <w:rFonts w:asciiTheme="minorHAnsi" w:hAnsiTheme="minorHAnsi"/>
          <w:color w:val="000000" w:themeColor="text1"/>
          <w:sz w:val="22"/>
          <w:szCs w:val="22"/>
          <w:vertAlign w:val="superscript"/>
        </w:rPr>
        <w:t>-4</w:t>
      </w:r>
      <w:r w:rsidRPr="00B9770A">
        <w:rPr>
          <w:rFonts w:asciiTheme="minorHAnsi" w:hAnsiTheme="minorHAnsi"/>
          <w:color w:val="000000" w:themeColor="text1"/>
          <w:sz w:val="22"/>
          <w:szCs w:val="22"/>
        </w:rPr>
        <w:t xml:space="preserve"> g/ml.   </w:t>
      </w:r>
    </w:p>
    <w:p w:rsidR="00B9770A" w:rsidRPr="00B9770A" w:rsidRDefault="00B9770A" w:rsidP="00704BDF">
      <w:pPr>
        <w:snapToGrid w:val="0"/>
        <w:spacing w:after="120"/>
        <w:rPr>
          <w:rFonts w:asciiTheme="minorHAnsi" w:eastAsia="MS PGothic" w:hAnsiTheme="minorHAnsi"/>
          <w:color w:val="000000"/>
          <w:sz w:val="22"/>
          <w:szCs w:val="22"/>
        </w:rPr>
      </w:pPr>
    </w:p>
    <w:p w:rsidR="00704BDF" w:rsidRPr="00DE0019" w:rsidRDefault="007A5346" w:rsidP="00704BDF">
      <w:pPr>
        <w:snapToGrid w:val="0"/>
        <w:spacing w:after="120"/>
        <w:jc w:val="center"/>
        <w:rPr>
          <w:rFonts w:asciiTheme="minorHAnsi" w:eastAsia="MS PGothic" w:hAnsiTheme="minorHAnsi"/>
          <w:color w:val="000000"/>
        </w:rPr>
      </w:pPr>
      <w:r>
        <w:rPr>
          <w:noProof/>
          <w:color w:val="000000" w:themeColor="text1"/>
        </w:rPr>
        <w:drawing>
          <wp:inline distT="0" distB="0" distL="0" distR="0" wp14:anchorId="7936BFDD" wp14:editId="446B6EC1">
            <wp:extent cx="283845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pt12-fit)u135_qm1p0008_km21em8.jpg"/>
                    <pic:cNvPicPr/>
                  </pic:nvPicPr>
                  <pic:blipFill>
                    <a:blip r:embed="rId10">
                      <a:extLst>
                        <a:ext uri="{28A0092B-C50C-407E-A947-70E740481C1C}">
                          <a14:useLocalDpi xmlns:a14="http://schemas.microsoft.com/office/drawing/2010/main" val="0"/>
                        </a:ext>
                      </a:extLst>
                    </a:blip>
                    <a:stretch>
                      <a:fillRect/>
                    </a:stretch>
                  </pic:blipFill>
                  <pic:spPr>
                    <a:xfrm>
                      <a:off x="0" y="0"/>
                      <a:ext cx="2838450" cy="1981200"/>
                    </a:xfrm>
                    <a:prstGeom prst="rect">
                      <a:avLst/>
                    </a:prstGeom>
                  </pic:spPr>
                </pic:pic>
              </a:graphicData>
            </a:graphic>
          </wp:inline>
        </w:drawing>
      </w:r>
    </w:p>
    <w:p w:rsidR="00466BD4" w:rsidRDefault="00704BDF" w:rsidP="00466BD4">
      <w:pPr>
        <w:snapToGrid w:val="0"/>
        <w:spacing w:after="120"/>
        <w:jc w:val="center"/>
        <w:rPr>
          <w:rFonts w:asciiTheme="minorHAnsi" w:hAnsiTheme="minorHAnsi"/>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466BD4">
        <w:rPr>
          <w:rFonts w:asciiTheme="minorHAnsi" w:hAnsiTheme="minorHAnsi"/>
          <w:lang w:val="en-US"/>
        </w:rPr>
        <w:t xml:space="preserve">Breakthrough Results – Model versus experimental.  </w:t>
      </w:r>
    </w:p>
    <w:p w:rsidR="00704BDF" w:rsidRDefault="00366D8B" w:rsidP="00466BD4">
      <w:pPr>
        <w:snapToGrid w:val="0"/>
        <w:spacing w:after="120"/>
        <w:jc w:val="center"/>
        <w:rPr>
          <w:rFonts w:asciiTheme="minorHAnsi" w:hAnsiTheme="minorHAnsi"/>
          <w:color w:val="000000" w:themeColor="text1"/>
        </w:rPr>
      </w:pPr>
      <w:r w:rsidRPr="00E22903">
        <w:rPr>
          <w:rFonts w:asciiTheme="minorHAnsi" w:hAnsiTheme="minorHAnsi"/>
          <w:lang w:val="en-US"/>
        </w:rPr>
        <w:t xml:space="preserve">Initial Concentrations: </w:t>
      </w:r>
      <w:r w:rsidRPr="00E22903">
        <w:rPr>
          <w:rFonts w:asciiTheme="minorHAnsi" w:hAnsiTheme="minorHAnsi"/>
          <w:color w:val="000000" w:themeColor="text1"/>
        </w:rPr>
        <w:t>C</w:t>
      </w:r>
      <w:r w:rsidRPr="00E22903">
        <w:rPr>
          <w:rFonts w:asciiTheme="minorHAnsi" w:hAnsiTheme="minorHAnsi"/>
          <w:color w:val="000000" w:themeColor="text1"/>
          <w:vertAlign w:val="subscript"/>
        </w:rPr>
        <w:t>DNA</w:t>
      </w:r>
      <w:r w:rsidRPr="00E22903">
        <w:rPr>
          <w:rFonts w:asciiTheme="minorHAnsi" w:hAnsiTheme="minorHAnsi"/>
          <w:color w:val="000000" w:themeColor="text1"/>
        </w:rPr>
        <w:t xml:space="preserve"> = 1 x 10</w:t>
      </w:r>
      <w:r w:rsidRPr="00E22903">
        <w:rPr>
          <w:rFonts w:asciiTheme="minorHAnsi" w:hAnsiTheme="minorHAnsi"/>
          <w:color w:val="000000" w:themeColor="text1"/>
          <w:vertAlign w:val="superscript"/>
        </w:rPr>
        <w:t>-8</w:t>
      </w:r>
      <w:r w:rsidRPr="00E22903">
        <w:rPr>
          <w:rFonts w:asciiTheme="minorHAnsi" w:hAnsiTheme="minorHAnsi"/>
          <w:color w:val="000000" w:themeColor="text1"/>
        </w:rPr>
        <w:t xml:space="preserve"> g/ml and </w:t>
      </w:r>
      <w:proofErr w:type="spellStart"/>
      <w:r w:rsidRPr="00E22903">
        <w:rPr>
          <w:rFonts w:asciiTheme="minorHAnsi" w:hAnsiTheme="minorHAnsi"/>
          <w:color w:val="000000" w:themeColor="text1"/>
        </w:rPr>
        <w:t>C</w:t>
      </w:r>
      <w:r w:rsidRPr="00E22903">
        <w:rPr>
          <w:rFonts w:asciiTheme="minorHAnsi" w:hAnsiTheme="minorHAnsi"/>
          <w:color w:val="000000" w:themeColor="text1"/>
          <w:vertAlign w:val="subscript"/>
        </w:rPr>
        <w:t>virus</w:t>
      </w:r>
      <w:proofErr w:type="spellEnd"/>
      <w:r w:rsidRPr="00E22903">
        <w:rPr>
          <w:rFonts w:asciiTheme="minorHAnsi" w:hAnsiTheme="minorHAnsi"/>
          <w:color w:val="000000" w:themeColor="text1"/>
        </w:rPr>
        <w:t xml:space="preserve"> = 3.1 x 10</w:t>
      </w:r>
      <w:r w:rsidRPr="00E22903">
        <w:rPr>
          <w:rFonts w:asciiTheme="minorHAnsi" w:hAnsiTheme="minorHAnsi"/>
          <w:color w:val="000000" w:themeColor="text1"/>
          <w:vertAlign w:val="superscript"/>
        </w:rPr>
        <w:t>-4</w:t>
      </w:r>
      <w:r w:rsidRPr="00E22903">
        <w:rPr>
          <w:rFonts w:asciiTheme="minorHAnsi" w:hAnsiTheme="minorHAnsi"/>
          <w:color w:val="000000" w:themeColor="text1"/>
        </w:rPr>
        <w:t xml:space="preserve"> g/ml</w:t>
      </w:r>
    </w:p>
    <w:p w:rsidR="00B9770A" w:rsidRPr="00466BD4" w:rsidRDefault="00B9770A" w:rsidP="00466BD4">
      <w:pPr>
        <w:snapToGrid w:val="0"/>
        <w:spacing w:after="120"/>
        <w:jc w:val="center"/>
        <w:rPr>
          <w:rFonts w:asciiTheme="minorHAnsi" w:hAnsiTheme="minorHAnsi"/>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974930" w:rsidRPr="00886C48" w:rsidRDefault="00974930" w:rsidP="00974930">
      <w:pPr>
        <w:pStyle w:val="AbstractBody"/>
        <w:ind w:left="0"/>
        <w:rPr>
          <w:rFonts w:asciiTheme="minorHAnsi" w:hAnsiTheme="minorHAnsi"/>
        </w:rPr>
      </w:pPr>
      <w:r w:rsidRPr="00E0462E">
        <w:rPr>
          <w:rFonts w:asciiTheme="minorHAnsi" w:hAnsiTheme="minorHAnsi"/>
          <w:color w:val="000000" w:themeColor="text1"/>
        </w:rPr>
        <w:t>The model predicted quite well the experim</w:t>
      </w:r>
      <w:r>
        <w:rPr>
          <w:rFonts w:asciiTheme="minorHAnsi" w:hAnsiTheme="minorHAnsi"/>
          <w:color w:val="000000" w:themeColor="text1"/>
        </w:rPr>
        <w:t xml:space="preserve">ental breakthrough curves. The model </w:t>
      </w:r>
      <w:proofErr w:type="gramStart"/>
      <w:r>
        <w:rPr>
          <w:rFonts w:asciiTheme="minorHAnsi" w:hAnsiTheme="minorHAnsi"/>
          <w:color w:val="000000" w:themeColor="text1"/>
        </w:rPr>
        <w:t xml:space="preserve">can </w:t>
      </w:r>
      <w:r w:rsidRPr="00886C48">
        <w:rPr>
          <w:rFonts w:asciiTheme="minorHAnsi" w:hAnsiTheme="minorHAnsi"/>
        </w:rPr>
        <w:t xml:space="preserve"> be</w:t>
      </w:r>
      <w:proofErr w:type="gramEnd"/>
      <w:r w:rsidRPr="00886C48">
        <w:rPr>
          <w:rFonts w:asciiTheme="minorHAnsi" w:hAnsiTheme="minorHAnsi"/>
        </w:rPr>
        <w:t xml:space="preserve"> used to predict the time in a batch when the pressure drop across the column reaches a critical maximum limit, which might prompt operators to reduce the pressure drop by reducing flowrate or replacing the membrane.</w:t>
      </w:r>
    </w:p>
    <w:p w:rsidR="00704BDF" w:rsidRPr="008D0BEB" w:rsidRDefault="00704BDF" w:rsidP="00704BDF">
      <w:pPr>
        <w:snapToGrid w:val="0"/>
        <w:spacing w:after="120"/>
        <w:rPr>
          <w:rFonts w:asciiTheme="minorHAnsi" w:eastAsia="MS PGothic" w:hAnsiTheme="minorHAnsi"/>
          <w:color w:val="000000"/>
          <w:sz w:val="22"/>
          <w:szCs w:val="22"/>
          <w:lang w:val="en-US"/>
        </w:rPr>
      </w:pPr>
    </w:p>
    <w:p w:rsidR="00704BDF" w:rsidRPr="00D562E8" w:rsidRDefault="00704BDF" w:rsidP="00704BDF">
      <w:pPr>
        <w:snapToGrid w:val="0"/>
        <w:spacing w:before="240" w:line="300" w:lineRule="auto"/>
        <w:rPr>
          <w:rFonts w:asciiTheme="minorHAnsi" w:eastAsia="SimSun" w:hAnsiTheme="minorHAnsi"/>
          <w:b/>
          <w:bCs/>
          <w:color w:val="000000"/>
          <w:sz w:val="20"/>
          <w:lang w:val="en-US" w:eastAsia="zh-CN"/>
        </w:rPr>
      </w:pPr>
      <w:r w:rsidRPr="00D562E8">
        <w:rPr>
          <w:rFonts w:asciiTheme="minorHAnsi" w:eastAsia="MS PGothic" w:hAnsiTheme="minorHAnsi"/>
          <w:b/>
          <w:bCs/>
          <w:color w:val="000000"/>
          <w:sz w:val="20"/>
          <w:lang w:val="en-US"/>
        </w:rPr>
        <w:t xml:space="preserve">References </w:t>
      </w:r>
      <w:r w:rsidR="00D562E8">
        <w:rPr>
          <w:rFonts w:asciiTheme="minorHAnsi" w:eastAsia="MS PGothic" w:hAnsiTheme="minorHAnsi"/>
          <w:b/>
          <w:bCs/>
          <w:color w:val="000000"/>
          <w:sz w:val="20"/>
          <w:lang w:val="en-US"/>
        </w:rPr>
        <w:t xml:space="preserve"> </w:t>
      </w:r>
    </w:p>
    <w:p w:rsidR="000616F3" w:rsidRPr="000616F3" w:rsidRDefault="000616F3" w:rsidP="000616F3">
      <w:pPr>
        <w:pStyle w:val="ListParagraph"/>
        <w:numPr>
          <w:ilvl w:val="0"/>
          <w:numId w:val="17"/>
        </w:numPr>
        <w:tabs>
          <w:tab w:val="clear" w:pos="7100"/>
        </w:tabs>
        <w:spacing w:after="200" w:line="240" w:lineRule="auto"/>
        <w:rPr>
          <w:rStyle w:val="hlfld-title"/>
          <w:rFonts w:asciiTheme="minorHAnsi" w:hAnsiTheme="minorHAnsi"/>
          <w:sz w:val="20"/>
        </w:rPr>
      </w:pPr>
      <w:r w:rsidRPr="000616F3">
        <w:rPr>
          <w:rFonts w:asciiTheme="minorHAnsi" w:hAnsiTheme="minorHAnsi"/>
          <w:sz w:val="20"/>
        </w:rPr>
        <w:t xml:space="preserve">Thoemmes, J. and Kula, M.  Membrane </w:t>
      </w:r>
      <w:r w:rsidRPr="000616F3">
        <w:rPr>
          <w:rStyle w:val="hlfld-title"/>
          <w:rFonts w:asciiTheme="minorHAnsi" w:hAnsiTheme="minorHAnsi"/>
          <w:color w:val="000000"/>
          <w:sz w:val="20"/>
        </w:rPr>
        <w:t xml:space="preserve">chromatography - an integrative concept in the downstream processing of proteins.  Biotech. </w:t>
      </w:r>
      <w:proofErr w:type="spellStart"/>
      <w:r w:rsidRPr="000616F3">
        <w:rPr>
          <w:rStyle w:val="hlfld-title"/>
          <w:rFonts w:asciiTheme="minorHAnsi" w:hAnsiTheme="minorHAnsi"/>
          <w:color w:val="000000"/>
          <w:sz w:val="20"/>
        </w:rPr>
        <w:t>Prog</w:t>
      </w:r>
      <w:proofErr w:type="spellEnd"/>
      <w:r w:rsidRPr="000616F3">
        <w:rPr>
          <w:rStyle w:val="hlfld-title"/>
          <w:rFonts w:asciiTheme="minorHAnsi" w:hAnsiTheme="minorHAnsi"/>
          <w:color w:val="000000"/>
          <w:sz w:val="20"/>
        </w:rPr>
        <w:t xml:space="preserve">.  </w:t>
      </w:r>
      <w:r w:rsidRPr="000616F3">
        <w:rPr>
          <w:rStyle w:val="hlfld-title"/>
          <w:rFonts w:asciiTheme="minorHAnsi" w:hAnsiTheme="minorHAnsi"/>
          <w:b/>
          <w:color w:val="000000"/>
          <w:sz w:val="20"/>
        </w:rPr>
        <w:t>1995</w:t>
      </w:r>
      <w:r w:rsidRPr="000616F3">
        <w:rPr>
          <w:rStyle w:val="hlfld-title"/>
          <w:rFonts w:asciiTheme="minorHAnsi" w:hAnsiTheme="minorHAnsi"/>
          <w:color w:val="000000"/>
          <w:sz w:val="20"/>
        </w:rPr>
        <w:t>; 11(4): 357-367</w:t>
      </w:r>
    </w:p>
    <w:p w:rsidR="00F840F6" w:rsidRPr="00D562E8" w:rsidRDefault="00F840F6" w:rsidP="00F840F6">
      <w:pPr>
        <w:pStyle w:val="ListParagraph"/>
        <w:numPr>
          <w:ilvl w:val="0"/>
          <w:numId w:val="17"/>
        </w:numPr>
        <w:spacing w:line="240" w:lineRule="auto"/>
        <w:outlineLvl w:val="0"/>
        <w:rPr>
          <w:rFonts w:asciiTheme="minorHAnsi" w:hAnsiTheme="minorHAnsi"/>
          <w:sz w:val="20"/>
        </w:rPr>
      </w:pPr>
      <w:r w:rsidRPr="00D562E8">
        <w:rPr>
          <w:rFonts w:asciiTheme="minorHAnsi" w:hAnsiTheme="minorHAnsi"/>
          <w:sz w:val="20"/>
        </w:rPr>
        <w:t>Kelly</w:t>
      </w:r>
      <w:r w:rsidRPr="00D562E8">
        <w:rPr>
          <w:rFonts w:asciiTheme="minorHAnsi" w:hAnsiTheme="minorHAnsi"/>
          <w:color w:val="000000"/>
          <w:sz w:val="20"/>
        </w:rPr>
        <w:t xml:space="preserve">, W., </w:t>
      </w:r>
      <w:proofErr w:type="spellStart"/>
      <w:r w:rsidRPr="00D562E8">
        <w:rPr>
          <w:rFonts w:asciiTheme="minorHAnsi" w:hAnsiTheme="minorHAnsi"/>
          <w:color w:val="000000"/>
          <w:sz w:val="20"/>
        </w:rPr>
        <w:t>Ubiera</w:t>
      </w:r>
      <w:proofErr w:type="spellEnd"/>
      <w:r w:rsidRPr="00D562E8">
        <w:rPr>
          <w:rFonts w:asciiTheme="minorHAnsi" w:hAnsiTheme="minorHAnsi"/>
          <w:color w:val="000000"/>
          <w:sz w:val="20"/>
        </w:rPr>
        <w:t xml:space="preserve">, A., </w:t>
      </w:r>
      <w:proofErr w:type="spellStart"/>
      <w:r w:rsidRPr="00D562E8">
        <w:rPr>
          <w:rFonts w:asciiTheme="minorHAnsi" w:hAnsiTheme="minorHAnsi"/>
          <w:color w:val="000000"/>
          <w:sz w:val="20"/>
        </w:rPr>
        <w:t>Kamguia</w:t>
      </w:r>
      <w:proofErr w:type="spellEnd"/>
      <w:r w:rsidRPr="00D562E8">
        <w:rPr>
          <w:rFonts w:asciiTheme="minorHAnsi" w:hAnsiTheme="minorHAnsi"/>
          <w:color w:val="000000"/>
          <w:sz w:val="20"/>
        </w:rPr>
        <w:t xml:space="preserve">, G., Mullen, P., </w:t>
      </w:r>
      <w:proofErr w:type="spellStart"/>
      <w:r w:rsidRPr="00D562E8">
        <w:rPr>
          <w:rFonts w:asciiTheme="minorHAnsi" w:hAnsiTheme="minorHAnsi"/>
          <w:sz w:val="20"/>
        </w:rPr>
        <w:t>GÖklen</w:t>
      </w:r>
      <w:proofErr w:type="spellEnd"/>
      <w:r w:rsidRPr="00D562E8">
        <w:rPr>
          <w:rFonts w:asciiTheme="minorHAnsi" w:hAnsiTheme="minorHAnsi"/>
          <w:sz w:val="20"/>
        </w:rPr>
        <w:t xml:space="preserve">, K., Huang, </w:t>
      </w:r>
      <w:r w:rsidRPr="00D562E8">
        <w:rPr>
          <w:rFonts w:asciiTheme="minorHAnsi" w:hAnsiTheme="minorHAnsi"/>
          <w:sz w:val="20"/>
          <w:vertAlign w:val="superscript"/>
        </w:rPr>
        <w:t xml:space="preserve"> </w:t>
      </w:r>
      <w:r w:rsidRPr="00D562E8">
        <w:rPr>
          <w:rFonts w:asciiTheme="minorHAnsi" w:hAnsiTheme="minorHAnsi"/>
          <w:sz w:val="20"/>
        </w:rPr>
        <w:t xml:space="preserve">Z., </w:t>
      </w:r>
      <w:r w:rsidRPr="00D562E8">
        <w:rPr>
          <w:rFonts w:asciiTheme="minorHAnsi" w:hAnsiTheme="minorHAnsi"/>
          <w:color w:val="000000"/>
          <w:sz w:val="20"/>
        </w:rPr>
        <w:t>Jones, G. (2013)</w:t>
      </w:r>
      <w:r w:rsidRPr="00D562E8">
        <w:rPr>
          <w:rFonts w:asciiTheme="minorHAnsi" w:hAnsiTheme="minorHAnsi"/>
          <w:sz w:val="20"/>
        </w:rPr>
        <w:t xml:space="preserve">  “Using a two species competitive binding model to predict expanded bed breakthrough of a recombinant protein expressed in a high cell density fermentation”,  </w:t>
      </w:r>
      <w:r w:rsidRPr="00D562E8">
        <w:rPr>
          <w:rFonts w:asciiTheme="minorHAnsi" w:hAnsiTheme="minorHAnsi"/>
          <w:i/>
          <w:sz w:val="20"/>
        </w:rPr>
        <w:t xml:space="preserve">Biotechnology and </w:t>
      </w:r>
      <w:proofErr w:type="spellStart"/>
      <w:r w:rsidRPr="00D562E8">
        <w:rPr>
          <w:rFonts w:asciiTheme="minorHAnsi" w:hAnsiTheme="minorHAnsi"/>
          <w:i/>
          <w:sz w:val="20"/>
        </w:rPr>
        <w:t>BioProcess</w:t>
      </w:r>
      <w:proofErr w:type="spellEnd"/>
      <w:r w:rsidRPr="00D562E8">
        <w:rPr>
          <w:rFonts w:asciiTheme="minorHAnsi" w:hAnsiTheme="minorHAnsi"/>
          <w:i/>
          <w:sz w:val="20"/>
        </w:rPr>
        <w:t xml:space="preserve"> Engineering</w:t>
      </w:r>
      <w:r w:rsidRPr="00D562E8">
        <w:rPr>
          <w:rFonts w:asciiTheme="minorHAnsi" w:hAnsiTheme="minorHAnsi"/>
          <w:sz w:val="20"/>
        </w:rPr>
        <w:t>. Vol.18, No. 3, pp. 546–559.  2013.</w:t>
      </w:r>
    </w:p>
    <w:p w:rsidR="005346C8" w:rsidRPr="00F840F6" w:rsidRDefault="005346C8" w:rsidP="00F840F6">
      <w:pPr>
        <w:pStyle w:val="FirstParagraph"/>
        <w:tabs>
          <w:tab w:val="left" w:pos="426"/>
        </w:tabs>
        <w:spacing w:line="240" w:lineRule="auto"/>
        <w:ind w:left="426"/>
        <w:rPr>
          <w:rFonts w:asciiTheme="minorHAnsi" w:hAnsiTheme="minorHAnsi"/>
          <w:color w:val="000000"/>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sectPr w:rsidR="004D116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FC" w:rsidRDefault="00292EFC" w:rsidP="004F5E36">
      <w:r>
        <w:separator/>
      </w:r>
    </w:p>
  </w:endnote>
  <w:endnote w:type="continuationSeparator" w:id="0">
    <w:p w:rsidR="00292EFC" w:rsidRDefault="00292EF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FC" w:rsidRDefault="00292EFC" w:rsidP="004F5E36">
      <w:r>
        <w:separator/>
      </w:r>
    </w:p>
  </w:footnote>
  <w:footnote w:type="continuationSeparator" w:id="0">
    <w:p w:rsidR="00292EFC" w:rsidRDefault="00292EF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C17630"/>
    <w:multiLevelType w:val="hybridMultilevel"/>
    <w:tmpl w:val="605C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16F3"/>
    <w:rsid w:val="00062A9A"/>
    <w:rsid w:val="00076C7C"/>
    <w:rsid w:val="000A03B2"/>
    <w:rsid w:val="000D34BE"/>
    <w:rsid w:val="000E36F1"/>
    <w:rsid w:val="000E3A73"/>
    <w:rsid w:val="000E414A"/>
    <w:rsid w:val="0013121F"/>
    <w:rsid w:val="00134DE4"/>
    <w:rsid w:val="00147BDA"/>
    <w:rsid w:val="00150E59"/>
    <w:rsid w:val="00184AD6"/>
    <w:rsid w:val="001B65C1"/>
    <w:rsid w:val="001C684B"/>
    <w:rsid w:val="001D1E0C"/>
    <w:rsid w:val="001D53FC"/>
    <w:rsid w:val="001F2EC7"/>
    <w:rsid w:val="002065DB"/>
    <w:rsid w:val="002447EF"/>
    <w:rsid w:val="00251550"/>
    <w:rsid w:val="0027221A"/>
    <w:rsid w:val="00275B61"/>
    <w:rsid w:val="00292EFC"/>
    <w:rsid w:val="002B6DAE"/>
    <w:rsid w:val="002D1F12"/>
    <w:rsid w:val="003009B7"/>
    <w:rsid w:val="0030469C"/>
    <w:rsid w:val="00366D8B"/>
    <w:rsid w:val="003723D4"/>
    <w:rsid w:val="003A7D1C"/>
    <w:rsid w:val="00460ED5"/>
    <w:rsid w:val="0046164A"/>
    <w:rsid w:val="00462DCD"/>
    <w:rsid w:val="00466BD4"/>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432E6"/>
    <w:rsid w:val="00660E3E"/>
    <w:rsid w:val="00662E74"/>
    <w:rsid w:val="006B01AC"/>
    <w:rsid w:val="006C5579"/>
    <w:rsid w:val="00704BDF"/>
    <w:rsid w:val="00736B13"/>
    <w:rsid w:val="007447F3"/>
    <w:rsid w:val="007661C8"/>
    <w:rsid w:val="007A5346"/>
    <w:rsid w:val="007D52CD"/>
    <w:rsid w:val="00813288"/>
    <w:rsid w:val="008168FC"/>
    <w:rsid w:val="008479A2"/>
    <w:rsid w:val="0087637F"/>
    <w:rsid w:val="00886C48"/>
    <w:rsid w:val="008A1512"/>
    <w:rsid w:val="008D0BEB"/>
    <w:rsid w:val="008E566E"/>
    <w:rsid w:val="00901EB6"/>
    <w:rsid w:val="009450CE"/>
    <w:rsid w:val="00945F53"/>
    <w:rsid w:val="0095164B"/>
    <w:rsid w:val="00974930"/>
    <w:rsid w:val="00996483"/>
    <w:rsid w:val="009B0576"/>
    <w:rsid w:val="009E788A"/>
    <w:rsid w:val="00A1763D"/>
    <w:rsid w:val="00A17CEC"/>
    <w:rsid w:val="00A27EF0"/>
    <w:rsid w:val="00A75477"/>
    <w:rsid w:val="00A76EFC"/>
    <w:rsid w:val="00A97F29"/>
    <w:rsid w:val="00AB0964"/>
    <w:rsid w:val="00AE377D"/>
    <w:rsid w:val="00B61DBF"/>
    <w:rsid w:val="00B9770A"/>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562E8"/>
    <w:rsid w:val="00D84576"/>
    <w:rsid w:val="00DE0019"/>
    <w:rsid w:val="00DE264A"/>
    <w:rsid w:val="00E041E7"/>
    <w:rsid w:val="00E0462E"/>
    <w:rsid w:val="00E22903"/>
    <w:rsid w:val="00E23CA1"/>
    <w:rsid w:val="00E409A8"/>
    <w:rsid w:val="00E47211"/>
    <w:rsid w:val="00E7209D"/>
    <w:rsid w:val="00EA50E1"/>
    <w:rsid w:val="00EB0E9E"/>
    <w:rsid w:val="00EE0131"/>
    <w:rsid w:val="00F30C64"/>
    <w:rsid w:val="00F840F6"/>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F840F6"/>
    <w:pPr>
      <w:ind w:left="720"/>
      <w:contextualSpacing/>
    </w:pPr>
  </w:style>
  <w:style w:type="character" w:customStyle="1" w:styleId="hlfld-title">
    <w:name w:val="hlfld-title"/>
    <w:basedOn w:val="DefaultParagraphFont"/>
    <w:rsid w:val="0006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4A95-AD45-4D5C-BF0C-32B2188F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500</Words>
  <Characters>2853</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William J. Kelly</cp:lastModifiedBy>
  <cp:revision>28</cp:revision>
  <cp:lastPrinted>2015-05-12T18:31:00Z</cp:lastPrinted>
  <dcterms:created xsi:type="dcterms:W3CDTF">2019-01-14T15:05:00Z</dcterms:created>
  <dcterms:modified xsi:type="dcterms:W3CDTF">2019-01-14T15:51:00Z</dcterms:modified>
</cp:coreProperties>
</file>