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C930D5" w:rsidP="00F664ED">
      <w:pPr>
        <w:snapToGrid w:val="0"/>
        <w:spacing w:after="240" w:line="240" w:lineRule="auto"/>
        <w:jc w:val="center"/>
        <w:rPr>
          <w:rFonts w:asciiTheme="minorHAnsi" w:eastAsia="MS PGothic" w:hAnsiTheme="minorHAnsi"/>
          <w:b/>
          <w:bCs/>
          <w:sz w:val="28"/>
          <w:szCs w:val="28"/>
          <w:lang w:val="en-US" w:eastAsia="ko-KR"/>
        </w:rPr>
      </w:pPr>
      <w:r w:rsidRPr="00C930D5">
        <w:rPr>
          <w:rFonts w:asciiTheme="minorHAnsi" w:eastAsia="MS PGothic" w:hAnsiTheme="minorHAnsi"/>
          <w:b/>
          <w:bCs/>
          <w:sz w:val="28"/>
          <w:szCs w:val="28"/>
          <w:lang w:val="en-US"/>
        </w:rPr>
        <w:lastRenderedPageBreak/>
        <w:t>Kinetics of Crystallization in Solid Solution Forming Systems</w:t>
      </w:r>
    </w:p>
    <w:p w:rsidR="00DE0019" w:rsidRPr="00D951D3" w:rsidRDefault="00C930D5" w:rsidP="00704BDF">
      <w:pPr>
        <w:snapToGrid w:val="0"/>
        <w:spacing w:after="120"/>
        <w:jc w:val="center"/>
        <w:rPr>
          <w:rFonts w:eastAsia="SimSun"/>
          <w:color w:val="000000"/>
          <w:lang w:val="en-US" w:eastAsia="zh-CN"/>
        </w:rPr>
      </w:pPr>
      <w:r w:rsidRPr="00D951D3">
        <w:rPr>
          <w:rFonts w:asciiTheme="minorHAnsi" w:eastAsia="SimSun" w:hAnsiTheme="minorHAnsi"/>
          <w:color w:val="000000"/>
          <w:sz w:val="24"/>
          <w:szCs w:val="24"/>
          <w:u w:val="single"/>
          <w:lang w:val="en-US" w:eastAsia="zh-CN"/>
        </w:rPr>
        <w:t>Maksymilian Olbr</w:t>
      </w:r>
      <w:r w:rsidR="00F664ED" w:rsidRPr="00D951D3">
        <w:rPr>
          <w:rFonts w:asciiTheme="minorHAnsi" w:eastAsia="SimSun" w:hAnsiTheme="minorHAnsi"/>
          <w:color w:val="000000"/>
          <w:sz w:val="24"/>
          <w:szCs w:val="24"/>
          <w:u w:val="single"/>
          <w:lang w:val="en-US" w:eastAsia="zh-CN"/>
        </w:rPr>
        <w:t>y</w:t>
      </w:r>
      <w:r w:rsidRPr="00D951D3">
        <w:rPr>
          <w:rFonts w:asciiTheme="minorHAnsi" w:eastAsia="SimSun" w:hAnsiTheme="minorHAnsi"/>
          <w:color w:val="000000"/>
          <w:sz w:val="24"/>
          <w:szCs w:val="24"/>
          <w:u w:val="single"/>
          <w:lang w:val="en-US" w:eastAsia="zh-CN"/>
        </w:rPr>
        <w:t>cht</w:t>
      </w:r>
      <w:r w:rsidRPr="00D951D3">
        <w:rPr>
          <w:rFonts w:asciiTheme="minorHAnsi" w:eastAsia="SimSun" w:hAnsiTheme="minorHAnsi"/>
          <w:color w:val="000000"/>
          <w:sz w:val="24"/>
          <w:szCs w:val="24"/>
          <w:u w:val="single"/>
          <w:vertAlign w:val="superscript"/>
          <w:lang w:val="en-US" w:eastAsia="zh-CN"/>
        </w:rPr>
        <w:t>1</w:t>
      </w:r>
      <w:r w:rsidR="000C014B" w:rsidRPr="00D951D3">
        <w:rPr>
          <w:rFonts w:asciiTheme="minorHAnsi" w:eastAsia="SimSun" w:hAnsiTheme="minorHAnsi"/>
          <w:color w:val="000000"/>
          <w:sz w:val="24"/>
          <w:szCs w:val="24"/>
          <w:u w:val="single"/>
          <w:vertAlign w:val="superscript"/>
          <w:lang w:val="en-US" w:eastAsia="zh-CN"/>
        </w:rPr>
        <w:t>*</w:t>
      </w:r>
      <w:r w:rsidR="00D951D3" w:rsidRPr="00D951D3">
        <w:rPr>
          <w:rFonts w:asciiTheme="minorHAnsi" w:eastAsia="SimSun" w:hAnsiTheme="minorHAnsi"/>
          <w:color w:val="000000"/>
          <w:sz w:val="24"/>
          <w:szCs w:val="24"/>
          <w:lang w:val="en-US" w:eastAsia="zh-CN"/>
        </w:rPr>
        <w:t>,</w:t>
      </w:r>
      <w:r w:rsidRPr="00D951D3">
        <w:rPr>
          <w:rFonts w:asciiTheme="minorHAnsi" w:eastAsia="SimSun" w:hAnsiTheme="minorHAnsi"/>
          <w:color w:val="000000"/>
          <w:sz w:val="24"/>
          <w:szCs w:val="24"/>
          <w:lang w:val="en-US" w:eastAsia="zh-CN"/>
        </w:rPr>
        <w:t xml:space="preserve"> </w:t>
      </w:r>
      <w:proofErr w:type="spellStart"/>
      <w:r w:rsidRPr="00D951D3">
        <w:rPr>
          <w:rFonts w:asciiTheme="minorHAnsi" w:eastAsia="SimSun" w:hAnsiTheme="minorHAnsi"/>
          <w:color w:val="000000"/>
          <w:sz w:val="24"/>
          <w:szCs w:val="24"/>
          <w:lang w:val="en-US" w:eastAsia="zh-CN"/>
        </w:rPr>
        <w:t>Maciej</w:t>
      </w:r>
      <w:proofErr w:type="spellEnd"/>
      <w:r w:rsidRPr="00D951D3">
        <w:rPr>
          <w:rFonts w:asciiTheme="minorHAnsi" w:eastAsia="SimSun" w:hAnsiTheme="minorHAnsi"/>
          <w:color w:val="000000"/>
          <w:sz w:val="24"/>
          <w:szCs w:val="24"/>
          <w:lang w:val="en-US" w:eastAsia="zh-CN"/>
        </w:rPr>
        <w:t xml:space="preserve"> Balawejder</w:t>
      </w:r>
      <w:r w:rsidRPr="00D951D3">
        <w:rPr>
          <w:rFonts w:asciiTheme="minorHAnsi" w:eastAsia="SimSun" w:hAnsiTheme="minorHAnsi"/>
          <w:color w:val="000000"/>
          <w:sz w:val="24"/>
          <w:szCs w:val="24"/>
          <w:vertAlign w:val="superscript"/>
          <w:lang w:val="en-US" w:eastAsia="zh-CN"/>
        </w:rPr>
        <w:t>2</w:t>
      </w:r>
      <w:r w:rsidR="00D951D3" w:rsidRPr="00D951D3">
        <w:rPr>
          <w:rFonts w:asciiTheme="minorHAnsi" w:eastAsia="SimSun" w:hAnsiTheme="minorHAnsi"/>
          <w:color w:val="000000"/>
          <w:sz w:val="24"/>
          <w:szCs w:val="24"/>
          <w:lang w:val="en-US" w:eastAsia="zh-CN"/>
        </w:rPr>
        <w:t>,</w:t>
      </w:r>
      <w:r w:rsidRPr="00D951D3">
        <w:rPr>
          <w:rFonts w:asciiTheme="minorHAnsi" w:eastAsia="SimSun" w:hAnsiTheme="minorHAnsi"/>
          <w:color w:val="000000"/>
          <w:sz w:val="24"/>
          <w:szCs w:val="24"/>
          <w:lang w:val="en-US" w:eastAsia="zh-CN"/>
        </w:rPr>
        <w:t xml:space="preserve"> </w:t>
      </w:r>
      <w:r w:rsidR="00D951D3">
        <w:rPr>
          <w:rFonts w:asciiTheme="minorHAnsi" w:eastAsia="SimSun" w:hAnsiTheme="minorHAnsi"/>
          <w:color w:val="000000"/>
          <w:sz w:val="24"/>
          <w:szCs w:val="24"/>
          <w:lang w:val="en-US" w:eastAsia="zh-CN"/>
        </w:rPr>
        <w:t>Heike Lorenz</w:t>
      </w:r>
      <w:r w:rsidR="00D951D3">
        <w:rPr>
          <w:rFonts w:asciiTheme="minorHAnsi" w:eastAsia="SimSun" w:hAnsiTheme="minorHAnsi"/>
          <w:color w:val="000000"/>
          <w:sz w:val="24"/>
          <w:szCs w:val="24"/>
          <w:vertAlign w:val="superscript"/>
          <w:lang w:val="en-US" w:eastAsia="zh-CN"/>
        </w:rPr>
        <w:t>3</w:t>
      </w:r>
      <w:r w:rsidR="00D951D3">
        <w:rPr>
          <w:rFonts w:asciiTheme="minorHAnsi" w:eastAsia="SimSun" w:hAnsiTheme="minorHAnsi"/>
          <w:color w:val="000000"/>
          <w:sz w:val="24"/>
          <w:szCs w:val="24"/>
          <w:lang w:val="en-US" w:eastAsia="zh-CN"/>
        </w:rPr>
        <w:t>, Andreas Seidel-Morgenstern</w:t>
      </w:r>
      <w:r w:rsidR="00D951D3">
        <w:rPr>
          <w:rFonts w:asciiTheme="minorHAnsi" w:eastAsia="SimSun" w:hAnsiTheme="minorHAnsi"/>
          <w:color w:val="000000"/>
          <w:sz w:val="24"/>
          <w:szCs w:val="24"/>
          <w:vertAlign w:val="superscript"/>
          <w:lang w:val="en-US" w:eastAsia="zh-CN"/>
        </w:rPr>
        <w:t>3,4</w:t>
      </w:r>
      <w:r w:rsidR="00D951D3">
        <w:rPr>
          <w:rFonts w:asciiTheme="minorHAnsi" w:eastAsia="SimSun" w:hAnsiTheme="minorHAnsi"/>
          <w:color w:val="000000"/>
          <w:sz w:val="24"/>
          <w:szCs w:val="24"/>
          <w:lang w:val="en-US" w:eastAsia="zh-CN"/>
        </w:rPr>
        <w:t>,</w:t>
      </w:r>
      <w:r w:rsidR="00D951D3" w:rsidRPr="00D951D3">
        <w:rPr>
          <w:rFonts w:asciiTheme="minorHAnsi" w:eastAsia="SimSun" w:hAnsiTheme="minorHAnsi"/>
          <w:color w:val="000000"/>
          <w:sz w:val="24"/>
          <w:szCs w:val="24"/>
          <w:lang w:val="en-US" w:eastAsia="zh-CN"/>
        </w:rPr>
        <w:t xml:space="preserve"> </w:t>
      </w:r>
      <w:proofErr w:type="spellStart"/>
      <w:r w:rsidRPr="00D951D3">
        <w:rPr>
          <w:rFonts w:asciiTheme="minorHAnsi" w:eastAsia="SimSun" w:hAnsiTheme="minorHAnsi"/>
          <w:color w:val="000000"/>
          <w:sz w:val="24"/>
          <w:szCs w:val="24"/>
          <w:lang w:val="en-US" w:eastAsia="zh-CN"/>
        </w:rPr>
        <w:t>Wojciech</w:t>
      </w:r>
      <w:proofErr w:type="spellEnd"/>
      <w:r w:rsidRPr="00D951D3">
        <w:rPr>
          <w:rFonts w:asciiTheme="minorHAnsi" w:eastAsia="SimSun" w:hAnsiTheme="minorHAnsi"/>
          <w:color w:val="000000"/>
          <w:sz w:val="24"/>
          <w:szCs w:val="24"/>
          <w:lang w:val="en-US" w:eastAsia="zh-CN"/>
        </w:rPr>
        <w:t xml:space="preserve"> Piątkowski</w:t>
      </w:r>
      <w:r w:rsidRPr="00D951D3">
        <w:rPr>
          <w:rFonts w:asciiTheme="minorHAnsi" w:eastAsia="SimSun" w:hAnsiTheme="minorHAnsi"/>
          <w:color w:val="000000"/>
          <w:sz w:val="24"/>
          <w:szCs w:val="24"/>
          <w:vertAlign w:val="superscript"/>
          <w:lang w:val="en-US" w:eastAsia="zh-CN"/>
        </w:rPr>
        <w:t>1</w:t>
      </w:r>
      <w:r w:rsidR="007E35AE" w:rsidRPr="00D951D3">
        <w:rPr>
          <w:rFonts w:asciiTheme="minorHAnsi" w:eastAsia="SimSun" w:hAnsiTheme="minorHAnsi"/>
          <w:color w:val="000000"/>
          <w:sz w:val="24"/>
          <w:szCs w:val="24"/>
          <w:lang w:val="en-US" w:eastAsia="zh-CN"/>
        </w:rPr>
        <w:t xml:space="preserve">, </w:t>
      </w:r>
      <w:proofErr w:type="spellStart"/>
      <w:r w:rsidR="007E35AE" w:rsidRPr="00D951D3">
        <w:rPr>
          <w:rFonts w:asciiTheme="minorHAnsi" w:eastAsia="SimSun" w:hAnsiTheme="minorHAnsi"/>
          <w:color w:val="000000"/>
          <w:sz w:val="24"/>
          <w:szCs w:val="24"/>
          <w:lang w:val="en-US" w:eastAsia="zh-CN"/>
        </w:rPr>
        <w:t>Dorota</w:t>
      </w:r>
      <w:proofErr w:type="spellEnd"/>
      <w:r w:rsidR="007E35AE" w:rsidRPr="00D951D3">
        <w:rPr>
          <w:rFonts w:asciiTheme="minorHAnsi" w:eastAsia="SimSun" w:hAnsiTheme="minorHAnsi"/>
          <w:color w:val="000000"/>
          <w:sz w:val="24"/>
          <w:szCs w:val="24"/>
          <w:lang w:val="en-US" w:eastAsia="zh-CN"/>
        </w:rPr>
        <w:t xml:space="preserve"> Antos</w:t>
      </w:r>
      <w:r w:rsidRPr="00D951D3">
        <w:rPr>
          <w:rFonts w:eastAsia="SimSun"/>
          <w:color w:val="000000"/>
          <w:vertAlign w:val="superscript"/>
          <w:lang w:val="en-US" w:eastAsia="zh-CN"/>
        </w:rPr>
        <w:t>1</w:t>
      </w:r>
    </w:p>
    <w:p w:rsidR="004A339B" w:rsidRPr="00C715E0" w:rsidRDefault="004A339B" w:rsidP="00D951D3">
      <w:pPr>
        <w:pStyle w:val="Akapitzlist"/>
        <w:ind w:left="0"/>
        <w:rPr>
          <w:rFonts w:asciiTheme="minorHAnsi" w:hAnsiTheme="minorHAnsi" w:cstheme="minorHAnsi"/>
          <w:i/>
          <w:sz w:val="20"/>
        </w:rPr>
      </w:pPr>
      <w:r w:rsidRPr="00C715E0">
        <w:rPr>
          <w:rFonts w:asciiTheme="minorHAnsi" w:eastAsia="MS PGothic" w:hAnsiTheme="minorHAnsi" w:cstheme="minorHAnsi"/>
          <w:i/>
          <w:iCs/>
          <w:color w:val="000000"/>
          <w:sz w:val="20"/>
          <w:lang w:val="en-US"/>
        </w:rPr>
        <w:t>1</w:t>
      </w:r>
      <w:r w:rsidR="00D951D3" w:rsidRPr="00C715E0">
        <w:rPr>
          <w:rFonts w:asciiTheme="minorHAnsi" w:eastAsia="MS PGothic" w:hAnsiTheme="minorHAnsi" w:cstheme="minorHAnsi"/>
          <w:i/>
          <w:iCs/>
          <w:color w:val="000000"/>
          <w:sz w:val="20"/>
          <w:lang w:val="en-US"/>
        </w:rPr>
        <w:t>-</w:t>
      </w:r>
      <w:r w:rsidRPr="00C715E0">
        <w:rPr>
          <w:rFonts w:asciiTheme="minorHAnsi" w:eastAsia="MS PGothic" w:hAnsiTheme="minorHAnsi" w:cstheme="minorHAnsi"/>
          <w:i/>
          <w:iCs/>
          <w:color w:val="000000"/>
          <w:sz w:val="20"/>
          <w:lang w:val="en-US"/>
        </w:rPr>
        <w:t xml:space="preserve"> </w:t>
      </w:r>
      <w:r w:rsidRPr="00C715E0">
        <w:rPr>
          <w:rFonts w:asciiTheme="minorHAnsi" w:hAnsiTheme="minorHAnsi" w:cstheme="minorHAnsi"/>
          <w:i/>
          <w:sz w:val="20"/>
        </w:rPr>
        <w:t>Department of Chemical and Process E</w:t>
      </w:r>
      <w:r w:rsidR="00D951D3" w:rsidRPr="00C715E0">
        <w:rPr>
          <w:rFonts w:asciiTheme="minorHAnsi" w:hAnsiTheme="minorHAnsi" w:cstheme="minorHAnsi"/>
          <w:i/>
          <w:sz w:val="20"/>
        </w:rPr>
        <w:t>ngineering</w:t>
      </w:r>
      <w:r w:rsidRPr="00C715E0">
        <w:rPr>
          <w:rFonts w:asciiTheme="minorHAnsi" w:hAnsiTheme="minorHAnsi" w:cstheme="minorHAnsi"/>
          <w:i/>
          <w:sz w:val="20"/>
        </w:rPr>
        <w:t>, Rzeszow University of Technology, 35-959 Rzeszow/PL</w:t>
      </w:r>
      <w:r w:rsidRPr="00C715E0">
        <w:rPr>
          <w:rFonts w:asciiTheme="minorHAnsi" w:eastAsia="MS PGothic" w:hAnsiTheme="minorHAnsi" w:cstheme="minorHAnsi"/>
          <w:i/>
          <w:iCs/>
          <w:color w:val="000000"/>
          <w:sz w:val="20"/>
          <w:lang w:val="en-US"/>
        </w:rPr>
        <w:t>; 2</w:t>
      </w:r>
      <w:r w:rsidR="00D951D3" w:rsidRPr="00C715E0">
        <w:rPr>
          <w:rFonts w:asciiTheme="minorHAnsi" w:eastAsia="MS PGothic" w:hAnsiTheme="minorHAnsi" w:cstheme="minorHAnsi"/>
          <w:i/>
          <w:iCs/>
          <w:color w:val="000000"/>
          <w:sz w:val="20"/>
          <w:lang w:val="en-US"/>
        </w:rPr>
        <w:t>-</w:t>
      </w:r>
      <w:r w:rsidRPr="00C715E0">
        <w:rPr>
          <w:rFonts w:asciiTheme="minorHAnsi" w:eastAsia="MS PGothic" w:hAnsiTheme="minorHAnsi" w:cstheme="minorHAnsi"/>
          <w:i/>
          <w:iCs/>
          <w:color w:val="000000"/>
          <w:sz w:val="20"/>
          <w:lang w:val="en-US"/>
        </w:rPr>
        <w:t xml:space="preserve"> </w:t>
      </w:r>
      <w:r w:rsidRPr="00C715E0">
        <w:rPr>
          <w:rFonts w:asciiTheme="minorHAnsi" w:hAnsiTheme="minorHAnsi" w:cstheme="minorHAnsi"/>
          <w:i/>
          <w:sz w:val="20"/>
        </w:rPr>
        <w:t>Chair of Chemistry and Food Toxicology, University of Rzeszow, 35-601 Rzeszow/PL</w:t>
      </w:r>
      <w:r w:rsidR="00D951D3" w:rsidRPr="00C715E0">
        <w:rPr>
          <w:rFonts w:asciiTheme="minorHAnsi" w:hAnsiTheme="minorHAnsi" w:cstheme="minorHAnsi"/>
          <w:i/>
          <w:sz w:val="20"/>
        </w:rPr>
        <w:t xml:space="preserve">; </w:t>
      </w:r>
      <w:r w:rsidR="00D951D3" w:rsidRPr="00C715E0">
        <w:rPr>
          <w:rFonts w:asciiTheme="minorHAnsi" w:eastAsia="MS PGothic" w:hAnsiTheme="minorHAnsi" w:cstheme="minorHAnsi"/>
          <w:i/>
          <w:iCs/>
          <w:color w:val="000000"/>
          <w:sz w:val="20"/>
        </w:rPr>
        <w:t>3-</w:t>
      </w:r>
      <w:r w:rsidR="00D951D3" w:rsidRPr="00C715E0">
        <w:rPr>
          <w:rFonts w:asciiTheme="minorHAnsi" w:eastAsia="MS PGothic" w:hAnsiTheme="minorHAnsi" w:cstheme="minorHAnsi"/>
          <w:i/>
          <w:iCs/>
          <w:color w:val="000000"/>
          <w:sz w:val="20"/>
          <w:lang w:val="en-US"/>
        </w:rPr>
        <w:t xml:space="preserve"> Max Planck Institute for Dynamics of Complex Technical Systems, 39106 Magdeburg/DE; 4-Faculty of Process and Systems Engineering, Otto von Guericke University Magdeburg, 39106 Magdeburg/DE</w:t>
      </w:r>
    </w:p>
    <w:p w:rsidR="00704BDF" w:rsidRPr="00DE0019" w:rsidRDefault="00704BDF" w:rsidP="00704BDF">
      <w:pPr>
        <w:snapToGrid w:val="0"/>
        <w:jc w:val="center"/>
        <w:rPr>
          <w:rFonts w:asciiTheme="minorHAnsi" w:eastAsia="MS PGothic" w:hAnsiTheme="minorHAnsi"/>
          <w:bCs/>
          <w:i/>
          <w:iCs/>
          <w:sz w:val="20"/>
          <w:lang w:val="en-US"/>
        </w:rPr>
      </w:pPr>
      <w:r w:rsidRPr="00F664ED">
        <w:rPr>
          <w:rFonts w:asciiTheme="minorHAnsi" w:eastAsia="MS PGothic" w:hAnsiTheme="minorHAnsi"/>
          <w:bCs/>
          <w:i/>
          <w:iCs/>
          <w:color w:val="000000"/>
          <w:sz w:val="20"/>
          <w:lang w:val="en-US"/>
        </w:rPr>
        <w:t>*</w:t>
      </w:r>
      <w:r w:rsidR="00F664ED" w:rsidRPr="00F664ED">
        <w:rPr>
          <w:rFonts w:asciiTheme="minorHAnsi" w:eastAsia="MS PGothic" w:hAnsiTheme="minorHAnsi"/>
          <w:bCs/>
          <w:i/>
          <w:iCs/>
          <w:color w:val="000000"/>
          <w:sz w:val="20"/>
          <w:lang w:val="en-US"/>
        </w:rPr>
        <w:t>m.olbrycht@prz.edu.p</w:t>
      </w:r>
      <w:r w:rsidR="000C014B">
        <w:rPr>
          <w:rFonts w:asciiTheme="minorHAnsi" w:eastAsia="MS PGothic" w:hAnsiTheme="minorHAnsi"/>
          <w:bCs/>
          <w:i/>
          <w:iCs/>
          <w:color w:val="000000"/>
          <w:sz w:val="20"/>
          <w:lang w:val="en-US"/>
        </w:rPr>
        <w:t>l</w:t>
      </w:r>
    </w:p>
    <w:p w:rsidR="00704BDF" w:rsidRPr="00EC66CC" w:rsidRDefault="00704BDF" w:rsidP="00F664ED">
      <w:pPr>
        <w:pStyle w:val="AbstractHeading"/>
        <w:tabs>
          <w:tab w:val="left" w:pos="3547"/>
          <w:tab w:val="center" w:pos="4694"/>
        </w:tabs>
        <w:spacing w:before="120" w:after="0" w:line="240" w:lineRule="auto"/>
        <w:ind w:firstLine="357"/>
        <w:rPr>
          <w:rFonts w:asciiTheme="minorHAnsi" w:hAnsiTheme="minorHAnsi"/>
          <w:b/>
        </w:rPr>
      </w:pPr>
      <w:r w:rsidRPr="00EC66CC">
        <w:rPr>
          <w:rFonts w:asciiTheme="minorHAnsi" w:hAnsiTheme="minorHAnsi"/>
          <w:b/>
        </w:rPr>
        <w:t>Highlights</w:t>
      </w:r>
    </w:p>
    <w:p w:rsidR="007E35AE" w:rsidRPr="007E35AE" w:rsidRDefault="007E35AE" w:rsidP="007E35AE">
      <w:pPr>
        <w:pStyle w:val="Akapitzlist"/>
        <w:numPr>
          <w:ilvl w:val="0"/>
          <w:numId w:val="16"/>
        </w:numPr>
        <w:rPr>
          <w:rFonts w:asciiTheme="minorHAnsi" w:hAnsiTheme="minorHAnsi"/>
          <w:sz w:val="20"/>
          <w:lang w:val="en-US"/>
        </w:rPr>
      </w:pPr>
      <w:r w:rsidRPr="007E35AE">
        <w:rPr>
          <w:rFonts w:asciiTheme="minorHAnsi" w:hAnsiTheme="minorHAnsi"/>
          <w:sz w:val="20"/>
          <w:lang w:val="en-US"/>
        </w:rPr>
        <w:t>Separation of stereoisomers by crystallization</w:t>
      </w:r>
      <w:r w:rsidR="009D24A2">
        <w:rPr>
          <w:rFonts w:asciiTheme="minorHAnsi" w:hAnsiTheme="minorHAnsi"/>
          <w:sz w:val="20"/>
          <w:lang w:val="en-US"/>
        </w:rPr>
        <w:t>.</w:t>
      </w:r>
    </w:p>
    <w:p w:rsidR="00704BDF" w:rsidRPr="007E35AE" w:rsidRDefault="007E35AE" w:rsidP="007E35AE">
      <w:pPr>
        <w:pStyle w:val="Akapitzlist"/>
        <w:numPr>
          <w:ilvl w:val="0"/>
          <w:numId w:val="16"/>
        </w:numPr>
        <w:rPr>
          <w:rFonts w:asciiTheme="minorHAnsi" w:hAnsiTheme="minorHAnsi"/>
          <w:sz w:val="20"/>
          <w:lang w:val="en-US"/>
        </w:rPr>
      </w:pPr>
      <w:r w:rsidRPr="007E35AE">
        <w:rPr>
          <w:rFonts w:asciiTheme="minorHAnsi" w:hAnsiTheme="minorHAnsi"/>
          <w:sz w:val="20"/>
          <w:lang w:val="en-US"/>
        </w:rPr>
        <w:t>SLE for two selected solid solution forming systems</w:t>
      </w:r>
      <w:r w:rsidR="009D24A2">
        <w:rPr>
          <w:rFonts w:asciiTheme="minorHAnsi" w:hAnsiTheme="minorHAnsi"/>
          <w:sz w:val="20"/>
          <w:lang w:val="en-US"/>
        </w:rPr>
        <w:t>.</w:t>
      </w:r>
    </w:p>
    <w:p w:rsidR="00704BDF" w:rsidRPr="007E35AE" w:rsidRDefault="007E35AE" w:rsidP="007E35AE">
      <w:pPr>
        <w:pStyle w:val="Akapitzlist"/>
        <w:numPr>
          <w:ilvl w:val="0"/>
          <w:numId w:val="16"/>
        </w:numPr>
        <w:rPr>
          <w:rFonts w:asciiTheme="minorHAnsi" w:hAnsiTheme="minorHAnsi"/>
          <w:sz w:val="20"/>
          <w:lang w:val="en-US"/>
        </w:rPr>
      </w:pPr>
      <w:r w:rsidRPr="007E35AE">
        <w:rPr>
          <w:rFonts w:asciiTheme="minorHAnsi" w:hAnsiTheme="minorHAnsi"/>
          <w:sz w:val="20"/>
          <w:lang w:val="en-US"/>
        </w:rPr>
        <w:t>Crystallization kinetics for the two systems</w:t>
      </w:r>
      <w:r w:rsidR="009D24A2">
        <w:rPr>
          <w:rFonts w:asciiTheme="minorHAnsi" w:hAnsiTheme="minorHAnsi"/>
          <w:sz w:val="20"/>
          <w:lang w:val="en-US"/>
        </w:rPr>
        <w:t>.</w:t>
      </w:r>
    </w:p>
    <w:p w:rsidR="00704BDF" w:rsidRPr="008D0BEB" w:rsidRDefault="00704BDF" w:rsidP="00F664ED">
      <w:pPr>
        <w:snapToGrid w:val="0"/>
        <w:spacing w:before="120" w:line="24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8D0BEB" w:rsidRDefault="008D60FC" w:rsidP="00F664ED">
      <w:pPr>
        <w:snapToGrid w:val="0"/>
        <w:spacing w:after="120" w:line="240" w:lineRule="auto"/>
        <w:rPr>
          <w:rFonts w:asciiTheme="minorHAnsi" w:eastAsia="MS PGothic" w:hAnsiTheme="minorHAnsi"/>
          <w:color w:val="000000"/>
          <w:sz w:val="22"/>
          <w:szCs w:val="22"/>
          <w:lang w:val="en-US"/>
        </w:rPr>
      </w:pPr>
      <w:r w:rsidRPr="008D60FC">
        <w:rPr>
          <w:rFonts w:asciiTheme="minorHAnsi" w:eastAsia="MS PGothic" w:hAnsiTheme="minorHAnsi"/>
          <w:color w:val="000000"/>
          <w:sz w:val="22"/>
          <w:szCs w:val="22"/>
          <w:lang w:val="en-US"/>
        </w:rPr>
        <w:t>A significant number of the drugs currently in use contain chiral substances as active ph</w:t>
      </w:r>
      <w:r w:rsidR="00BA3111">
        <w:rPr>
          <w:rFonts w:asciiTheme="minorHAnsi" w:eastAsia="MS PGothic" w:hAnsiTheme="minorHAnsi"/>
          <w:color w:val="000000"/>
          <w:sz w:val="22"/>
          <w:szCs w:val="22"/>
          <w:lang w:val="en-US"/>
        </w:rPr>
        <w:t xml:space="preserve">armaceutical ingredients (API). </w:t>
      </w:r>
      <w:r w:rsidRPr="008D60FC">
        <w:rPr>
          <w:rFonts w:asciiTheme="minorHAnsi" w:eastAsia="MS PGothic" w:hAnsiTheme="minorHAnsi"/>
          <w:color w:val="000000"/>
          <w:sz w:val="22"/>
          <w:szCs w:val="22"/>
          <w:lang w:val="en-US"/>
        </w:rPr>
        <w:t>Therefore, a considerable interest has arisen in pharmaceutical companies in chiral separations in order to eli</w:t>
      </w:r>
      <w:r w:rsidR="00485354">
        <w:rPr>
          <w:rFonts w:asciiTheme="minorHAnsi" w:eastAsia="MS PGothic" w:hAnsiTheme="minorHAnsi"/>
          <w:color w:val="000000"/>
          <w:sz w:val="22"/>
          <w:szCs w:val="22"/>
          <w:lang w:val="en-US"/>
        </w:rPr>
        <w:t>minate the unwanted isomer.</w:t>
      </w:r>
      <w:r w:rsidRPr="008D60FC">
        <w:rPr>
          <w:rFonts w:asciiTheme="minorHAnsi" w:eastAsia="MS PGothic" w:hAnsiTheme="minorHAnsi"/>
          <w:color w:val="000000"/>
          <w:sz w:val="22"/>
          <w:szCs w:val="22"/>
          <w:lang w:val="en-US"/>
        </w:rPr>
        <w:t xml:space="preserve"> The most frequently used method for chiral separations is the so-called classical resolution method, which involves formation of diastereoisomeric salts. The diastereoisomers are then separated b</w:t>
      </w:r>
      <w:r w:rsidR="00BA3111">
        <w:rPr>
          <w:rFonts w:asciiTheme="minorHAnsi" w:eastAsia="MS PGothic" w:hAnsiTheme="minorHAnsi"/>
          <w:color w:val="000000"/>
          <w:sz w:val="22"/>
          <w:szCs w:val="22"/>
          <w:lang w:val="en-US"/>
        </w:rPr>
        <w:t xml:space="preserve">y conventional crystallization. </w:t>
      </w:r>
      <w:r w:rsidRPr="008D60FC">
        <w:rPr>
          <w:rFonts w:asciiTheme="minorHAnsi" w:eastAsia="MS PGothic" w:hAnsiTheme="minorHAnsi"/>
          <w:color w:val="000000"/>
          <w:sz w:val="22"/>
          <w:szCs w:val="22"/>
          <w:lang w:val="en-US"/>
        </w:rPr>
        <w:t>The efficiency of the operation is determined by the solid phase behavior of chiral systems. The separation is the most challenging when solid solutions are formed, which occurs for components with m</w:t>
      </w:r>
      <w:r w:rsidR="00485354">
        <w:rPr>
          <w:rFonts w:asciiTheme="minorHAnsi" w:eastAsia="MS PGothic" w:hAnsiTheme="minorHAnsi"/>
          <w:color w:val="000000"/>
          <w:sz w:val="22"/>
          <w:szCs w:val="22"/>
          <w:lang w:val="en-US"/>
        </w:rPr>
        <w:t>iscibility in the solid phase.[1</w:t>
      </w:r>
      <w:r w:rsidRPr="008D60FC">
        <w:rPr>
          <w:rFonts w:asciiTheme="minorHAnsi" w:eastAsia="MS PGothic" w:hAnsiTheme="minorHAnsi"/>
          <w:color w:val="000000"/>
          <w:sz w:val="22"/>
          <w:szCs w:val="22"/>
          <w:lang w:val="en-US"/>
        </w:rPr>
        <w:t>]</w:t>
      </w:r>
    </w:p>
    <w:p w:rsidR="00704BDF" w:rsidRPr="008D0BEB" w:rsidRDefault="00704BDF" w:rsidP="00F664ED">
      <w:pPr>
        <w:snapToGrid w:val="0"/>
        <w:spacing w:before="12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A21EBA" w:rsidRDefault="00A21EBA" w:rsidP="00F664ED">
      <w:pPr>
        <w:snapToGrid w:val="0"/>
        <w:spacing w:after="120" w:line="240" w:lineRule="auto"/>
        <w:rPr>
          <w:rFonts w:asciiTheme="minorHAnsi" w:eastAsia="MS PGothic" w:hAnsiTheme="minorHAnsi"/>
          <w:color w:val="000000"/>
          <w:sz w:val="22"/>
          <w:szCs w:val="22"/>
        </w:rPr>
      </w:pPr>
      <w:r w:rsidRPr="0061094F">
        <w:rPr>
          <w:rFonts w:asciiTheme="minorHAnsi" w:eastAsia="MS PGothic" w:hAnsiTheme="minorHAnsi"/>
          <w:color w:val="000000"/>
          <w:sz w:val="22"/>
          <w:szCs w:val="22"/>
        </w:rPr>
        <w:t xml:space="preserve">Two different model systems were </w:t>
      </w:r>
      <w:r w:rsidR="00F0658D" w:rsidRPr="0061094F">
        <w:rPr>
          <w:rFonts w:asciiTheme="minorHAnsi" w:eastAsia="MS PGothic" w:hAnsiTheme="minorHAnsi"/>
          <w:color w:val="000000"/>
          <w:sz w:val="22"/>
          <w:szCs w:val="22"/>
        </w:rPr>
        <w:t>analysed</w:t>
      </w:r>
      <w:r w:rsidRPr="0061094F">
        <w:rPr>
          <w:rFonts w:asciiTheme="minorHAnsi" w:eastAsia="MS PGothic" w:hAnsiTheme="minorHAnsi"/>
          <w:color w:val="000000"/>
          <w:sz w:val="22"/>
          <w:szCs w:val="22"/>
        </w:rPr>
        <w:t>, which consisted of pharmaceutically active stereoisomers that showed miscibility in the solid phase: System I, which was a mixture of diastereoisomeric salts of citalopram with (+)-O,O′-di-p-toluoyl-D-tartaric</w:t>
      </w:r>
      <w:r w:rsidR="00F0658D">
        <w:rPr>
          <w:rFonts w:asciiTheme="minorHAnsi" w:eastAsia="MS PGothic" w:hAnsiTheme="minorHAnsi"/>
          <w:color w:val="000000"/>
          <w:sz w:val="22"/>
          <w:szCs w:val="22"/>
        </w:rPr>
        <w:t xml:space="preserve"> acid, ((+)DTT)), and System II</w:t>
      </w:r>
      <w:r w:rsidRPr="0061094F">
        <w:rPr>
          <w:rFonts w:asciiTheme="minorHAnsi" w:eastAsia="MS PGothic" w:hAnsiTheme="minorHAnsi"/>
          <w:color w:val="000000"/>
          <w:sz w:val="22"/>
          <w:szCs w:val="22"/>
        </w:rPr>
        <w:t xml:space="preserve">, which was a mixture of stereoisomeric salts of nafronyl with oxalic acid. The nafronyl molecule possesses two stereogenic centers. </w:t>
      </w:r>
    </w:p>
    <w:p w:rsidR="00704BDF" w:rsidRPr="008D0BEB" w:rsidRDefault="00704BDF" w:rsidP="00F664ED">
      <w:pPr>
        <w:snapToGrid w:val="0"/>
        <w:spacing w:before="12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1B64D3" w:rsidRDefault="0061094F" w:rsidP="001275F0">
      <w:pPr>
        <w:snapToGrid w:val="0"/>
        <w:spacing w:after="120" w:line="240" w:lineRule="auto"/>
        <w:rPr>
          <w:rFonts w:asciiTheme="minorHAnsi" w:eastAsia="MS PGothic" w:hAnsiTheme="minorHAnsi"/>
          <w:color w:val="000000"/>
          <w:sz w:val="22"/>
          <w:szCs w:val="22"/>
        </w:rPr>
        <w:sectPr w:rsidR="001B64D3" w:rsidSect="002065DB">
          <w:type w:val="continuous"/>
          <w:pgSz w:w="11906" w:h="16838" w:code="9"/>
          <w:pgMar w:top="2552" w:right="1418" w:bottom="1134" w:left="1701" w:header="1128" w:footer="0" w:gutter="0"/>
          <w:cols w:space="708"/>
          <w:formProt w:val="0"/>
          <w:titlePg/>
          <w:docGrid w:linePitch="360"/>
        </w:sectPr>
      </w:pPr>
      <w:r w:rsidRPr="0061094F">
        <w:rPr>
          <w:rFonts w:asciiTheme="minorHAnsi" w:eastAsia="MS PGothic" w:hAnsiTheme="minorHAnsi"/>
          <w:color w:val="000000"/>
          <w:sz w:val="22"/>
          <w:szCs w:val="22"/>
        </w:rPr>
        <w:t>The solid-liquid equilibrium (SLE) data acquired for System I are presented in Fig. 1A. It is evident that the solubility of S-citalopram·(+)DTT is higher compared to R-citalopram·(+)DTT, therefore, the former can be enriched in the mother liquor. The SLE data indicate the formation of solid solutions in the crystalline phase.</w:t>
      </w:r>
      <w:r w:rsidR="005E26D5">
        <w:rPr>
          <w:rFonts w:asciiTheme="minorHAnsi" w:eastAsia="MS PGothic" w:hAnsiTheme="minorHAnsi"/>
          <w:color w:val="000000"/>
          <w:sz w:val="22"/>
          <w:szCs w:val="22"/>
        </w:rPr>
        <w:t xml:space="preserve"> </w:t>
      </w:r>
      <w:r w:rsidR="005E26D5" w:rsidRPr="00F0658D">
        <w:rPr>
          <w:rFonts w:asciiTheme="minorHAnsi" w:eastAsia="MS PGothic" w:hAnsiTheme="minorHAnsi"/>
          <w:color w:val="000000"/>
          <w:sz w:val="22"/>
          <w:szCs w:val="22"/>
          <w:lang w:val="en-US"/>
        </w:rPr>
        <w:t xml:space="preserve">The equilibrium relationship for the mixture of nafronyl oxalate stereoisomers in System II is much more complex (Fig. 1B), particularly in case of the </w:t>
      </w:r>
      <w:r w:rsidR="00F0658D" w:rsidRPr="00F0658D">
        <w:rPr>
          <w:rFonts w:asciiTheme="minorHAnsi" w:eastAsia="MS PGothic" w:hAnsiTheme="minorHAnsi"/>
          <w:color w:val="000000"/>
          <w:sz w:val="22"/>
          <w:szCs w:val="22"/>
          <w:lang w:val="en-US"/>
        </w:rPr>
        <w:t>dependency</w:t>
      </w:r>
      <m:oMath>
        <m:sSubSup>
          <m:sSubSupPr>
            <m:ctrlPr>
              <w:rPr>
                <w:rFonts w:ascii="Cambria Math" w:hAnsi="Cambria Math"/>
                <w:color w:val="000000" w:themeColor="text1"/>
                <w:szCs w:val="18"/>
                <w:lang w:val="en-US"/>
              </w:rPr>
            </m:ctrlPr>
          </m:sSubSupPr>
          <m:e>
            <m:r>
              <w:rPr>
                <w:rFonts w:ascii="Cambria Math" w:hAnsi="Cambria Math"/>
                <w:color w:val="000000" w:themeColor="text1"/>
                <w:szCs w:val="18"/>
                <w:lang w:val="en-US"/>
              </w:rPr>
              <m:t>x</m:t>
            </m:r>
          </m:e>
          <m:sub>
            <m:r>
              <w:rPr>
                <w:rFonts w:ascii="Cambria Math" w:hAnsi="Cambria Math"/>
                <w:color w:val="000000" w:themeColor="text1"/>
                <w:szCs w:val="18"/>
                <w:lang w:val="en-US"/>
              </w:rPr>
              <m:t>eq</m:t>
            </m:r>
            <m:r>
              <m:rPr>
                <m:sty m:val="p"/>
              </m:rPr>
              <w:rPr>
                <w:rFonts w:ascii="Cambria Math" w:hAnsi="Cambria Math"/>
                <w:color w:val="000000" w:themeColor="text1"/>
                <w:szCs w:val="18"/>
                <w:lang w:val="en-US"/>
              </w:rPr>
              <m:t>,</m:t>
            </m:r>
            <m:r>
              <w:rPr>
                <w:rFonts w:ascii="Cambria Math" w:hAnsi="Cambria Math"/>
                <w:color w:val="000000" w:themeColor="text1"/>
                <w:szCs w:val="18"/>
                <w:lang w:val="en-US"/>
              </w:rPr>
              <m:t>1,3</m:t>
            </m:r>
          </m:sub>
          <m:sup>
            <m:r>
              <w:rPr>
                <w:rFonts w:ascii="Cambria Math" w:hAnsi="Cambria Math"/>
                <w:color w:val="000000" w:themeColor="text1"/>
                <w:szCs w:val="18"/>
                <w:lang w:val="en-US"/>
              </w:rPr>
              <m:t>L</m:t>
            </m:r>
          </m:sup>
        </m:sSubSup>
        <m:r>
          <m:rPr>
            <m:sty m:val="p"/>
          </m:rPr>
          <w:rPr>
            <w:rFonts w:ascii="Cambria Math" w:hAnsi="Cambria Math"/>
            <w:color w:val="000000" w:themeColor="text1"/>
            <w:szCs w:val="18"/>
            <w:lang w:val="en-US"/>
          </w:rPr>
          <m:t>=</m:t>
        </m:r>
        <m:sSub>
          <m:sSubPr>
            <m:ctrlPr>
              <w:rPr>
                <w:rFonts w:ascii="Cambria Math" w:hAnsi="Cambria Math"/>
                <w:bCs/>
                <w:i/>
                <w:color w:val="000000" w:themeColor="text1"/>
                <w:szCs w:val="18"/>
                <w:lang w:val="en-US" w:eastAsia="de-DE"/>
              </w:rPr>
            </m:ctrlPr>
          </m:sSubPr>
          <m:e>
            <m:r>
              <w:rPr>
                <w:rFonts w:ascii="Cambria Math" w:hAnsi="Cambria Math"/>
                <w:color w:val="000000" w:themeColor="text1"/>
                <w:szCs w:val="18"/>
                <w:lang w:val="en-US"/>
              </w:rPr>
              <m:t>f</m:t>
            </m:r>
          </m:e>
          <m:sub>
            <m:r>
              <w:rPr>
                <w:rFonts w:ascii="Cambria Math" w:hAnsi="Cambria Math"/>
                <w:color w:val="000000" w:themeColor="text1"/>
                <w:szCs w:val="18"/>
                <w:lang w:val="en-US"/>
              </w:rPr>
              <m:t>p</m:t>
            </m:r>
          </m:sub>
        </m:sSub>
        <m:d>
          <m:dPr>
            <m:ctrlPr>
              <w:rPr>
                <w:rFonts w:ascii="Cambria Math" w:hAnsi="Cambria Math"/>
                <w:color w:val="000000" w:themeColor="text1"/>
                <w:szCs w:val="18"/>
                <w:lang w:val="en-US"/>
              </w:rPr>
            </m:ctrlPr>
          </m:dPr>
          <m:e>
            <m:sSubSup>
              <m:sSubSupPr>
                <m:ctrlPr>
                  <w:rPr>
                    <w:rFonts w:ascii="Cambria Math" w:hAnsi="Cambria Math"/>
                    <w:color w:val="000000" w:themeColor="text1"/>
                    <w:szCs w:val="18"/>
                    <w:lang w:val="en-US"/>
                  </w:rPr>
                </m:ctrlPr>
              </m:sSubSupPr>
              <m:e>
                <m:r>
                  <w:rPr>
                    <w:rFonts w:ascii="Cambria Math" w:hAnsi="Cambria Math"/>
                    <w:color w:val="000000" w:themeColor="text1"/>
                    <w:szCs w:val="18"/>
                    <w:lang w:val="en-US"/>
                  </w:rPr>
                  <m:t>x</m:t>
                </m:r>
              </m:e>
              <m:sub>
                <m:r>
                  <w:rPr>
                    <w:rFonts w:ascii="Cambria Math" w:hAnsi="Cambria Math"/>
                    <w:color w:val="000000" w:themeColor="text1"/>
                    <w:szCs w:val="18"/>
                    <w:lang w:val="en-US"/>
                  </w:rPr>
                  <m:t>2,4</m:t>
                </m:r>
              </m:sub>
              <m:sup>
                <m:r>
                  <w:rPr>
                    <w:rFonts w:ascii="Cambria Math" w:hAnsi="Cambria Math"/>
                    <w:color w:val="000000" w:themeColor="text1"/>
                    <w:szCs w:val="18"/>
                    <w:lang w:val="en-US"/>
                  </w:rPr>
                  <m:t>S</m:t>
                </m:r>
              </m:sup>
            </m:sSubSup>
          </m:e>
        </m:d>
      </m:oMath>
      <w:r w:rsidR="005E26D5" w:rsidRPr="00F0658D">
        <w:rPr>
          <w:rFonts w:asciiTheme="minorHAnsi" w:eastAsia="MS PGothic" w:hAnsiTheme="minorHAnsi"/>
          <w:color w:val="000000"/>
          <w:sz w:val="22"/>
          <w:szCs w:val="22"/>
          <w:lang w:val="en-US"/>
        </w:rPr>
        <w:t xml:space="preserve">, for which the equilibrium curve consists of the upward and downward sloping parts. </w:t>
      </w:r>
      <w:r w:rsidR="001275F0">
        <w:rPr>
          <w:rFonts w:asciiTheme="minorHAnsi" w:eastAsia="MS PGothic" w:hAnsiTheme="minorHAnsi"/>
          <w:color w:val="000000"/>
          <w:sz w:val="22"/>
          <w:szCs w:val="22"/>
          <w:lang w:val="en-US"/>
        </w:rPr>
        <w:t xml:space="preserve"> </w:t>
      </w:r>
      <w:r w:rsidR="001275F0" w:rsidRPr="0061094F">
        <w:rPr>
          <w:rFonts w:asciiTheme="minorHAnsi" w:eastAsia="MS PGothic" w:hAnsiTheme="minorHAnsi"/>
          <w:color w:val="000000"/>
          <w:sz w:val="22"/>
          <w:szCs w:val="22"/>
        </w:rPr>
        <w:t>The composition region, in which the same liquid concentration can be matched with</w:t>
      </w:r>
    </w:p>
    <w:p w:rsidR="00F318CC" w:rsidRPr="003B6E64" w:rsidRDefault="003B6E64" w:rsidP="003B6E64">
      <w:pPr>
        <w:widowControl w:val="0"/>
        <w:tabs>
          <w:tab w:val="left" w:pos="4536"/>
        </w:tabs>
        <w:spacing w:line="240" w:lineRule="auto"/>
        <w:rPr>
          <w:rFonts w:asciiTheme="minorHAnsi" w:eastAsia="MS PGothic" w:hAnsiTheme="minorHAnsi"/>
          <w:color w:val="000000"/>
          <w:sz w:val="22"/>
          <w:szCs w:val="22"/>
        </w:rPr>
      </w:pPr>
      <w:r w:rsidRPr="003B6E64">
        <w:rPr>
          <w:rFonts w:asciiTheme="minorHAnsi" w:eastAsia="MS PGothic" w:hAnsiTheme="minorHAnsi"/>
          <w:noProof/>
          <w:color w:val="000000"/>
          <w:sz w:val="22"/>
          <w:szCs w:val="22"/>
          <w:lang w:val="pl-PL" w:eastAsia="pl-PL"/>
        </w:rPr>
        <w:lastRenderedPageBreak/>
        <w:drawing>
          <wp:inline distT="0" distB="0" distL="0" distR="0">
            <wp:extent cx="2608580" cy="1050737"/>
            <wp:effectExtent l="0" t="0" r="1270" b="0"/>
            <wp:docPr id="1" name="Obraz 1" descr="C:\Users\Maksymilian Olbrycht\Desktop\Florencja\Nafronyl\Rysunki\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symilian Olbrycht\Desktop\Florencja\Nafronyl\Rysunki\Fig.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8580" cy="1050737"/>
                    </a:xfrm>
                    <a:prstGeom prst="rect">
                      <a:avLst/>
                    </a:prstGeom>
                    <a:noFill/>
                    <a:ln>
                      <a:noFill/>
                    </a:ln>
                  </pic:spPr>
                </pic:pic>
              </a:graphicData>
            </a:graphic>
          </wp:inline>
        </w:drawing>
      </w:r>
    </w:p>
    <w:p w:rsidR="00B97560" w:rsidRPr="00210346" w:rsidRDefault="00F318CC" w:rsidP="001275F0">
      <w:pPr>
        <w:widowControl w:val="0"/>
        <w:spacing w:line="240" w:lineRule="auto"/>
        <w:rPr>
          <w:rFonts w:asciiTheme="majorHAnsi" w:hAnsiTheme="majorHAnsi" w:cstheme="majorHAnsi"/>
          <w:sz w:val="22"/>
          <w:szCs w:val="22"/>
          <w:lang w:val="en-US"/>
        </w:rPr>
      </w:pPr>
      <w:r w:rsidRPr="0061094F">
        <w:rPr>
          <w:rFonts w:asciiTheme="minorHAnsi" w:eastAsia="MS PGothic" w:hAnsiTheme="minorHAnsi"/>
          <w:color w:val="000000"/>
          <w:sz w:val="22"/>
          <w:szCs w:val="22"/>
        </w:rPr>
        <w:lastRenderedPageBreak/>
        <w:t xml:space="preserve">The composition region, in which the same liquid concentration can be matched with more than one equilibrium concentration in the solid phase indicates the possibility of establishing multiple </w:t>
      </w:r>
      <w:r>
        <w:rPr>
          <w:rFonts w:asciiTheme="minorHAnsi" w:eastAsia="MS PGothic" w:hAnsiTheme="minorHAnsi"/>
          <w:color w:val="000000"/>
          <w:sz w:val="22"/>
          <w:szCs w:val="22"/>
        </w:rPr>
        <w:t>equilibrium states.[2</w:t>
      </w:r>
      <w:r w:rsidRPr="0061094F">
        <w:rPr>
          <w:rFonts w:asciiTheme="minorHAnsi" w:eastAsia="MS PGothic" w:hAnsiTheme="minorHAnsi"/>
          <w:color w:val="000000"/>
          <w:sz w:val="22"/>
          <w:szCs w:val="22"/>
        </w:rPr>
        <w:t>]</w:t>
      </w:r>
    </w:p>
    <w:p w:rsidR="001B64D3" w:rsidRDefault="0061094F" w:rsidP="005438B9">
      <w:pPr>
        <w:widowControl w:val="0"/>
        <w:tabs>
          <w:tab w:val="left" w:pos="426"/>
        </w:tabs>
        <w:spacing w:after="120" w:line="240" w:lineRule="auto"/>
        <w:rPr>
          <w:rFonts w:asciiTheme="minorHAnsi" w:hAnsiTheme="minorHAnsi" w:cstheme="minorHAnsi"/>
          <w:szCs w:val="18"/>
          <w:lang w:val="en-US"/>
        </w:rPr>
        <w:sectPr w:rsidR="001B64D3" w:rsidSect="00DE2C90">
          <w:type w:val="continuous"/>
          <w:pgSz w:w="11906" w:h="16838" w:code="9"/>
          <w:pgMar w:top="2552" w:right="1418" w:bottom="1134" w:left="1701" w:header="1128" w:footer="0" w:gutter="0"/>
          <w:cols w:num="2" w:space="142" w:equalWidth="0">
            <w:col w:w="4536" w:space="142"/>
            <w:col w:w="4109"/>
          </w:cols>
          <w:formProt w:val="0"/>
          <w:titlePg/>
          <w:docGrid w:linePitch="360"/>
        </w:sectPr>
      </w:pPr>
      <w:r w:rsidRPr="0061094F">
        <w:rPr>
          <w:rFonts w:asciiTheme="minorHAnsi" w:hAnsiTheme="minorHAnsi" w:cstheme="minorHAnsi"/>
          <w:b/>
          <w:szCs w:val="18"/>
          <w:lang w:val="en-US"/>
        </w:rPr>
        <w:t>Figure 1.</w:t>
      </w:r>
      <w:r w:rsidRPr="0061094F">
        <w:rPr>
          <w:rFonts w:asciiTheme="minorHAnsi" w:hAnsiTheme="minorHAnsi" w:cstheme="minorHAnsi"/>
          <w:i/>
          <w:szCs w:val="18"/>
          <w:lang w:val="en-US"/>
        </w:rPr>
        <w:t xml:space="preserve"> </w:t>
      </w:r>
      <w:r w:rsidRPr="0061094F">
        <w:rPr>
          <w:rFonts w:asciiTheme="minorHAnsi" w:hAnsiTheme="minorHAnsi" w:cstheme="minorHAnsi"/>
          <w:szCs w:val="18"/>
          <w:lang w:val="en-US"/>
        </w:rPr>
        <w:t xml:space="preserve">Characterization of SLE for </w:t>
      </w:r>
      <w:r w:rsidRPr="0061094F">
        <w:rPr>
          <w:rFonts w:asciiTheme="minorHAnsi" w:hAnsiTheme="minorHAnsi" w:cstheme="minorHAnsi"/>
          <w:i/>
          <w:szCs w:val="18"/>
          <w:lang w:val="en-US"/>
        </w:rPr>
        <w:t>System</w:t>
      </w:r>
      <w:r w:rsidRPr="0061094F">
        <w:rPr>
          <w:rFonts w:asciiTheme="minorHAnsi" w:hAnsiTheme="minorHAnsi" w:cstheme="minorHAnsi"/>
          <w:szCs w:val="18"/>
          <w:lang w:val="en-US"/>
        </w:rPr>
        <w:t xml:space="preserve"> I (A), </w:t>
      </w:r>
      <w:r w:rsidRPr="0061094F">
        <w:rPr>
          <w:rFonts w:asciiTheme="minorHAnsi" w:hAnsiTheme="minorHAnsi" w:cstheme="minorHAnsi"/>
          <w:i/>
          <w:szCs w:val="18"/>
          <w:lang w:val="en-US"/>
        </w:rPr>
        <w:t>System</w:t>
      </w:r>
      <w:r w:rsidRPr="0061094F">
        <w:rPr>
          <w:rFonts w:asciiTheme="minorHAnsi" w:hAnsiTheme="minorHAnsi" w:cstheme="minorHAnsi"/>
          <w:szCs w:val="18"/>
          <w:lang w:val="en-US"/>
        </w:rPr>
        <w:t xml:space="preserve"> II (B). </w:t>
      </w:r>
      <w:r w:rsidR="005E26D5">
        <w:rPr>
          <w:rFonts w:asciiTheme="minorHAnsi" w:hAnsiTheme="minorHAnsi" w:cstheme="minorHAnsi"/>
          <w:szCs w:val="18"/>
          <w:lang w:val="en-US"/>
        </w:rPr>
        <w:t>S</w:t>
      </w:r>
      <w:r w:rsidRPr="0061094F">
        <w:rPr>
          <w:rFonts w:asciiTheme="minorHAnsi" w:hAnsiTheme="minorHAnsi" w:cstheme="minorHAnsi"/>
          <w:szCs w:val="18"/>
          <w:lang w:val="en-US"/>
        </w:rPr>
        <w:t>ymbols – exp. data, lines - polynomial approx.</w:t>
      </w:r>
      <w:r w:rsidR="00F318CC">
        <w:rPr>
          <w:rFonts w:asciiTheme="minorHAnsi" w:hAnsiTheme="minorHAnsi" w:cstheme="minorHAnsi"/>
          <w:szCs w:val="18"/>
          <w:lang w:val="en-US"/>
        </w:rPr>
        <w:t xml:space="preserve"> </w:t>
      </w:r>
    </w:p>
    <w:p w:rsidR="00F318CC" w:rsidRPr="00F318CC" w:rsidRDefault="00F318CC" w:rsidP="00F318CC">
      <w:pPr>
        <w:snapToGrid w:val="0"/>
        <w:spacing w:line="240" w:lineRule="auto"/>
        <w:rPr>
          <w:rFonts w:asciiTheme="minorHAnsi" w:eastAsia="MS PGothic" w:hAnsiTheme="minorHAnsi"/>
          <w:color w:val="000000"/>
          <w:sz w:val="22"/>
          <w:szCs w:val="22"/>
          <w:lang w:val="en-US"/>
        </w:rPr>
      </w:pPr>
      <w:r w:rsidRPr="0061094F">
        <w:rPr>
          <w:rFonts w:asciiTheme="minorHAnsi" w:eastAsia="MS PGothic" w:hAnsiTheme="minorHAnsi"/>
          <w:color w:val="000000"/>
          <w:sz w:val="22"/>
          <w:szCs w:val="22"/>
        </w:rPr>
        <w:lastRenderedPageBreak/>
        <w:t xml:space="preserve">This phenomenon can be most probably attributed to polymorphic behaviour of one component showing also </w:t>
      </w:r>
      <w:r>
        <w:rPr>
          <w:rFonts w:asciiTheme="minorHAnsi" w:eastAsia="MS PGothic" w:hAnsiTheme="minorHAnsi"/>
          <w:color w:val="000000"/>
          <w:sz w:val="22"/>
          <w:szCs w:val="22"/>
        </w:rPr>
        <w:t>miscibility at the solid state.</w:t>
      </w:r>
    </w:p>
    <w:p w:rsidR="001B64D3" w:rsidRDefault="0061094F" w:rsidP="00F664ED">
      <w:pPr>
        <w:snapToGrid w:val="0"/>
        <w:spacing w:line="240" w:lineRule="auto"/>
        <w:rPr>
          <w:rFonts w:asciiTheme="minorHAnsi" w:eastAsia="MS PGothic" w:hAnsiTheme="minorHAnsi"/>
          <w:color w:val="000000"/>
          <w:sz w:val="22"/>
          <w:szCs w:val="22"/>
        </w:rPr>
        <w:sectPr w:rsidR="001B64D3" w:rsidSect="002065DB">
          <w:type w:val="continuous"/>
          <w:pgSz w:w="11906" w:h="16838" w:code="9"/>
          <w:pgMar w:top="2552" w:right="1418" w:bottom="1134" w:left="1701" w:header="1128" w:footer="0" w:gutter="0"/>
          <w:cols w:space="708"/>
          <w:formProt w:val="0"/>
          <w:titlePg/>
          <w:docGrid w:linePitch="360"/>
        </w:sectPr>
      </w:pPr>
      <w:r w:rsidRPr="0061094F">
        <w:rPr>
          <w:rFonts w:asciiTheme="minorHAnsi" w:eastAsia="MS PGothic" w:hAnsiTheme="minorHAnsi"/>
          <w:color w:val="000000"/>
          <w:sz w:val="22"/>
          <w:szCs w:val="22"/>
        </w:rPr>
        <w:t xml:space="preserve">The crystallization kinetics </w:t>
      </w:r>
      <w:r w:rsidR="008A5525">
        <w:rPr>
          <w:rFonts w:asciiTheme="minorHAnsi" w:eastAsia="MS PGothic" w:hAnsiTheme="minorHAnsi"/>
          <w:color w:val="000000"/>
          <w:sz w:val="22"/>
          <w:szCs w:val="22"/>
        </w:rPr>
        <w:t>for System I were</w:t>
      </w:r>
      <w:r w:rsidRPr="0061094F">
        <w:rPr>
          <w:rFonts w:asciiTheme="minorHAnsi" w:eastAsia="MS PGothic" w:hAnsiTheme="minorHAnsi"/>
          <w:color w:val="000000"/>
          <w:sz w:val="22"/>
          <w:szCs w:val="22"/>
        </w:rPr>
        <w:t xml:space="preserve"> measured for </w:t>
      </w:r>
      <w:r w:rsidR="008A5525" w:rsidRPr="0061094F">
        <w:rPr>
          <w:rFonts w:asciiTheme="minorHAnsi" w:eastAsia="MS PGothic" w:hAnsiTheme="minorHAnsi"/>
          <w:color w:val="000000"/>
          <w:sz w:val="22"/>
          <w:szCs w:val="22"/>
        </w:rPr>
        <w:t xml:space="preserve">different compositions </w:t>
      </w:r>
      <w:r w:rsidRPr="0061094F">
        <w:rPr>
          <w:rFonts w:asciiTheme="minorHAnsi" w:eastAsia="MS PGothic" w:hAnsiTheme="minorHAnsi"/>
          <w:color w:val="000000"/>
          <w:sz w:val="22"/>
          <w:szCs w:val="22"/>
        </w:rPr>
        <w:t>diastereoisomeric mixtures of S- and R-citalopram·(+)DTT. The experiments were performed for th</w:t>
      </w:r>
      <w:r w:rsidR="00952F87">
        <w:rPr>
          <w:rFonts w:asciiTheme="minorHAnsi" w:eastAsia="MS PGothic" w:hAnsiTheme="minorHAnsi"/>
          <w:color w:val="000000"/>
          <w:sz w:val="22"/>
          <w:szCs w:val="22"/>
        </w:rPr>
        <w:t>e seeded and unseeded solutions.</w:t>
      </w:r>
      <w:r w:rsidR="004E18CE">
        <w:rPr>
          <w:rFonts w:asciiTheme="minorHAnsi" w:eastAsia="MS PGothic" w:hAnsiTheme="minorHAnsi"/>
          <w:color w:val="000000"/>
          <w:sz w:val="22"/>
          <w:szCs w:val="22"/>
        </w:rPr>
        <w:t xml:space="preserve"> </w:t>
      </w:r>
      <w:r w:rsidR="008A5525">
        <w:rPr>
          <w:rFonts w:asciiTheme="minorHAnsi" w:eastAsia="MS PGothic" w:hAnsiTheme="minorHAnsi"/>
          <w:color w:val="000000"/>
          <w:sz w:val="22"/>
          <w:szCs w:val="22"/>
        </w:rPr>
        <w:t>From Fig. 2</w:t>
      </w:r>
      <w:r w:rsidR="00F0658D">
        <w:rPr>
          <w:rFonts w:asciiTheme="minorHAnsi" w:eastAsia="MS PGothic" w:hAnsiTheme="minorHAnsi"/>
          <w:color w:val="000000"/>
          <w:sz w:val="22"/>
          <w:szCs w:val="22"/>
        </w:rPr>
        <w:t>.</w:t>
      </w:r>
      <w:r w:rsidR="008A5525">
        <w:rPr>
          <w:rFonts w:asciiTheme="minorHAnsi" w:eastAsia="MS PGothic" w:hAnsiTheme="minorHAnsi"/>
          <w:color w:val="000000"/>
          <w:sz w:val="22"/>
          <w:szCs w:val="22"/>
        </w:rPr>
        <w:t xml:space="preserve"> A i</w:t>
      </w:r>
      <w:r w:rsidRPr="0061094F">
        <w:rPr>
          <w:rFonts w:asciiTheme="minorHAnsi" w:eastAsia="MS PGothic" w:hAnsiTheme="minorHAnsi"/>
          <w:color w:val="000000"/>
          <w:sz w:val="22"/>
          <w:szCs w:val="22"/>
        </w:rPr>
        <w:t>t can be observed that the process can be accelerated by</w:t>
      </w:r>
      <w:r w:rsidR="008A5525">
        <w:rPr>
          <w:rFonts w:asciiTheme="minorHAnsi" w:eastAsia="MS PGothic" w:hAnsiTheme="minorHAnsi"/>
          <w:color w:val="000000"/>
          <w:sz w:val="22"/>
          <w:szCs w:val="22"/>
        </w:rPr>
        <w:t xml:space="preserve"> seeding the solutions</w:t>
      </w:r>
      <w:r w:rsidRPr="0061094F">
        <w:rPr>
          <w:rFonts w:asciiTheme="minorHAnsi" w:eastAsia="MS PGothic" w:hAnsiTheme="minorHAnsi"/>
          <w:color w:val="000000"/>
          <w:sz w:val="22"/>
          <w:szCs w:val="22"/>
        </w:rPr>
        <w:t>. In case of the seeded crystallization, the concentration drop in the mother liquor is almost instantaneous, while it is delayed for the unseeded one. This indicates that nucleation is the rate limiting</w:t>
      </w:r>
      <w:r w:rsidR="001B64D3">
        <w:rPr>
          <w:rFonts w:asciiTheme="minorHAnsi" w:eastAsia="MS PGothic" w:hAnsiTheme="minorHAnsi"/>
          <w:color w:val="000000"/>
          <w:sz w:val="22"/>
          <w:szCs w:val="22"/>
        </w:rPr>
        <w:t xml:space="preserve"> step of the operation.</w:t>
      </w:r>
    </w:p>
    <w:p w:rsidR="00DE2C90" w:rsidRDefault="003B6E64" w:rsidP="00341004">
      <w:pPr>
        <w:snapToGrid w:val="0"/>
        <w:jc w:val="center"/>
        <w:rPr>
          <w:rFonts w:asciiTheme="minorHAnsi" w:hAnsiTheme="minorHAnsi" w:cstheme="minorHAnsi"/>
          <w:b/>
          <w:szCs w:val="18"/>
          <w:lang w:val="en-US"/>
        </w:rPr>
      </w:pPr>
      <w:r w:rsidRPr="003B6E64">
        <w:rPr>
          <w:rFonts w:asciiTheme="minorHAnsi" w:eastAsia="MS PGothic" w:hAnsiTheme="minorHAnsi"/>
          <w:noProof/>
          <w:color w:val="000000"/>
          <w:sz w:val="22"/>
          <w:szCs w:val="22"/>
          <w:lang w:val="pl-PL" w:eastAsia="pl-PL"/>
        </w:rPr>
        <w:lastRenderedPageBreak/>
        <w:drawing>
          <wp:inline distT="0" distB="0" distL="0" distR="0">
            <wp:extent cx="2635403" cy="1016000"/>
            <wp:effectExtent l="0" t="0" r="0" b="0"/>
            <wp:docPr id="2" name="Obraz 2" descr="C:\Users\Maksymilian Olbrycht\Desktop\Florencja\Nafronyl\Rysunki\Fig.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symilian Olbrycht\Desktop\Florencja\Nafronyl\Rysunki\Fig.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030" cy="1017013"/>
                    </a:xfrm>
                    <a:prstGeom prst="rect">
                      <a:avLst/>
                    </a:prstGeom>
                    <a:noFill/>
                    <a:ln>
                      <a:noFill/>
                    </a:ln>
                  </pic:spPr>
                </pic:pic>
              </a:graphicData>
            </a:graphic>
          </wp:inline>
        </w:drawing>
      </w:r>
    </w:p>
    <w:p w:rsidR="00DE2C90" w:rsidRDefault="00DE2C90" w:rsidP="00DE2C90">
      <w:pPr>
        <w:snapToGrid w:val="0"/>
        <w:rPr>
          <w:rFonts w:asciiTheme="minorHAnsi" w:hAnsiTheme="minorHAnsi" w:cstheme="minorHAnsi"/>
          <w:szCs w:val="18"/>
          <w:vertAlign w:val="superscript"/>
          <w:lang w:val="en-US"/>
        </w:rPr>
        <w:sectPr w:rsidR="00DE2C90" w:rsidSect="00341004">
          <w:type w:val="continuous"/>
          <w:pgSz w:w="11906" w:h="16838" w:code="9"/>
          <w:pgMar w:top="2552" w:right="1418" w:bottom="1134" w:left="1701" w:header="1128" w:footer="0" w:gutter="0"/>
          <w:cols w:num="2" w:space="284" w:equalWidth="0">
            <w:col w:w="4536" w:space="284"/>
            <w:col w:w="3967"/>
          </w:cols>
          <w:formProt w:val="0"/>
          <w:titlePg/>
          <w:docGrid w:linePitch="360"/>
        </w:sectPr>
      </w:pPr>
      <w:r w:rsidRPr="0061094F">
        <w:rPr>
          <w:rFonts w:asciiTheme="minorHAnsi" w:hAnsiTheme="minorHAnsi" w:cstheme="minorHAnsi"/>
          <w:b/>
          <w:szCs w:val="18"/>
          <w:lang w:val="en-US"/>
        </w:rPr>
        <w:lastRenderedPageBreak/>
        <w:t>Figure 2.</w:t>
      </w:r>
      <w:r w:rsidRPr="0061094F">
        <w:rPr>
          <w:rFonts w:asciiTheme="minorHAnsi" w:hAnsiTheme="minorHAnsi" w:cstheme="minorHAnsi"/>
          <w:i/>
          <w:szCs w:val="18"/>
          <w:lang w:val="en-US"/>
        </w:rPr>
        <w:t xml:space="preserve"> </w:t>
      </w:r>
      <w:r w:rsidRPr="0061094F">
        <w:rPr>
          <w:rFonts w:asciiTheme="minorHAnsi" w:hAnsiTheme="minorHAnsi" w:cstheme="minorHAnsi"/>
          <w:szCs w:val="18"/>
          <w:lang w:val="en-US"/>
        </w:rPr>
        <w:t>Course of the crystallization</w:t>
      </w:r>
      <w:r>
        <w:rPr>
          <w:rFonts w:asciiTheme="minorHAnsi" w:hAnsiTheme="minorHAnsi" w:cstheme="minorHAnsi"/>
          <w:szCs w:val="18"/>
          <w:lang w:val="en-US"/>
        </w:rPr>
        <w:t xml:space="preserve"> for </w:t>
      </w:r>
      <w:r w:rsidRPr="0061094F">
        <w:rPr>
          <w:rFonts w:asciiTheme="minorHAnsi" w:hAnsiTheme="minorHAnsi" w:cstheme="minorHAnsi"/>
          <w:szCs w:val="18"/>
          <w:lang w:val="en-US"/>
        </w:rPr>
        <w:t xml:space="preserve">seeded and unseeded </w:t>
      </w:r>
      <w:r>
        <w:rPr>
          <w:rFonts w:asciiTheme="minorHAnsi" w:hAnsiTheme="minorHAnsi" w:cstheme="minorHAnsi"/>
          <w:szCs w:val="18"/>
          <w:lang w:val="en-US"/>
        </w:rPr>
        <w:t>solutions</w:t>
      </w:r>
      <w:r w:rsidRPr="0061094F">
        <w:rPr>
          <w:rFonts w:asciiTheme="minorHAnsi" w:hAnsiTheme="minorHAnsi" w:cstheme="minorHAnsi"/>
          <w:szCs w:val="18"/>
          <w:lang w:val="en-US"/>
        </w:rPr>
        <w:t xml:space="preserve"> in</w:t>
      </w:r>
      <w:r>
        <w:rPr>
          <w:rFonts w:asciiTheme="minorHAnsi" w:hAnsiTheme="minorHAnsi" w:cstheme="minorHAnsi"/>
          <w:szCs w:val="18"/>
          <w:lang w:val="en-US"/>
        </w:rPr>
        <w:t>: A)</w:t>
      </w:r>
      <w:r w:rsidRPr="0061094F">
        <w:rPr>
          <w:rFonts w:asciiTheme="minorHAnsi" w:hAnsiTheme="minorHAnsi" w:cstheme="minorHAnsi"/>
          <w:szCs w:val="18"/>
          <w:lang w:val="en-US"/>
        </w:rPr>
        <w:t xml:space="preserve"> </w:t>
      </w:r>
      <w:r w:rsidRPr="0061094F">
        <w:rPr>
          <w:rFonts w:asciiTheme="minorHAnsi" w:hAnsiTheme="minorHAnsi" w:cstheme="minorHAnsi"/>
          <w:i/>
          <w:szCs w:val="18"/>
          <w:lang w:val="en-US"/>
        </w:rPr>
        <w:t>System</w:t>
      </w:r>
      <w:r>
        <w:rPr>
          <w:rFonts w:asciiTheme="minorHAnsi" w:hAnsiTheme="minorHAnsi" w:cstheme="minorHAnsi"/>
          <w:i/>
          <w:szCs w:val="18"/>
          <w:lang w:val="en-US"/>
        </w:rPr>
        <w:t xml:space="preserve"> </w:t>
      </w:r>
      <w:r>
        <w:rPr>
          <w:rFonts w:asciiTheme="minorHAnsi" w:hAnsiTheme="minorHAnsi" w:cstheme="minorHAnsi"/>
          <w:szCs w:val="18"/>
          <w:lang w:val="en-US"/>
        </w:rPr>
        <w:t xml:space="preserve">I, B) </w:t>
      </w:r>
      <w:r w:rsidRPr="0061094F">
        <w:rPr>
          <w:rFonts w:asciiTheme="minorHAnsi" w:hAnsiTheme="minorHAnsi" w:cstheme="minorHAnsi"/>
          <w:i/>
          <w:szCs w:val="18"/>
          <w:lang w:val="en-US"/>
        </w:rPr>
        <w:t>System</w:t>
      </w:r>
      <w:r>
        <w:rPr>
          <w:rFonts w:asciiTheme="minorHAnsi" w:hAnsiTheme="minorHAnsi" w:cstheme="minorHAnsi"/>
          <w:szCs w:val="18"/>
          <w:lang w:val="en-US"/>
        </w:rPr>
        <w:t xml:space="preserve"> II</w:t>
      </w:r>
      <w:r w:rsidRPr="0061094F">
        <w:rPr>
          <w:rFonts w:asciiTheme="minorHAnsi" w:hAnsiTheme="minorHAnsi" w:cstheme="minorHAnsi"/>
          <w:szCs w:val="18"/>
          <w:vertAlign w:val="superscript"/>
          <w:lang w:val="en-US"/>
        </w:rPr>
        <w:t xml:space="preserve"> [</w:t>
      </w:r>
      <w:r>
        <w:rPr>
          <w:rFonts w:asciiTheme="minorHAnsi" w:hAnsiTheme="minorHAnsi" w:cstheme="minorHAnsi"/>
          <w:szCs w:val="18"/>
          <w:vertAlign w:val="superscript"/>
          <w:lang w:val="en-US"/>
        </w:rPr>
        <w:t>3</w:t>
      </w:r>
      <w:r w:rsidR="00341004">
        <w:rPr>
          <w:rFonts w:asciiTheme="minorHAnsi" w:hAnsiTheme="minorHAnsi" w:cstheme="minorHAnsi"/>
          <w:szCs w:val="18"/>
          <w:vertAlign w:val="superscript"/>
          <w:lang w:val="en-US"/>
        </w:rPr>
        <w:t>]</w:t>
      </w:r>
      <w:bookmarkStart w:id="0" w:name="_GoBack"/>
      <w:bookmarkEnd w:id="0"/>
    </w:p>
    <w:p w:rsidR="0061094F" w:rsidRDefault="0061094F" w:rsidP="00DE2C90">
      <w:pPr>
        <w:snapToGrid w:val="0"/>
        <w:rPr>
          <w:rFonts w:asciiTheme="minorHAnsi" w:eastAsia="MS PGothic" w:hAnsiTheme="minorHAnsi"/>
          <w:color w:val="000000"/>
          <w:sz w:val="22"/>
          <w:szCs w:val="22"/>
          <w:lang w:val="en-US"/>
        </w:rPr>
      </w:pPr>
      <w:r w:rsidRPr="0061094F">
        <w:rPr>
          <w:rFonts w:asciiTheme="minorHAnsi" w:eastAsia="MS PGothic" w:hAnsiTheme="minorHAnsi"/>
          <w:color w:val="000000"/>
          <w:sz w:val="22"/>
          <w:szCs w:val="22"/>
          <w:lang w:val="en-US"/>
        </w:rPr>
        <w:lastRenderedPageBreak/>
        <w:t>The crystallization kinetics for System II were measured for the mixtures of two racemates 2,4 and 1,3. To determine the impact of seeding on both the process kinetics and the phase behavior, the seeded and unseeded crystallizations were performed in parallel for solid mixtures with the feed composition in the range corresponding to the occurrence of dual equilibrium states (hatched area in Fig. 1B). The seeded crystallization was markedly faste</w:t>
      </w:r>
      <w:r w:rsidR="00F5222D">
        <w:rPr>
          <w:rFonts w:asciiTheme="minorHAnsi" w:eastAsia="MS PGothic" w:hAnsiTheme="minorHAnsi"/>
          <w:color w:val="000000"/>
          <w:sz w:val="22"/>
          <w:szCs w:val="22"/>
          <w:lang w:val="en-US"/>
        </w:rPr>
        <w:t>r than the unseeded one (Fig. 2B</w:t>
      </w:r>
      <w:r w:rsidRPr="0061094F">
        <w:rPr>
          <w:rFonts w:asciiTheme="minorHAnsi" w:eastAsia="MS PGothic" w:hAnsiTheme="minorHAnsi"/>
          <w:color w:val="000000"/>
          <w:sz w:val="22"/>
          <w:szCs w:val="22"/>
          <w:lang w:val="en-US"/>
        </w:rPr>
        <w:t>), and the composition of seeds determined the course of the process and the equilibriu</w:t>
      </w:r>
      <w:r w:rsidR="00F5222D">
        <w:rPr>
          <w:rFonts w:asciiTheme="minorHAnsi" w:eastAsia="MS PGothic" w:hAnsiTheme="minorHAnsi"/>
          <w:color w:val="000000"/>
          <w:sz w:val="22"/>
          <w:szCs w:val="22"/>
          <w:lang w:val="en-US"/>
        </w:rPr>
        <w:t>m state (curves 1,2,3 in Fig. 2B</w:t>
      </w:r>
      <w:r w:rsidRPr="0061094F">
        <w:rPr>
          <w:rFonts w:asciiTheme="minorHAnsi" w:eastAsia="MS PGothic" w:hAnsiTheme="minorHAnsi"/>
          <w:color w:val="000000"/>
          <w:sz w:val="22"/>
          <w:szCs w:val="22"/>
          <w:lang w:val="en-US"/>
        </w:rPr>
        <w:t>), therefore, the course of the crystallization and the occurrence of the desired state could be imposed by addition of seeds with appropriate composition. When no seeds were added, the equilibrium states corresponding to the left-hand side or right hand-side of the equilibrium curve for racemate 1,3</w:t>
      </w:r>
      <w:r w:rsidR="00336647">
        <w:rPr>
          <w:rFonts w:asciiTheme="minorHAnsi" w:eastAsia="MS PGothic" w:hAnsiTheme="minorHAnsi"/>
          <w:color w:val="000000"/>
          <w:sz w:val="22"/>
          <w:szCs w:val="22"/>
          <w:lang w:val="en-US"/>
        </w:rPr>
        <w:t xml:space="preserve"> (Fig. 1B)</w:t>
      </w:r>
      <w:r w:rsidRPr="0061094F">
        <w:rPr>
          <w:rFonts w:asciiTheme="minorHAnsi" w:eastAsia="MS PGothic" w:hAnsiTheme="minorHAnsi"/>
          <w:color w:val="000000"/>
          <w:sz w:val="22"/>
          <w:szCs w:val="22"/>
          <w:lang w:val="en-US"/>
        </w:rPr>
        <w:t xml:space="preserve"> w</w:t>
      </w:r>
      <w:r w:rsidR="00336647">
        <w:rPr>
          <w:rFonts w:asciiTheme="minorHAnsi" w:eastAsia="MS PGothic" w:hAnsiTheme="minorHAnsi"/>
          <w:color w:val="000000"/>
          <w:sz w:val="22"/>
          <w:szCs w:val="22"/>
          <w:lang w:val="en-US"/>
        </w:rPr>
        <w:t>ere established randomly (Fig. 2</w:t>
      </w:r>
      <w:r w:rsidRPr="0061094F">
        <w:rPr>
          <w:rFonts w:asciiTheme="minorHAnsi" w:eastAsia="MS PGothic" w:hAnsiTheme="minorHAnsi"/>
          <w:color w:val="000000"/>
          <w:sz w:val="22"/>
          <w:szCs w:val="22"/>
          <w:lang w:val="en-US"/>
        </w:rPr>
        <w:t xml:space="preserve">B). This behavior could be attributed to the co-existence of different polymorphs, which both formed solid solutions but with different solid phase compositions. </w:t>
      </w:r>
    </w:p>
    <w:p w:rsidR="008A5525" w:rsidRDefault="008A5525" w:rsidP="00F664ED">
      <w:pPr>
        <w:snapToGrid w:val="0"/>
        <w:spacing w:after="120"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To describe </w:t>
      </w:r>
      <w:r w:rsidR="00351137">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crystallization kinetics</w:t>
      </w:r>
      <w:r w:rsidR="0035113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 mathematical model was devel</w:t>
      </w:r>
      <w:r w:rsidR="008B3C15">
        <w:rPr>
          <w:rFonts w:asciiTheme="minorHAnsi" w:eastAsia="MS PGothic" w:hAnsiTheme="minorHAnsi"/>
          <w:color w:val="000000"/>
          <w:sz w:val="22"/>
          <w:szCs w:val="22"/>
          <w:lang w:val="en-US"/>
        </w:rPr>
        <w:t>oped based on the moment method</w:t>
      </w:r>
      <w:r>
        <w:rPr>
          <w:rFonts w:asciiTheme="minorHAnsi" w:eastAsia="MS PGothic" w:hAnsiTheme="minorHAnsi"/>
          <w:color w:val="000000"/>
          <w:sz w:val="22"/>
          <w:szCs w:val="22"/>
          <w:lang w:val="en-US"/>
        </w:rPr>
        <w:t xml:space="preserve">. The model accounted for cooperative nucleation and crystal growth in the solid solution forming system. The model was efficient in reproducing the kinetic profiles </w:t>
      </w:r>
      <w:r w:rsidR="008B3C15">
        <w:rPr>
          <w:rFonts w:asciiTheme="minorHAnsi" w:eastAsia="MS PGothic" w:hAnsiTheme="minorHAnsi"/>
          <w:color w:val="000000"/>
          <w:sz w:val="22"/>
          <w:szCs w:val="22"/>
          <w:lang w:val="en-US"/>
        </w:rPr>
        <w:t>in</w:t>
      </w:r>
      <w:r>
        <w:rPr>
          <w:rFonts w:asciiTheme="minorHAnsi" w:eastAsia="MS PGothic" w:hAnsiTheme="minorHAnsi"/>
          <w:color w:val="000000"/>
          <w:sz w:val="22"/>
          <w:szCs w:val="22"/>
          <w:lang w:val="en-US"/>
        </w:rPr>
        <w:t xml:space="preserve"> the seeded as well as unseeded crystallization</w:t>
      </w:r>
      <w:r w:rsidR="008B3C15">
        <w:rPr>
          <w:rFonts w:asciiTheme="minorHAnsi" w:eastAsia="MS PGothic" w:hAnsiTheme="minorHAnsi"/>
          <w:color w:val="000000"/>
          <w:sz w:val="22"/>
          <w:szCs w:val="22"/>
          <w:lang w:val="en-US"/>
        </w:rPr>
        <w:t xml:space="preserve"> in both systems</w:t>
      </w:r>
      <w:r>
        <w:rPr>
          <w:rFonts w:asciiTheme="minorHAnsi" w:eastAsia="MS PGothic" w:hAnsiTheme="minorHAnsi"/>
          <w:color w:val="000000"/>
          <w:sz w:val="22"/>
          <w:szCs w:val="22"/>
          <w:lang w:val="en-US"/>
        </w:rPr>
        <w:t>.</w:t>
      </w:r>
      <w:r w:rsidR="00351137">
        <w:rPr>
          <w:rFonts w:asciiTheme="minorHAnsi" w:eastAsia="MS PGothic" w:hAnsiTheme="minorHAnsi"/>
          <w:color w:val="000000"/>
          <w:sz w:val="22"/>
          <w:szCs w:val="22"/>
          <w:lang w:val="en-US"/>
        </w:rPr>
        <w:t xml:space="preserve"> Typical results of the model simulations are compared to the experimental data in Fig. 2.</w:t>
      </w:r>
    </w:p>
    <w:p w:rsidR="00704BDF" w:rsidRPr="008D0BEB" w:rsidRDefault="00704BDF" w:rsidP="00F664ED">
      <w:pPr>
        <w:snapToGrid w:val="0"/>
        <w:spacing w:before="120" w:line="24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50D34" w:rsidRDefault="008B3C15" w:rsidP="00F664ED">
      <w:pPr>
        <w:snapToGrid w:val="0"/>
        <w:spacing w:after="120"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Both S</w:t>
      </w:r>
      <w:r w:rsidR="00B63CFA" w:rsidRPr="00B63CFA">
        <w:rPr>
          <w:rFonts w:asciiTheme="minorHAnsi" w:eastAsia="MS PGothic" w:hAnsiTheme="minorHAnsi"/>
          <w:color w:val="000000"/>
          <w:sz w:val="22"/>
          <w:szCs w:val="22"/>
          <w:lang w:val="en-US"/>
        </w:rPr>
        <w:t xml:space="preserve">ystems </w:t>
      </w:r>
      <w:r>
        <w:rPr>
          <w:rFonts w:asciiTheme="minorHAnsi" w:eastAsia="MS PGothic" w:hAnsiTheme="minorHAnsi"/>
          <w:color w:val="000000"/>
          <w:sz w:val="22"/>
          <w:szCs w:val="22"/>
          <w:lang w:val="en-US"/>
        </w:rPr>
        <w:t xml:space="preserve">I and II </w:t>
      </w:r>
      <w:r w:rsidR="00B63CFA" w:rsidRPr="00B63CFA">
        <w:rPr>
          <w:rFonts w:asciiTheme="minorHAnsi" w:eastAsia="MS PGothic" w:hAnsiTheme="minorHAnsi"/>
          <w:color w:val="000000"/>
          <w:sz w:val="22"/>
          <w:szCs w:val="22"/>
          <w:lang w:val="en-US"/>
        </w:rPr>
        <w:t xml:space="preserve">differed in phase behavior; in the </w:t>
      </w:r>
      <w:r>
        <w:rPr>
          <w:rFonts w:asciiTheme="minorHAnsi" w:eastAsia="MS PGothic" w:hAnsiTheme="minorHAnsi"/>
          <w:color w:val="000000"/>
          <w:sz w:val="22"/>
          <w:szCs w:val="22"/>
          <w:lang w:val="en-US"/>
        </w:rPr>
        <w:t>former</w:t>
      </w:r>
      <w:r w:rsidR="00B63CFA" w:rsidRPr="00B63CFA">
        <w:rPr>
          <w:rFonts w:asciiTheme="minorHAnsi" w:eastAsia="MS PGothic" w:hAnsiTheme="minorHAnsi"/>
          <w:color w:val="000000"/>
          <w:sz w:val="22"/>
          <w:szCs w:val="22"/>
          <w:lang w:val="en-US"/>
        </w:rPr>
        <w:t xml:space="preserve"> the target compound was enriched in the mother liquor, whereas in the </w:t>
      </w:r>
      <w:r>
        <w:rPr>
          <w:rFonts w:asciiTheme="minorHAnsi" w:eastAsia="MS PGothic" w:hAnsiTheme="minorHAnsi"/>
          <w:color w:val="000000"/>
          <w:sz w:val="22"/>
          <w:szCs w:val="22"/>
          <w:lang w:val="en-US"/>
        </w:rPr>
        <w:t>latter one</w:t>
      </w:r>
      <w:r w:rsidR="00B63CFA" w:rsidRPr="00B63CFA">
        <w:rPr>
          <w:rFonts w:asciiTheme="minorHAnsi" w:eastAsia="MS PGothic" w:hAnsiTheme="minorHAnsi"/>
          <w:color w:val="000000"/>
          <w:sz w:val="22"/>
          <w:szCs w:val="22"/>
          <w:lang w:val="en-US"/>
        </w:rPr>
        <w:t xml:space="preserve"> in the crystalline phase. In </w:t>
      </w:r>
      <w:r>
        <w:rPr>
          <w:rFonts w:asciiTheme="minorHAnsi" w:eastAsia="MS PGothic" w:hAnsiTheme="minorHAnsi"/>
          <w:color w:val="000000"/>
          <w:sz w:val="22"/>
          <w:szCs w:val="22"/>
          <w:lang w:val="en-US"/>
        </w:rPr>
        <w:t>System I</w:t>
      </w:r>
      <w:r w:rsidR="00B63CFA" w:rsidRPr="00B63CFA">
        <w:rPr>
          <w:rFonts w:asciiTheme="minorHAnsi" w:eastAsia="MS PGothic" w:hAnsiTheme="minorHAnsi"/>
          <w:color w:val="000000"/>
          <w:sz w:val="22"/>
          <w:szCs w:val="22"/>
          <w:lang w:val="en-US"/>
        </w:rPr>
        <w:t xml:space="preserve"> the equilibrium states were established reproducibly regardless of the composition of the mixture, whereas in </w:t>
      </w:r>
      <w:r>
        <w:rPr>
          <w:rFonts w:asciiTheme="minorHAnsi" w:eastAsia="MS PGothic" w:hAnsiTheme="minorHAnsi"/>
          <w:color w:val="000000"/>
          <w:sz w:val="22"/>
          <w:szCs w:val="22"/>
          <w:lang w:val="en-US"/>
        </w:rPr>
        <w:t>System II</w:t>
      </w:r>
      <w:r w:rsidR="00B63CFA" w:rsidRPr="00B63CFA">
        <w:rPr>
          <w:rFonts w:asciiTheme="minorHAnsi" w:eastAsia="MS PGothic" w:hAnsiTheme="minorHAnsi"/>
          <w:color w:val="000000"/>
          <w:sz w:val="22"/>
          <w:szCs w:val="22"/>
          <w:lang w:val="en-US"/>
        </w:rPr>
        <w:t xml:space="preserve"> multiple equilibrium states were estab</w:t>
      </w:r>
      <w:r>
        <w:rPr>
          <w:rFonts w:asciiTheme="minorHAnsi" w:eastAsia="MS PGothic" w:hAnsiTheme="minorHAnsi"/>
          <w:color w:val="000000"/>
          <w:sz w:val="22"/>
          <w:szCs w:val="22"/>
          <w:lang w:val="en-US"/>
        </w:rPr>
        <w:t>lished, which most probably was</w:t>
      </w:r>
      <w:r w:rsidR="00B63CFA" w:rsidRPr="00B63CFA">
        <w:rPr>
          <w:rFonts w:asciiTheme="minorHAnsi" w:eastAsia="MS PGothic" w:hAnsiTheme="minorHAnsi"/>
          <w:color w:val="000000"/>
          <w:sz w:val="22"/>
          <w:szCs w:val="22"/>
          <w:lang w:val="en-US"/>
        </w:rPr>
        <w:t xml:space="preserve"> caused by the formation of polymorphs.</w:t>
      </w:r>
      <w:r>
        <w:rPr>
          <w:rFonts w:asciiTheme="minorHAnsi" w:eastAsia="MS PGothic" w:hAnsiTheme="minorHAnsi"/>
          <w:color w:val="000000"/>
          <w:sz w:val="22"/>
          <w:szCs w:val="22"/>
          <w:lang w:val="en-US"/>
        </w:rPr>
        <w:t xml:space="preserve"> The mathematical model developed can potentially be used for description of crystallization kinetics in other solid solution forming systems.</w:t>
      </w:r>
    </w:p>
    <w:p w:rsidR="00DB0169" w:rsidRPr="00CC3C1E" w:rsidRDefault="00146649" w:rsidP="00F664ED">
      <w:pPr>
        <w:snapToGrid w:val="0"/>
        <w:spacing w:before="120" w:line="24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DB0169" w:rsidRDefault="003536C0" w:rsidP="00DB0169">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H. Lorenz,</w:t>
      </w:r>
      <w:r w:rsidR="00DB0169" w:rsidRPr="00DB0169">
        <w:rPr>
          <w:rFonts w:asciiTheme="minorHAnsi" w:hAnsiTheme="minorHAnsi"/>
          <w:color w:val="000000"/>
        </w:rPr>
        <w:t xml:space="preserve"> </w:t>
      </w:r>
      <w:r>
        <w:rPr>
          <w:rFonts w:asciiTheme="minorHAnsi" w:hAnsiTheme="minorHAnsi"/>
          <w:color w:val="000000"/>
        </w:rPr>
        <w:t xml:space="preserve">A. Seidel-Morgenstern, </w:t>
      </w:r>
      <w:r w:rsidR="00DB0169" w:rsidRPr="00DB0169">
        <w:rPr>
          <w:rFonts w:asciiTheme="minorHAnsi" w:hAnsiTheme="minorHAnsi"/>
          <w:color w:val="000000"/>
        </w:rPr>
        <w:t xml:space="preserve"> </w:t>
      </w:r>
      <w:proofErr w:type="spellStart"/>
      <w:r w:rsidR="00DB0169" w:rsidRPr="00DB0169">
        <w:rPr>
          <w:rFonts w:asciiTheme="minorHAnsi" w:hAnsiTheme="minorHAnsi"/>
          <w:color w:val="000000"/>
        </w:rPr>
        <w:t>Angew</w:t>
      </w:r>
      <w:proofErr w:type="spellEnd"/>
      <w:r w:rsidR="00DB0169" w:rsidRPr="00DB0169">
        <w:rPr>
          <w:rFonts w:asciiTheme="minorHAnsi" w:hAnsiTheme="minorHAnsi"/>
          <w:color w:val="000000"/>
        </w:rPr>
        <w:t xml:space="preserve">. Chem., Int. Ed. </w:t>
      </w:r>
      <w:r w:rsidRPr="00351137">
        <w:rPr>
          <w:rFonts w:asciiTheme="minorHAnsi" w:hAnsiTheme="minorHAnsi"/>
          <w:b/>
          <w:color w:val="000000"/>
        </w:rPr>
        <w:t>53</w:t>
      </w:r>
      <w:r>
        <w:rPr>
          <w:rFonts w:asciiTheme="minorHAnsi" w:hAnsiTheme="minorHAnsi"/>
          <w:color w:val="000000"/>
        </w:rPr>
        <w:t xml:space="preserve"> (2014)</w:t>
      </w:r>
      <w:r w:rsidR="00DB0169" w:rsidRPr="00DB0169">
        <w:rPr>
          <w:rFonts w:asciiTheme="minorHAnsi" w:hAnsiTheme="minorHAnsi"/>
          <w:color w:val="000000"/>
        </w:rPr>
        <w:t xml:space="preserve"> 1218 – 1250.</w:t>
      </w:r>
    </w:p>
    <w:p w:rsidR="00F664ED" w:rsidRPr="00F664ED" w:rsidRDefault="00F664ED" w:rsidP="00DB0169">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F664ED">
        <w:rPr>
          <w:rFonts w:asciiTheme="minorHAnsi" w:hAnsiTheme="minorHAnsi" w:cstheme="minorHAnsi"/>
          <w:szCs w:val="24"/>
        </w:rPr>
        <w:t>Balawejder</w:t>
      </w:r>
      <w:proofErr w:type="spellEnd"/>
      <w:r w:rsidRPr="00F664ED">
        <w:rPr>
          <w:rFonts w:asciiTheme="minorHAnsi" w:hAnsiTheme="minorHAnsi" w:cstheme="minorHAnsi"/>
          <w:szCs w:val="24"/>
        </w:rPr>
        <w:t xml:space="preserve"> M., </w:t>
      </w:r>
      <w:proofErr w:type="spellStart"/>
      <w:r w:rsidRPr="00F664ED">
        <w:rPr>
          <w:rFonts w:asciiTheme="minorHAnsi" w:hAnsiTheme="minorHAnsi" w:cstheme="minorHAnsi"/>
          <w:szCs w:val="24"/>
        </w:rPr>
        <w:t>Mossety-Leszczak</w:t>
      </w:r>
      <w:proofErr w:type="spellEnd"/>
      <w:r w:rsidRPr="00F664ED">
        <w:rPr>
          <w:rFonts w:asciiTheme="minorHAnsi" w:hAnsiTheme="minorHAnsi" w:cstheme="minorHAnsi"/>
          <w:szCs w:val="24"/>
        </w:rPr>
        <w:t xml:space="preserve"> B., </w:t>
      </w:r>
      <w:proofErr w:type="spellStart"/>
      <w:r w:rsidRPr="00F664ED">
        <w:rPr>
          <w:rFonts w:asciiTheme="minorHAnsi" w:hAnsiTheme="minorHAnsi" w:cstheme="minorHAnsi"/>
          <w:szCs w:val="24"/>
        </w:rPr>
        <w:t>Poplewska</w:t>
      </w:r>
      <w:proofErr w:type="spellEnd"/>
      <w:r w:rsidRPr="00F664ED">
        <w:rPr>
          <w:rFonts w:asciiTheme="minorHAnsi" w:hAnsiTheme="minorHAnsi" w:cstheme="minorHAnsi"/>
          <w:szCs w:val="24"/>
        </w:rPr>
        <w:t xml:space="preserve"> I., Lorenz H., Seidel-Morgenst</w:t>
      </w:r>
      <w:r>
        <w:rPr>
          <w:rFonts w:asciiTheme="minorHAnsi" w:hAnsiTheme="minorHAnsi" w:cstheme="minorHAnsi"/>
          <w:szCs w:val="24"/>
        </w:rPr>
        <w:t xml:space="preserve">ern A., </w:t>
      </w:r>
      <w:proofErr w:type="spellStart"/>
      <w:r>
        <w:rPr>
          <w:rFonts w:asciiTheme="minorHAnsi" w:hAnsiTheme="minorHAnsi" w:cstheme="minorHAnsi"/>
          <w:szCs w:val="24"/>
        </w:rPr>
        <w:t>Piątkowski</w:t>
      </w:r>
      <w:proofErr w:type="spellEnd"/>
      <w:r>
        <w:rPr>
          <w:rFonts w:asciiTheme="minorHAnsi" w:hAnsiTheme="minorHAnsi" w:cstheme="minorHAnsi"/>
          <w:szCs w:val="24"/>
        </w:rPr>
        <w:t xml:space="preserve"> W., Antos D.</w:t>
      </w:r>
      <w:r w:rsidRPr="00F664ED">
        <w:rPr>
          <w:rFonts w:asciiTheme="minorHAnsi" w:hAnsiTheme="minorHAnsi" w:cstheme="minorHAnsi"/>
          <w:szCs w:val="24"/>
        </w:rPr>
        <w:t xml:space="preserve">, Fluid Phase Eq., </w:t>
      </w:r>
      <w:r w:rsidRPr="00F664ED">
        <w:rPr>
          <w:rFonts w:asciiTheme="minorHAnsi" w:hAnsiTheme="minorHAnsi" w:cstheme="minorHAnsi"/>
          <w:b/>
          <w:szCs w:val="24"/>
        </w:rPr>
        <w:t>346</w:t>
      </w:r>
      <w:r w:rsidRPr="00F664ED">
        <w:rPr>
          <w:rFonts w:asciiTheme="minorHAnsi" w:hAnsiTheme="minorHAnsi" w:cstheme="minorHAnsi"/>
          <w:szCs w:val="24"/>
        </w:rPr>
        <w:t xml:space="preserve"> (2013), 8–19. </w:t>
      </w:r>
    </w:p>
    <w:p w:rsidR="00DB0169" w:rsidRPr="008A5525" w:rsidRDefault="002A5B1F" w:rsidP="00DB0169">
      <w:pPr>
        <w:pStyle w:val="FirstParagraph"/>
        <w:numPr>
          <w:ilvl w:val="0"/>
          <w:numId w:val="17"/>
        </w:numPr>
        <w:tabs>
          <w:tab w:val="left" w:pos="426"/>
        </w:tabs>
        <w:spacing w:line="240" w:lineRule="auto"/>
        <w:ind w:left="426" w:hanging="426"/>
        <w:rPr>
          <w:rFonts w:asciiTheme="minorHAnsi" w:hAnsiTheme="minorHAnsi"/>
          <w:color w:val="000000"/>
        </w:rPr>
      </w:pPr>
      <w:r w:rsidRPr="00F664ED">
        <w:rPr>
          <w:rFonts w:asciiTheme="minorHAnsi" w:hAnsiTheme="minorHAnsi"/>
          <w:color w:val="000000"/>
          <w:lang w:val="pl-PL"/>
        </w:rPr>
        <w:t>M. Olbrycht</w:t>
      </w:r>
      <w:r w:rsidR="00DB0169" w:rsidRPr="00F664ED">
        <w:rPr>
          <w:rFonts w:asciiTheme="minorHAnsi" w:hAnsiTheme="minorHAnsi"/>
          <w:color w:val="000000"/>
          <w:lang w:val="pl-PL"/>
        </w:rPr>
        <w:t xml:space="preserve">, </w:t>
      </w:r>
      <w:r w:rsidRPr="00F664ED">
        <w:rPr>
          <w:rFonts w:asciiTheme="minorHAnsi" w:hAnsiTheme="minorHAnsi"/>
          <w:color w:val="000000"/>
          <w:lang w:val="pl-PL"/>
        </w:rPr>
        <w:t xml:space="preserve">D. </w:t>
      </w:r>
      <w:proofErr w:type="spellStart"/>
      <w:r w:rsidRPr="00F664ED">
        <w:rPr>
          <w:rFonts w:asciiTheme="minorHAnsi" w:hAnsiTheme="minorHAnsi"/>
          <w:color w:val="000000"/>
          <w:lang w:val="pl-PL"/>
        </w:rPr>
        <w:t>Kiwala</w:t>
      </w:r>
      <w:proofErr w:type="spellEnd"/>
      <w:r w:rsidR="00DB0169" w:rsidRPr="00F664ED">
        <w:rPr>
          <w:rFonts w:asciiTheme="minorHAnsi" w:hAnsiTheme="minorHAnsi"/>
          <w:color w:val="000000"/>
          <w:lang w:val="pl-PL"/>
        </w:rPr>
        <w:t xml:space="preserve">, </w:t>
      </w:r>
      <w:r w:rsidRPr="00F664ED">
        <w:rPr>
          <w:rFonts w:asciiTheme="minorHAnsi" w:hAnsiTheme="minorHAnsi"/>
          <w:color w:val="000000"/>
          <w:lang w:val="pl-PL"/>
        </w:rPr>
        <w:t>M. Balawejder</w:t>
      </w:r>
      <w:r w:rsidR="00DB0169" w:rsidRPr="00F664ED">
        <w:rPr>
          <w:rFonts w:asciiTheme="minorHAnsi" w:hAnsiTheme="minorHAnsi"/>
          <w:color w:val="000000"/>
          <w:lang w:val="pl-PL"/>
        </w:rPr>
        <w:t xml:space="preserve">, </w:t>
      </w:r>
      <w:r w:rsidRPr="00F664ED">
        <w:rPr>
          <w:rFonts w:asciiTheme="minorHAnsi" w:hAnsiTheme="minorHAnsi"/>
          <w:color w:val="000000"/>
          <w:lang w:val="pl-PL"/>
        </w:rPr>
        <w:t>A. Seidel-Morgenstern</w:t>
      </w:r>
      <w:r w:rsidR="00DB0169" w:rsidRPr="00F664ED">
        <w:rPr>
          <w:rFonts w:asciiTheme="minorHAnsi" w:hAnsiTheme="minorHAnsi"/>
          <w:color w:val="000000"/>
          <w:lang w:val="pl-PL"/>
        </w:rPr>
        <w:t xml:space="preserve">, </w:t>
      </w:r>
      <w:r w:rsidRPr="00F664ED">
        <w:rPr>
          <w:rFonts w:asciiTheme="minorHAnsi" w:hAnsiTheme="minorHAnsi"/>
          <w:color w:val="000000"/>
          <w:lang w:val="pl-PL"/>
        </w:rPr>
        <w:t>W. Piątkowski</w:t>
      </w:r>
      <w:r w:rsidR="00DB0169" w:rsidRPr="00F664ED">
        <w:rPr>
          <w:rFonts w:asciiTheme="minorHAnsi" w:hAnsiTheme="minorHAnsi"/>
          <w:color w:val="000000"/>
          <w:lang w:val="pl-PL"/>
        </w:rPr>
        <w:t xml:space="preserve">, </w:t>
      </w:r>
      <w:r w:rsidRPr="00F664ED">
        <w:rPr>
          <w:rFonts w:asciiTheme="minorHAnsi" w:hAnsiTheme="minorHAnsi"/>
          <w:color w:val="000000"/>
          <w:lang w:val="pl-PL"/>
        </w:rPr>
        <w:t xml:space="preserve">D. </w:t>
      </w:r>
      <w:proofErr w:type="spellStart"/>
      <w:r w:rsidRPr="00F664ED">
        <w:rPr>
          <w:rFonts w:asciiTheme="minorHAnsi" w:hAnsiTheme="minorHAnsi"/>
          <w:color w:val="000000"/>
          <w:lang w:val="pl-PL"/>
        </w:rPr>
        <w:t>Antos</w:t>
      </w:r>
      <w:proofErr w:type="spellEnd"/>
      <w:r w:rsidR="00DB0169" w:rsidRPr="00F664ED">
        <w:rPr>
          <w:rFonts w:asciiTheme="minorHAnsi" w:hAnsiTheme="minorHAnsi"/>
          <w:color w:val="000000"/>
          <w:lang w:val="pl-PL"/>
        </w:rPr>
        <w:t xml:space="preserve">, </w:t>
      </w:r>
      <w:proofErr w:type="spellStart"/>
      <w:r w:rsidR="00DB0169" w:rsidRPr="00F664ED">
        <w:rPr>
          <w:rFonts w:asciiTheme="minorHAnsi" w:hAnsiTheme="minorHAnsi"/>
          <w:color w:val="000000"/>
          <w:lang w:val="pl-PL"/>
        </w:rPr>
        <w:t>Cryst</w:t>
      </w:r>
      <w:proofErr w:type="spellEnd"/>
      <w:r w:rsidR="00DB0169" w:rsidRPr="00F664ED">
        <w:rPr>
          <w:rFonts w:asciiTheme="minorHAnsi" w:hAnsiTheme="minorHAnsi"/>
          <w:color w:val="000000"/>
          <w:lang w:val="pl-PL"/>
        </w:rPr>
        <w:t xml:space="preserve">. </w:t>
      </w:r>
      <w:r>
        <w:rPr>
          <w:rFonts w:asciiTheme="minorHAnsi" w:hAnsiTheme="minorHAnsi"/>
          <w:color w:val="000000"/>
        </w:rPr>
        <w:t xml:space="preserve">Growth </w:t>
      </w:r>
      <w:r w:rsidRPr="008A5525">
        <w:rPr>
          <w:rFonts w:asciiTheme="minorHAnsi" w:hAnsiTheme="minorHAnsi"/>
          <w:color w:val="000000"/>
        </w:rPr>
        <w:t xml:space="preserve">Des. </w:t>
      </w:r>
      <w:r w:rsidRPr="008A5525">
        <w:rPr>
          <w:rFonts w:asciiTheme="minorHAnsi" w:hAnsiTheme="minorHAnsi"/>
          <w:b/>
          <w:color w:val="000000"/>
        </w:rPr>
        <w:t>16</w:t>
      </w:r>
      <w:r w:rsidRPr="008A5525">
        <w:rPr>
          <w:rFonts w:asciiTheme="minorHAnsi" w:hAnsiTheme="minorHAnsi"/>
          <w:color w:val="000000"/>
        </w:rPr>
        <w:t xml:space="preserve"> (2016)</w:t>
      </w:r>
      <w:r w:rsidR="00DB0169" w:rsidRPr="008A5525">
        <w:rPr>
          <w:rFonts w:asciiTheme="minorHAnsi" w:hAnsiTheme="minorHAnsi"/>
          <w:color w:val="000000"/>
        </w:rPr>
        <w:t xml:space="preserve"> 5049−5058.</w:t>
      </w:r>
    </w:p>
    <w:p w:rsidR="005438B9" w:rsidRPr="008A5525" w:rsidRDefault="005438B9" w:rsidP="005438B9">
      <w:pPr>
        <w:pStyle w:val="FirstParagraph"/>
        <w:widowControl w:val="0"/>
        <w:numPr>
          <w:ilvl w:val="0"/>
          <w:numId w:val="17"/>
        </w:numPr>
        <w:tabs>
          <w:tab w:val="left" w:pos="426"/>
        </w:tabs>
        <w:autoSpaceDE w:val="0"/>
        <w:autoSpaceDN w:val="0"/>
        <w:adjustRightInd w:val="0"/>
        <w:spacing w:after="120" w:line="240" w:lineRule="auto"/>
        <w:ind w:left="426" w:hanging="426"/>
        <w:rPr>
          <w:rFonts w:asciiTheme="minorHAnsi" w:hAnsiTheme="minorHAnsi"/>
          <w:color w:val="000000"/>
        </w:rPr>
      </w:pPr>
      <w:r w:rsidRPr="008A5525">
        <w:rPr>
          <w:rFonts w:asciiTheme="minorHAnsi" w:hAnsiTheme="minorHAnsi"/>
          <w:color w:val="000000"/>
        </w:rPr>
        <w:t xml:space="preserve">M. Olbrycht, M. </w:t>
      </w:r>
      <w:proofErr w:type="spellStart"/>
      <w:r w:rsidRPr="008A5525">
        <w:rPr>
          <w:rFonts w:asciiTheme="minorHAnsi" w:hAnsiTheme="minorHAnsi"/>
          <w:color w:val="000000"/>
        </w:rPr>
        <w:t>Balawejder</w:t>
      </w:r>
      <w:proofErr w:type="spellEnd"/>
      <w:r w:rsidRPr="008A5525">
        <w:rPr>
          <w:rFonts w:asciiTheme="minorHAnsi" w:hAnsiTheme="minorHAnsi"/>
          <w:color w:val="000000"/>
        </w:rPr>
        <w:t xml:space="preserve">, I. </w:t>
      </w:r>
      <w:proofErr w:type="spellStart"/>
      <w:r w:rsidRPr="008A5525">
        <w:rPr>
          <w:rFonts w:asciiTheme="minorHAnsi" w:hAnsiTheme="minorHAnsi"/>
          <w:color w:val="000000"/>
        </w:rPr>
        <w:t>Poplewska</w:t>
      </w:r>
      <w:proofErr w:type="spellEnd"/>
      <w:r w:rsidRPr="008A5525">
        <w:rPr>
          <w:rFonts w:asciiTheme="minorHAnsi" w:hAnsiTheme="minorHAnsi"/>
          <w:color w:val="000000"/>
        </w:rPr>
        <w:t xml:space="preserve">, H. Lorenz, A. Seidel-Morgenstern, W. </w:t>
      </w:r>
      <w:proofErr w:type="spellStart"/>
      <w:r w:rsidRPr="008A5525">
        <w:rPr>
          <w:rFonts w:asciiTheme="minorHAnsi" w:hAnsiTheme="minorHAnsi"/>
          <w:color w:val="000000"/>
        </w:rPr>
        <w:t>Piątkowski</w:t>
      </w:r>
      <w:proofErr w:type="spellEnd"/>
      <w:r w:rsidRPr="008A5525">
        <w:rPr>
          <w:rFonts w:asciiTheme="minorHAnsi" w:hAnsiTheme="minorHAnsi"/>
          <w:color w:val="000000"/>
        </w:rPr>
        <w:t xml:space="preserve">, D. </w:t>
      </w:r>
      <w:proofErr w:type="spellStart"/>
      <w:r w:rsidRPr="008A5525">
        <w:rPr>
          <w:rFonts w:asciiTheme="minorHAnsi" w:hAnsiTheme="minorHAnsi"/>
          <w:color w:val="000000"/>
        </w:rPr>
        <w:t>Antos</w:t>
      </w:r>
      <w:proofErr w:type="spellEnd"/>
      <w:r w:rsidRPr="008A5525">
        <w:rPr>
          <w:rFonts w:asciiTheme="minorHAnsi" w:hAnsiTheme="minorHAnsi"/>
          <w:color w:val="000000"/>
        </w:rPr>
        <w:t xml:space="preserve">, </w:t>
      </w:r>
      <w:r w:rsidRPr="008A5525">
        <w:rPr>
          <w:rFonts w:asciiTheme="minorHAnsi" w:hAnsiTheme="minorHAnsi"/>
          <w:i/>
          <w:color w:val="000000"/>
        </w:rPr>
        <w:t xml:space="preserve"> </w:t>
      </w:r>
      <w:proofErr w:type="spellStart"/>
      <w:r w:rsidRPr="008A5525">
        <w:rPr>
          <w:rFonts w:asciiTheme="minorHAnsi" w:hAnsiTheme="minorHAnsi"/>
          <w:color w:val="000000"/>
        </w:rPr>
        <w:t>Cryst</w:t>
      </w:r>
      <w:proofErr w:type="spellEnd"/>
      <w:r w:rsidRPr="008A5525">
        <w:rPr>
          <w:rFonts w:asciiTheme="minorHAnsi" w:hAnsiTheme="minorHAnsi"/>
          <w:color w:val="000000"/>
        </w:rPr>
        <w:t>. Growth Des.</w:t>
      </w:r>
      <w:r>
        <w:rPr>
          <w:rFonts w:asciiTheme="minorHAnsi" w:hAnsiTheme="minorHAnsi"/>
          <w:color w:val="000000"/>
        </w:rPr>
        <w:t>, just accepted, 10 January (2019),</w:t>
      </w:r>
      <w:r w:rsidRPr="00897F19">
        <w:t xml:space="preserve"> </w:t>
      </w:r>
      <w:r w:rsidRPr="00897F19">
        <w:rPr>
          <w:rFonts w:asciiTheme="minorHAnsi" w:hAnsiTheme="minorHAnsi"/>
          <w:color w:val="000000"/>
        </w:rPr>
        <w:t>DOI: 10.1021/acs.cgd.8b01768</w:t>
      </w:r>
      <w:r>
        <w:rPr>
          <w:rFonts w:asciiTheme="minorHAnsi" w:hAnsiTheme="minorHAnsi"/>
          <w:color w:val="000000"/>
        </w:rPr>
        <w:t>.</w:t>
      </w:r>
    </w:p>
    <w:p w:rsidR="00B63CFA" w:rsidRPr="00B55034" w:rsidRDefault="00B63CFA" w:rsidP="00B55034">
      <w:pPr>
        <w:pStyle w:val="FirstParagraph"/>
        <w:widowControl w:val="0"/>
        <w:tabs>
          <w:tab w:val="left" w:pos="426"/>
        </w:tabs>
        <w:autoSpaceDE w:val="0"/>
        <w:autoSpaceDN w:val="0"/>
        <w:adjustRightInd w:val="0"/>
        <w:spacing w:after="120" w:line="240" w:lineRule="auto"/>
        <w:rPr>
          <w:rFonts w:asciiTheme="minorHAnsi" w:hAnsiTheme="minorHAnsi"/>
          <w:color w:val="000000"/>
          <w:sz w:val="16"/>
          <w:szCs w:val="16"/>
          <w:highlight w:val="yellow"/>
        </w:rPr>
      </w:pPr>
      <w:r w:rsidRPr="00B55034">
        <w:rPr>
          <w:rFonts w:asciiTheme="minorHAnsi" w:hAnsiTheme="minorHAnsi"/>
          <w:i/>
          <w:sz w:val="16"/>
          <w:szCs w:val="16"/>
        </w:rPr>
        <w:t>Financial support of this work by National Science Center (project UMO2013/08/M/ST8/00982) is gratefully acknowledged.</w:t>
      </w:r>
    </w:p>
    <w:sectPr w:rsidR="00B63CFA" w:rsidRPr="00B5503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7C6" w:rsidRDefault="008017C6" w:rsidP="004F5E36">
      <w:r>
        <w:separator/>
      </w:r>
    </w:p>
  </w:endnote>
  <w:endnote w:type="continuationSeparator" w:id="0">
    <w:p w:rsidR="008017C6" w:rsidRDefault="008017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7C6" w:rsidRDefault="008017C6" w:rsidP="004F5E36">
      <w:r>
        <w:separator/>
      </w:r>
    </w:p>
  </w:footnote>
  <w:footnote w:type="continuationSeparator" w:id="0">
    <w:p w:rsidR="008017C6" w:rsidRDefault="008017C6"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Nagwek"/>
    </w:pPr>
    <w:r>
      <w:rPr>
        <w:noProof/>
        <w:lang w:val="pl-PL" w:eastAsia="pl-P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pl-PL" w:eastAsia="pl-P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pl-PL" w:eastAsia="pl-P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Nagwek"/>
    </w:pPr>
  </w:p>
  <w:p w:rsidR="00704BDF" w:rsidRDefault="00704BDF">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80303"/>
    <w:rsid w:val="000A03B2"/>
    <w:rsid w:val="000A356D"/>
    <w:rsid w:val="000C014B"/>
    <w:rsid w:val="000D0602"/>
    <w:rsid w:val="000D34BE"/>
    <w:rsid w:val="000E36F1"/>
    <w:rsid w:val="000E3A73"/>
    <w:rsid w:val="000E414A"/>
    <w:rsid w:val="001275F0"/>
    <w:rsid w:val="0013121F"/>
    <w:rsid w:val="00134DE4"/>
    <w:rsid w:val="00146649"/>
    <w:rsid w:val="00150E59"/>
    <w:rsid w:val="00164A47"/>
    <w:rsid w:val="00184AD6"/>
    <w:rsid w:val="001B21D3"/>
    <w:rsid w:val="001B64D3"/>
    <w:rsid w:val="001B65C1"/>
    <w:rsid w:val="001C684B"/>
    <w:rsid w:val="001D53FC"/>
    <w:rsid w:val="001F2EC7"/>
    <w:rsid w:val="002065DB"/>
    <w:rsid w:val="002420BB"/>
    <w:rsid w:val="002447EF"/>
    <w:rsid w:val="00251550"/>
    <w:rsid w:val="0027221A"/>
    <w:rsid w:val="00275B61"/>
    <w:rsid w:val="00277F61"/>
    <w:rsid w:val="002A5B1F"/>
    <w:rsid w:val="002A5C00"/>
    <w:rsid w:val="002D1F12"/>
    <w:rsid w:val="003009B7"/>
    <w:rsid w:val="0030469C"/>
    <w:rsid w:val="00336647"/>
    <w:rsid w:val="00341004"/>
    <w:rsid w:val="00351137"/>
    <w:rsid w:val="003536C0"/>
    <w:rsid w:val="00354D1E"/>
    <w:rsid w:val="003723D4"/>
    <w:rsid w:val="003863E3"/>
    <w:rsid w:val="003A7D1C"/>
    <w:rsid w:val="003B6E64"/>
    <w:rsid w:val="00431B0D"/>
    <w:rsid w:val="0046164A"/>
    <w:rsid w:val="00462DCD"/>
    <w:rsid w:val="00485354"/>
    <w:rsid w:val="004A339B"/>
    <w:rsid w:val="004D1162"/>
    <w:rsid w:val="004E18CE"/>
    <w:rsid w:val="004E4DD6"/>
    <w:rsid w:val="004F563B"/>
    <w:rsid w:val="004F5E36"/>
    <w:rsid w:val="005119A5"/>
    <w:rsid w:val="005278B7"/>
    <w:rsid w:val="00532C7F"/>
    <w:rsid w:val="005346C8"/>
    <w:rsid w:val="00542E0C"/>
    <w:rsid w:val="005438B9"/>
    <w:rsid w:val="00594E9F"/>
    <w:rsid w:val="005A2CB2"/>
    <w:rsid w:val="005B61E6"/>
    <w:rsid w:val="005C77E1"/>
    <w:rsid w:val="005D6A2F"/>
    <w:rsid w:val="005E1A82"/>
    <w:rsid w:val="005E26D5"/>
    <w:rsid w:val="005F0A28"/>
    <w:rsid w:val="005F0E5E"/>
    <w:rsid w:val="0061094F"/>
    <w:rsid w:val="00620DEE"/>
    <w:rsid w:val="00625639"/>
    <w:rsid w:val="006366F8"/>
    <w:rsid w:val="0064184D"/>
    <w:rsid w:val="00660E3E"/>
    <w:rsid w:val="00662E74"/>
    <w:rsid w:val="006B01AC"/>
    <w:rsid w:val="006C5579"/>
    <w:rsid w:val="00704BDF"/>
    <w:rsid w:val="00736B13"/>
    <w:rsid w:val="007447F3"/>
    <w:rsid w:val="007661C8"/>
    <w:rsid w:val="007D52CD"/>
    <w:rsid w:val="007E35AE"/>
    <w:rsid w:val="008017C6"/>
    <w:rsid w:val="00813288"/>
    <w:rsid w:val="008168FC"/>
    <w:rsid w:val="008479A2"/>
    <w:rsid w:val="0085156E"/>
    <w:rsid w:val="0087637F"/>
    <w:rsid w:val="008826EF"/>
    <w:rsid w:val="008A1512"/>
    <w:rsid w:val="008A5525"/>
    <w:rsid w:val="008B3C15"/>
    <w:rsid w:val="008D0BEB"/>
    <w:rsid w:val="008D60FC"/>
    <w:rsid w:val="008E566E"/>
    <w:rsid w:val="00901EB6"/>
    <w:rsid w:val="009450CE"/>
    <w:rsid w:val="0095164B"/>
    <w:rsid w:val="00952F87"/>
    <w:rsid w:val="00956FF3"/>
    <w:rsid w:val="00996483"/>
    <w:rsid w:val="009C6803"/>
    <w:rsid w:val="009D24A2"/>
    <w:rsid w:val="009E788A"/>
    <w:rsid w:val="00A16DEB"/>
    <w:rsid w:val="00A1763D"/>
    <w:rsid w:val="00A17CEC"/>
    <w:rsid w:val="00A21EBA"/>
    <w:rsid w:val="00A27EF0"/>
    <w:rsid w:val="00A536B1"/>
    <w:rsid w:val="00A76EFC"/>
    <w:rsid w:val="00A97F29"/>
    <w:rsid w:val="00AB0964"/>
    <w:rsid w:val="00AB622F"/>
    <w:rsid w:val="00AE377D"/>
    <w:rsid w:val="00B05B11"/>
    <w:rsid w:val="00B15CDB"/>
    <w:rsid w:val="00B55034"/>
    <w:rsid w:val="00B61DBF"/>
    <w:rsid w:val="00B63CFA"/>
    <w:rsid w:val="00B97560"/>
    <w:rsid w:val="00BA3111"/>
    <w:rsid w:val="00BC30C9"/>
    <w:rsid w:val="00BE3E58"/>
    <w:rsid w:val="00C01616"/>
    <w:rsid w:val="00C0162B"/>
    <w:rsid w:val="00C345B1"/>
    <w:rsid w:val="00C40142"/>
    <w:rsid w:val="00C57182"/>
    <w:rsid w:val="00C655FD"/>
    <w:rsid w:val="00C715E0"/>
    <w:rsid w:val="00C930D5"/>
    <w:rsid w:val="00C94434"/>
    <w:rsid w:val="00CA1C95"/>
    <w:rsid w:val="00CA5A9C"/>
    <w:rsid w:val="00CC3C1E"/>
    <w:rsid w:val="00CC3F4B"/>
    <w:rsid w:val="00CD5FE2"/>
    <w:rsid w:val="00D02B4C"/>
    <w:rsid w:val="00D50D34"/>
    <w:rsid w:val="00D84576"/>
    <w:rsid w:val="00D951D3"/>
    <w:rsid w:val="00DB0169"/>
    <w:rsid w:val="00DC7C48"/>
    <w:rsid w:val="00DE0019"/>
    <w:rsid w:val="00DE264A"/>
    <w:rsid w:val="00DE2C90"/>
    <w:rsid w:val="00E041E7"/>
    <w:rsid w:val="00E23CA1"/>
    <w:rsid w:val="00E409A8"/>
    <w:rsid w:val="00E47211"/>
    <w:rsid w:val="00E7209D"/>
    <w:rsid w:val="00E800CF"/>
    <w:rsid w:val="00E97425"/>
    <w:rsid w:val="00EA50E1"/>
    <w:rsid w:val="00EE0131"/>
    <w:rsid w:val="00F0658D"/>
    <w:rsid w:val="00F27E4C"/>
    <w:rsid w:val="00F30C64"/>
    <w:rsid w:val="00F318CC"/>
    <w:rsid w:val="00F5222D"/>
    <w:rsid w:val="00F65D96"/>
    <w:rsid w:val="00F664ED"/>
    <w:rsid w:val="00F970C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5662"/>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 w:type="paragraph" w:styleId="Akapitzlist">
    <w:name w:val="List Paragraph"/>
    <w:basedOn w:val="Normalny"/>
    <w:link w:val="AkapitzlistZnak"/>
    <w:uiPriority w:val="34"/>
    <w:qFormat/>
    <w:locked/>
    <w:rsid w:val="007E35AE"/>
    <w:pPr>
      <w:ind w:left="720"/>
      <w:contextualSpacing/>
    </w:pPr>
  </w:style>
  <w:style w:type="character" w:styleId="Hipercze">
    <w:name w:val="Hyperlink"/>
    <w:basedOn w:val="Domylnaczcionkaakapitu"/>
    <w:uiPriority w:val="99"/>
    <w:locked/>
    <w:rsid w:val="00F664ED"/>
    <w:rPr>
      <w:color w:val="0000FF"/>
      <w:u w:val="single"/>
    </w:rPr>
  </w:style>
  <w:style w:type="character" w:customStyle="1" w:styleId="label">
    <w:name w:val="label"/>
    <w:basedOn w:val="Domylnaczcionkaakapitu"/>
    <w:rsid w:val="00F664ED"/>
  </w:style>
  <w:style w:type="character" w:customStyle="1" w:styleId="AkapitzlistZnak">
    <w:name w:val="Akapit z listą Znak"/>
    <w:basedOn w:val="Domylnaczcionkaakapitu"/>
    <w:link w:val="Akapitzlist"/>
    <w:uiPriority w:val="34"/>
    <w:rsid w:val="004A339B"/>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C46FC-BB5A-4A10-AE2C-90D2B3D9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931</Words>
  <Characters>5590</Characters>
  <Application>Microsoft Office Word</Application>
  <DocSecurity>0</DocSecurity>
  <Lines>46</Lines>
  <Paragraphs>13</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Maksymilian Olbrycht</cp:lastModifiedBy>
  <cp:revision>5</cp:revision>
  <cp:lastPrinted>2015-05-12T18:31:00Z</cp:lastPrinted>
  <dcterms:created xsi:type="dcterms:W3CDTF">2019-01-14T12:28:00Z</dcterms:created>
  <dcterms:modified xsi:type="dcterms:W3CDTF">2019-01-14T13:18:00Z</dcterms:modified>
</cp:coreProperties>
</file>