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CEF5" w14:textId="77777777" w:rsidR="000A03B2" w:rsidRPr="008E64AC" w:rsidRDefault="000A03B2" w:rsidP="00704BDF">
      <w:pPr>
        <w:pStyle w:val="CETAuthors"/>
        <w:tabs>
          <w:tab w:val="clear" w:pos="7100"/>
          <w:tab w:val="right" w:pos="9070"/>
        </w:tabs>
        <w:rPr>
          <w:noProof w:val="0"/>
        </w:rPr>
        <w:sectPr w:rsidR="000A03B2" w:rsidRPr="008E64AC"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7E960B2" w14:textId="753D58D2" w:rsidR="0061308F" w:rsidRDefault="00524633" w:rsidP="0061308F">
      <w:pPr>
        <w:snapToGrid w:val="0"/>
        <w:jc w:val="center"/>
        <w:rPr>
          <w:rFonts w:asciiTheme="minorHAnsi" w:eastAsia="MS PGothic" w:hAnsiTheme="minorHAnsi"/>
          <w:b/>
          <w:bCs/>
          <w:sz w:val="28"/>
          <w:szCs w:val="28"/>
        </w:rPr>
      </w:pPr>
      <w:r w:rsidRPr="008E64AC">
        <w:rPr>
          <w:rFonts w:asciiTheme="minorHAnsi" w:eastAsia="MS PGothic" w:hAnsiTheme="minorHAnsi"/>
          <w:b/>
          <w:bCs/>
          <w:sz w:val="28"/>
          <w:szCs w:val="28"/>
        </w:rPr>
        <w:t xml:space="preserve">The </w:t>
      </w:r>
      <w:r w:rsidR="002F2D7B" w:rsidRPr="008E64AC">
        <w:rPr>
          <w:rFonts w:asciiTheme="minorHAnsi" w:eastAsia="MS PGothic" w:hAnsiTheme="minorHAnsi"/>
          <w:b/>
          <w:bCs/>
          <w:sz w:val="28"/>
          <w:szCs w:val="28"/>
        </w:rPr>
        <w:t xml:space="preserve">Contribution Of </w:t>
      </w:r>
      <w:r w:rsidRPr="008E64AC">
        <w:rPr>
          <w:rFonts w:asciiTheme="minorHAnsi" w:eastAsia="MS PGothic" w:hAnsiTheme="minorHAnsi"/>
          <w:b/>
          <w:bCs/>
          <w:sz w:val="28"/>
          <w:szCs w:val="28"/>
        </w:rPr>
        <w:t>CO</w:t>
      </w:r>
      <w:r w:rsidRPr="008E64AC">
        <w:rPr>
          <w:rFonts w:asciiTheme="minorHAnsi" w:eastAsia="MS PGothic" w:hAnsiTheme="minorHAnsi"/>
          <w:b/>
          <w:bCs/>
          <w:sz w:val="28"/>
          <w:szCs w:val="28"/>
          <w:vertAlign w:val="subscript"/>
        </w:rPr>
        <w:t>2</w:t>
      </w:r>
      <w:r w:rsidRPr="008E64AC">
        <w:rPr>
          <w:rFonts w:asciiTheme="minorHAnsi" w:eastAsia="MS PGothic" w:hAnsiTheme="minorHAnsi"/>
          <w:b/>
          <w:bCs/>
          <w:sz w:val="28"/>
          <w:szCs w:val="28"/>
        </w:rPr>
        <w:t xml:space="preserve"> </w:t>
      </w:r>
      <w:r w:rsidR="002F2D7B" w:rsidRPr="008E64AC">
        <w:rPr>
          <w:rFonts w:asciiTheme="minorHAnsi" w:eastAsia="MS PGothic" w:hAnsiTheme="minorHAnsi"/>
          <w:b/>
          <w:bCs/>
          <w:sz w:val="28"/>
          <w:szCs w:val="28"/>
        </w:rPr>
        <w:t xml:space="preserve">Utilisation </w:t>
      </w:r>
      <w:r w:rsidR="002F2D7B">
        <w:rPr>
          <w:rFonts w:asciiTheme="minorHAnsi" w:eastAsia="MS PGothic" w:hAnsiTheme="minorHAnsi"/>
          <w:b/>
          <w:bCs/>
          <w:sz w:val="28"/>
          <w:szCs w:val="28"/>
        </w:rPr>
        <w:t>t</w:t>
      </w:r>
      <w:r w:rsidR="002F2D7B" w:rsidRPr="008E64AC">
        <w:rPr>
          <w:rFonts w:asciiTheme="minorHAnsi" w:eastAsia="MS PGothic" w:hAnsiTheme="minorHAnsi"/>
          <w:b/>
          <w:bCs/>
          <w:sz w:val="28"/>
          <w:szCs w:val="28"/>
        </w:rPr>
        <w:t xml:space="preserve">o </w:t>
      </w:r>
      <w:r w:rsidRPr="008E64AC">
        <w:rPr>
          <w:rFonts w:asciiTheme="minorHAnsi" w:eastAsia="MS PGothic" w:hAnsiTheme="minorHAnsi"/>
          <w:b/>
          <w:bCs/>
          <w:sz w:val="28"/>
          <w:szCs w:val="28"/>
        </w:rPr>
        <w:t xml:space="preserve">GHG </w:t>
      </w:r>
      <w:r w:rsidR="002F2D7B" w:rsidRPr="008E64AC">
        <w:rPr>
          <w:rFonts w:asciiTheme="minorHAnsi" w:eastAsia="MS PGothic" w:hAnsiTheme="minorHAnsi"/>
          <w:b/>
          <w:bCs/>
          <w:sz w:val="28"/>
          <w:szCs w:val="28"/>
        </w:rPr>
        <w:t xml:space="preserve">Emission Reduction: </w:t>
      </w:r>
    </w:p>
    <w:p w14:paraId="7F2F88BE" w14:textId="11ACCC4C" w:rsidR="00704BDF" w:rsidRPr="008E64AC" w:rsidRDefault="002F2D7B" w:rsidP="00704BDF">
      <w:pPr>
        <w:snapToGrid w:val="0"/>
        <w:spacing w:after="360"/>
        <w:jc w:val="center"/>
        <w:rPr>
          <w:rFonts w:asciiTheme="minorHAnsi" w:eastAsia="MS PGothic" w:hAnsiTheme="minorHAnsi"/>
          <w:b/>
          <w:bCs/>
          <w:sz w:val="28"/>
          <w:szCs w:val="28"/>
          <w:lang w:eastAsia="ko-KR"/>
        </w:rPr>
      </w:pPr>
      <w:r w:rsidRPr="008E64AC">
        <w:rPr>
          <w:rFonts w:asciiTheme="minorHAnsi" w:eastAsia="MS PGothic" w:hAnsiTheme="minorHAnsi"/>
          <w:b/>
          <w:bCs/>
          <w:sz w:val="28"/>
          <w:szCs w:val="28"/>
        </w:rPr>
        <w:t>Some Results Based</w:t>
      </w:r>
      <w:r>
        <w:rPr>
          <w:rFonts w:asciiTheme="minorHAnsi" w:eastAsia="MS PGothic" w:hAnsiTheme="minorHAnsi"/>
          <w:b/>
          <w:bCs/>
          <w:sz w:val="28"/>
          <w:szCs w:val="28"/>
        </w:rPr>
        <w:t>o</w:t>
      </w:r>
      <w:bookmarkStart w:id="0" w:name="_GoBack"/>
      <w:bookmarkEnd w:id="0"/>
      <w:r w:rsidRPr="008E64AC">
        <w:rPr>
          <w:rFonts w:asciiTheme="minorHAnsi" w:eastAsia="MS PGothic" w:hAnsiTheme="minorHAnsi"/>
          <w:b/>
          <w:bCs/>
          <w:sz w:val="28"/>
          <w:szCs w:val="28"/>
        </w:rPr>
        <w:t xml:space="preserve">On A </w:t>
      </w:r>
      <w:r w:rsidR="00524633" w:rsidRPr="008E64AC">
        <w:rPr>
          <w:rFonts w:asciiTheme="minorHAnsi" w:eastAsia="MS PGothic" w:hAnsiTheme="minorHAnsi"/>
          <w:b/>
          <w:bCs/>
          <w:sz w:val="28"/>
          <w:szCs w:val="28"/>
        </w:rPr>
        <w:t xml:space="preserve">European </w:t>
      </w:r>
      <w:r w:rsidRPr="008E64AC">
        <w:rPr>
          <w:rFonts w:asciiTheme="minorHAnsi" w:eastAsia="MS PGothic" w:hAnsiTheme="minorHAnsi"/>
          <w:b/>
          <w:bCs/>
          <w:sz w:val="28"/>
          <w:szCs w:val="28"/>
        </w:rPr>
        <w:t>Supply Chain Optimisation</w:t>
      </w:r>
      <w:r>
        <w:rPr>
          <w:rFonts w:asciiTheme="minorHAnsi" w:eastAsia="MS PGothic" w:hAnsiTheme="minorHAnsi"/>
          <w:b/>
          <w:bCs/>
          <w:sz w:val="28"/>
          <w:szCs w:val="28"/>
        </w:rPr>
        <w:t>.</w:t>
      </w:r>
    </w:p>
    <w:p w14:paraId="5D9DD96F" w14:textId="77777777" w:rsidR="00DE0019" w:rsidRPr="00961B89" w:rsidRDefault="00524633" w:rsidP="00704BDF">
      <w:pPr>
        <w:snapToGrid w:val="0"/>
        <w:spacing w:after="120"/>
        <w:jc w:val="center"/>
        <w:rPr>
          <w:rFonts w:eastAsia="SimSun"/>
          <w:color w:val="000000"/>
          <w:lang w:val="it-IT" w:eastAsia="zh-CN"/>
        </w:rPr>
      </w:pPr>
      <w:r w:rsidRPr="00961B89">
        <w:rPr>
          <w:rFonts w:asciiTheme="minorHAnsi" w:eastAsia="SimSun" w:hAnsiTheme="minorHAnsi"/>
          <w:color w:val="000000"/>
          <w:sz w:val="24"/>
          <w:szCs w:val="24"/>
          <w:lang w:val="it-IT" w:eastAsia="zh-CN"/>
        </w:rPr>
        <w:t>Federico d’Amore</w:t>
      </w:r>
      <w:r w:rsidR="00736B13" w:rsidRPr="00961B89">
        <w:rPr>
          <w:rFonts w:asciiTheme="minorHAnsi" w:eastAsia="SimSun" w:hAnsiTheme="minorHAnsi"/>
          <w:color w:val="000000"/>
          <w:sz w:val="24"/>
          <w:szCs w:val="24"/>
          <w:lang w:val="it-IT" w:eastAsia="zh-CN"/>
        </w:rPr>
        <w:t xml:space="preserve">, </w:t>
      </w:r>
      <w:r w:rsidRPr="00961B89">
        <w:rPr>
          <w:rFonts w:asciiTheme="minorHAnsi" w:eastAsia="SimSun" w:hAnsiTheme="minorHAnsi"/>
          <w:color w:val="000000"/>
          <w:sz w:val="24"/>
          <w:szCs w:val="24"/>
          <w:lang w:val="it-IT" w:eastAsia="zh-CN"/>
        </w:rPr>
        <w:t>Victor Baldo,</w:t>
      </w:r>
      <w:r w:rsidR="00736B13" w:rsidRPr="00961B89">
        <w:rPr>
          <w:rFonts w:asciiTheme="minorHAnsi" w:eastAsia="SimSun" w:hAnsiTheme="minorHAnsi"/>
          <w:color w:val="000000"/>
          <w:sz w:val="24"/>
          <w:szCs w:val="24"/>
          <w:lang w:val="it-IT" w:eastAsia="zh-CN"/>
        </w:rPr>
        <w:t xml:space="preserve"> </w:t>
      </w:r>
      <w:r w:rsidRPr="00961B89">
        <w:rPr>
          <w:rFonts w:asciiTheme="minorHAnsi" w:eastAsia="SimSun" w:hAnsiTheme="minorHAnsi"/>
          <w:color w:val="000000"/>
          <w:sz w:val="24"/>
          <w:szCs w:val="24"/>
          <w:u w:val="single"/>
          <w:lang w:val="it-IT" w:eastAsia="zh-CN"/>
        </w:rPr>
        <w:t>Fabrizio Bezzo</w:t>
      </w:r>
      <w:r w:rsidRPr="00961B89">
        <w:rPr>
          <w:rFonts w:asciiTheme="minorHAnsi" w:eastAsia="SimSun" w:hAnsiTheme="minorHAnsi"/>
          <w:color w:val="000000"/>
          <w:sz w:val="24"/>
          <w:szCs w:val="24"/>
          <w:vertAlign w:val="superscript"/>
          <w:lang w:val="it-IT" w:eastAsia="zh-CN"/>
        </w:rPr>
        <w:t>*</w:t>
      </w:r>
      <w:r w:rsidR="00DE0019" w:rsidRPr="00961B89">
        <w:rPr>
          <w:rFonts w:eastAsia="SimSun"/>
          <w:color w:val="000000"/>
          <w:lang w:val="it-IT" w:eastAsia="zh-CN"/>
        </w:rPr>
        <w:t xml:space="preserve"> </w:t>
      </w:r>
    </w:p>
    <w:p w14:paraId="0BAB4D45" w14:textId="77777777" w:rsidR="00704BDF" w:rsidRPr="008E64AC" w:rsidRDefault="00524633" w:rsidP="00524633">
      <w:pPr>
        <w:snapToGrid w:val="0"/>
        <w:spacing w:after="120"/>
        <w:jc w:val="center"/>
        <w:rPr>
          <w:rFonts w:asciiTheme="minorHAnsi" w:eastAsia="MS PGothic" w:hAnsiTheme="minorHAnsi"/>
          <w:i/>
          <w:iCs/>
          <w:color w:val="000000"/>
          <w:sz w:val="20"/>
        </w:rPr>
      </w:pPr>
      <w:r w:rsidRPr="008E64AC">
        <w:rPr>
          <w:rFonts w:asciiTheme="minorHAnsi" w:eastAsia="MS PGothic" w:hAnsiTheme="minorHAnsi"/>
          <w:i/>
          <w:iCs/>
          <w:color w:val="000000"/>
          <w:sz w:val="20"/>
        </w:rPr>
        <w:t>CAPE-Lab - Computer-Aided Process Engineering Laboratory, Department of Industrial Engineering, University of Padova, via Marzolo 9, 35131 Padova PD (Italy).</w:t>
      </w:r>
    </w:p>
    <w:p w14:paraId="45C010A8" w14:textId="77777777" w:rsidR="00704BDF" w:rsidRPr="008E64AC" w:rsidRDefault="00704BDF" w:rsidP="00704BDF">
      <w:pPr>
        <w:snapToGrid w:val="0"/>
        <w:jc w:val="center"/>
        <w:rPr>
          <w:rFonts w:asciiTheme="minorHAnsi" w:eastAsia="MS PGothic" w:hAnsiTheme="minorHAnsi"/>
          <w:bCs/>
          <w:i/>
          <w:iCs/>
          <w:sz w:val="20"/>
        </w:rPr>
      </w:pPr>
      <w:r w:rsidRPr="008E64AC">
        <w:rPr>
          <w:rFonts w:asciiTheme="minorHAnsi" w:eastAsia="MS PGothic" w:hAnsiTheme="minorHAnsi"/>
          <w:bCs/>
          <w:i/>
          <w:iCs/>
          <w:color w:val="000000"/>
          <w:sz w:val="20"/>
        </w:rPr>
        <w:t>*Corresponding author</w:t>
      </w:r>
      <w:r w:rsidRPr="008E64AC">
        <w:rPr>
          <w:rFonts w:asciiTheme="minorHAnsi" w:eastAsia="MS PGothic" w:hAnsiTheme="minorHAnsi"/>
          <w:bCs/>
          <w:i/>
          <w:iCs/>
          <w:sz w:val="20"/>
          <w:lang w:eastAsia="ko-KR"/>
        </w:rPr>
        <w:t>:</w:t>
      </w:r>
      <w:r w:rsidRPr="008E64AC">
        <w:rPr>
          <w:rFonts w:asciiTheme="minorHAnsi" w:eastAsia="MS PGothic" w:hAnsiTheme="minorHAnsi"/>
          <w:bCs/>
          <w:i/>
          <w:iCs/>
          <w:sz w:val="20"/>
        </w:rPr>
        <w:t xml:space="preserve"> </w:t>
      </w:r>
      <w:r w:rsidR="00524633" w:rsidRPr="008E64AC">
        <w:rPr>
          <w:rFonts w:asciiTheme="minorHAnsi" w:eastAsia="MS PGothic" w:hAnsiTheme="minorHAnsi"/>
          <w:bCs/>
          <w:i/>
          <w:iCs/>
          <w:sz w:val="20"/>
        </w:rPr>
        <w:t>fabrizio.bezzo@unipd.it</w:t>
      </w:r>
    </w:p>
    <w:p w14:paraId="744BC688" w14:textId="77777777" w:rsidR="00704BDF" w:rsidRPr="008E64AC" w:rsidRDefault="00704BDF" w:rsidP="00704BDF">
      <w:pPr>
        <w:pStyle w:val="AbstractHeading"/>
        <w:tabs>
          <w:tab w:val="left" w:pos="3547"/>
          <w:tab w:val="center" w:pos="4694"/>
        </w:tabs>
        <w:spacing w:before="240" w:after="0"/>
        <w:ind w:firstLine="357"/>
        <w:rPr>
          <w:rFonts w:asciiTheme="minorHAnsi" w:hAnsiTheme="minorHAnsi"/>
          <w:b/>
          <w:lang w:val="en-GB"/>
        </w:rPr>
      </w:pPr>
      <w:r w:rsidRPr="008E64AC">
        <w:rPr>
          <w:rFonts w:asciiTheme="minorHAnsi" w:hAnsiTheme="minorHAnsi"/>
          <w:b/>
          <w:lang w:val="en-GB"/>
        </w:rPr>
        <w:t>Highlights</w:t>
      </w:r>
    </w:p>
    <w:p w14:paraId="1A0C56E1" w14:textId="77777777" w:rsidR="00704BDF" w:rsidRPr="008E64AC" w:rsidRDefault="006D6247" w:rsidP="008E64AC">
      <w:pPr>
        <w:pStyle w:val="AbstractBody"/>
        <w:numPr>
          <w:ilvl w:val="0"/>
          <w:numId w:val="16"/>
        </w:numPr>
        <w:rPr>
          <w:rFonts w:asciiTheme="minorHAnsi" w:hAnsiTheme="minorHAnsi"/>
          <w:lang w:val="en-GB"/>
        </w:rPr>
      </w:pPr>
      <w:r w:rsidRPr="008E64AC">
        <w:rPr>
          <w:rFonts w:asciiTheme="minorHAnsi" w:hAnsiTheme="minorHAnsi"/>
          <w:lang w:val="en-GB"/>
        </w:rPr>
        <w:t>O</w:t>
      </w:r>
      <w:r w:rsidR="00C62851" w:rsidRPr="008E64AC">
        <w:rPr>
          <w:rFonts w:asciiTheme="minorHAnsi" w:hAnsiTheme="minorHAnsi"/>
          <w:lang w:val="en-GB"/>
        </w:rPr>
        <w:t>ptimisation of a carbon capture, transport, storage and utilisation network</w:t>
      </w:r>
      <w:r w:rsidR="00704BDF" w:rsidRPr="008E64AC">
        <w:rPr>
          <w:rFonts w:asciiTheme="minorHAnsi" w:hAnsiTheme="minorHAnsi"/>
          <w:lang w:val="en-GB"/>
        </w:rPr>
        <w:t xml:space="preserve">. </w:t>
      </w:r>
    </w:p>
    <w:p w14:paraId="666DB8CC" w14:textId="77777777" w:rsidR="00704BDF" w:rsidRPr="008E64AC" w:rsidRDefault="006D6247" w:rsidP="00753569">
      <w:pPr>
        <w:pStyle w:val="AbstractBody"/>
        <w:numPr>
          <w:ilvl w:val="0"/>
          <w:numId w:val="16"/>
        </w:numPr>
        <w:rPr>
          <w:rFonts w:asciiTheme="minorHAnsi" w:hAnsiTheme="minorHAnsi"/>
          <w:lang w:val="en-GB"/>
        </w:rPr>
      </w:pPr>
      <w:r w:rsidRPr="008E64AC">
        <w:rPr>
          <w:rFonts w:asciiTheme="minorHAnsi" w:hAnsiTheme="minorHAnsi"/>
          <w:lang w:val="en-GB"/>
        </w:rPr>
        <w:t>&lt;</w:t>
      </w:r>
      <w:r w:rsidR="00753569" w:rsidRPr="008E64AC">
        <w:rPr>
          <w:rFonts w:asciiTheme="minorHAnsi" w:hAnsiTheme="minorHAnsi"/>
          <w:lang w:val="en-GB"/>
        </w:rPr>
        <w:t>0.6% of European CO</w:t>
      </w:r>
      <w:r w:rsidR="00753569" w:rsidRPr="008E64AC">
        <w:rPr>
          <w:rFonts w:asciiTheme="minorHAnsi" w:hAnsiTheme="minorHAnsi"/>
          <w:vertAlign w:val="subscript"/>
          <w:lang w:val="en-GB"/>
        </w:rPr>
        <w:t>2</w:t>
      </w:r>
      <w:r w:rsidR="00753569" w:rsidRPr="008E64AC">
        <w:rPr>
          <w:rFonts w:asciiTheme="minorHAnsi" w:hAnsiTheme="minorHAnsi"/>
          <w:lang w:val="en-GB"/>
        </w:rPr>
        <w:t xml:space="preserve"> from coal/gas plants can be removed through utilisation</w:t>
      </w:r>
      <w:r w:rsidR="00704BDF" w:rsidRPr="008E64AC">
        <w:rPr>
          <w:rFonts w:asciiTheme="minorHAnsi" w:hAnsiTheme="minorHAnsi"/>
          <w:lang w:val="en-GB"/>
        </w:rPr>
        <w:t xml:space="preserve">. </w:t>
      </w:r>
    </w:p>
    <w:p w14:paraId="1A5759C1" w14:textId="77777777" w:rsidR="00592956" w:rsidRPr="008E64AC" w:rsidRDefault="00961B89" w:rsidP="00592956">
      <w:pPr>
        <w:pStyle w:val="AbstractBody"/>
        <w:numPr>
          <w:ilvl w:val="0"/>
          <w:numId w:val="16"/>
        </w:numPr>
        <w:spacing w:after="240"/>
        <w:rPr>
          <w:rFonts w:asciiTheme="minorHAnsi" w:hAnsiTheme="minorHAnsi"/>
          <w:lang w:val="en-GB"/>
        </w:rPr>
      </w:pPr>
      <w:r>
        <w:rPr>
          <w:rFonts w:asciiTheme="minorHAnsi" w:hAnsiTheme="minorHAnsi"/>
          <w:lang w:val="en-GB"/>
        </w:rPr>
        <w:t>5.5% c</w:t>
      </w:r>
      <w:r w:rsidR="00074F39" w:rsidRPr="008E64AC">
        <w:rPr>
          <w:rFonts w:asciiTheme="minorHAnsi" w:hAnsiTheme="minorHAnsi"/>
          <w:lang w:val="en-GB"/>
        </w:rPr>
        <w:t xml:space="preserve">ost reduction </w:t>
      </w:r>
      <w:r w:rsidR="006D6247" w:rsidRPr="008E64AC">
        <w:rPr>
          <w:rFonts w:asciiTheme="minorHAnsi" w:hAnsiTheme="minorHAnsi"/>
          <w:lang w:val="en-GB"/>
        </w:rPr>
        <w:t>achievable</w:t>
      </w:r>
      <w:r w:rsidR="00753569" w:rsidRPr="008E64AC">
        <w:rPr>
          <w:rFonts w:asciiTheme="minorHAnsi" w:hAnsiTheme="minorHAnsi"/>
          <w:lang w:val="en-GB"/>
        </w:rPr>
        <w:t xml:space="preserve"> thanks to revenues deriving from</w:t>
      </w:r>
      <w:r w:rsidR="008E64AC" w:rsidRPr="008E64AC">
        <w:rPr>
          <w:rFonts w:asciiTheme="minorHAnsi" w:hAnsiTheme="minorHAnsi"/>
          <w:lang w:val="en-GB"/>
        </w:rPr>
        <w:t xml:space="preserve"> utilisation</w:t>
      </w:r>
      <w:r w:rsidR="00704BDF" w:rsidRPr="008E64AC">
        <w:rPr>
          <w:rFonts w:asciiTheme="minorHAnsi" w:hAnsiTheme="minorHAnsi"/>
          <w:lang w:val="en-GB"/>
        </w:rPr>
        <w:t>.</w:t>
      </w:r>
    </w:p>
    <w:p w14:paraId="241B0D51" w14:textId="77777777" w:rsidR="00704BDF" w:rsidRPr="008E64AC" w:rsidRDefault="00704BDF" w:rsidP="00704BDF">
      <w:pPr>
        <w:snapToGrid w:val="0"/>
        <w:spacing w:line="300" w:lineRule="auto"/>
        <w:rPr>
          <w:rFonts w:asciiTheme="minorHAnsi" w:eastAsia="MS PGothic" w:hAnsiTheme="minorHAnsi"/>
          <w:b/>
          <w:bCs/>
          <w:color w:val="000000"/>
          <w:sz w:val="22"/>
          <w:szCs w:val="22"/>
          <w:lang w:eastAsia="ko-KR"/>
        </w:rPr>
      </w:pPr>
      <w:r w:rsidRPr="008E64AC">
        <w:rPr>
          <w:rFonts w:asciiTheme="minorHAnsi" w:eastAsia="MS PGothic" w:hAnsiTheme="minorHAnsi"/>
          <w:b/>
          <w:bCs/>
          <w:color w:val="000000"/>
          <w:sz w:val="22"/>
          <w:szCs w:val="22"/>
        </w:rPr>
        <w:t>1. Introduction</w:t>
      </w:r>
    </w:p>
    <w:p w14:paraId="3CDAABDA" w14:textId="77777777" w:rsidR="00704BDF" w:rsidRPr="008E64AC" w:rsidRDefault="00074F39" w:rsidP="00704BDF">
      <w:pPr>
        <w:snapToGrid w:val="0"/>
        <w:spacing w:after="120"/>
        <w:rPr>
          <w:rFonts w:asciiTheme="minorHAnsi" w:eastAsia="MS PGothic" w:hAnsiTheme="minorHAnsi"/>
          <w:color w:val="000000"/>
          <w:sz w:val="22"/>
          <w:szCs w:val="22"/>
        </w:rPr>
      </w:pPr>
      <w:r w:rsidRPr="008E64AC">
        <w:rPr>
          <w:rFonts w:asciiTheme="minorHAnsi" w:eastAsia="MS PGothic" w:hAnsiTheme="minorHAnsi"/>
          <w:color w:val="000000"/>
          <w:sz w:val="22"/>
          <w:szCs w:val="22"/>
        </w:rPr>
        <w:t>In the last 50 years,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constituted nearly the 80% of overall anthropogenic </w:t>
      </w:r>
      <w:r w:rsidR="008E64AC" w:rsidRPr="008E64AC">
        <w:rPr>
          <w:rFonts w:asciiTheme="minorHAnsi" w:eastAsia="MS PGothic" w:hAnsiTheme="minorHAnsi"/>
          <w:color w:val="000000"/>
          <w:sz w:val="22"/>
          <w:szCs w:val="22"/>
        </w:rPr>
        <w:t xml:space="preserve">greenhouse gases </w:t>
      </w:r>
      <w:r w:rsidR="008E64AC">
        <w:rPr>
          <w:rFonts w:asciiTheme="minorHAnsi" w:eastAsia="MS PGothic" w:hAnsiTheme="minorHAnsi"/>
          <w:color w:val="000000"/>
          <w:sz w:val="22"/>
          <w:szCs w:val="22"/>
        </w:rPr>
        <w:t>(</w:t>
      </w:r>
      <w:r w:rsidRPr="008E64AC">
        <w:rPr>
          <w:rFonts w:asciiTheme="minorHAnsi" w:eastAsia="MS PGothic" w:hAnsiTheme="minorHAnsi"/>
          <w:color w:val="000000"/>
          <w:sz w:val="22"/>
          <w:szCs w:val="22"/>
        </w:rPr>
        <w:t>GHGs</w:t>
      </w:r>
      <w:r w:rsidR="008E64AC">
        <w:rPr>
          <w:rFonts w:asciiTheme="minorHAnsi" w:eastAsia="MS PGothic" w:hAnsiTheme="minorHAnsi"/>
          <w:color w:val="000000"/>
          <w:sz w:val="22"/>
          <w:szCs w:val="22"/>
        </w:rPr>
        <w:t>)</w:t>
      </w:r>
      <w:r w:rsidRPr="008E64AC">
        <w:rPr>
          <w:rFonts w:asciiTheme="minorHAnsi" w:eastAsia="MS PGothic" w:hAnsiTheme="minorHAnsi"/>
          <w:color w:val="000000"/>
          <w:sz w:val="22"/>
          <w:szCs w:val="22"/>
        </w:rPr>
        <w:t xml:space="preserve"> emissions; global actions are therefore needed to tackle the increase of carbon concentration in the atmosphere </w:t>
      </w:r>
      <w:r w:rsidR="007170A0" w:rsidRPr="008E64AC">
        <w:rPr>
          <w:rFonts w:asciiTheme="minorHAnsi" w:eastAsia="MS PGothic" w:hAnsiTheme="minorHAnsi"/>
          <w:color w:val="000000"/>
          <w:sz w:val="22"/>
          <w:szCs w:val="22"/>
        </w:rPr>
        <w:t>[1]</w:t>
      </w:r>
      <w:r w:rsidRPr="008E64AC">
        <w:rPr>
          <w:rFonts w:asciiTheme="minorHAnsi" w:eastAsia="MS PGothic" w:hAnsiTheme="minorHAnsi"/>
          <w:color w:val="000000"/>
          <w:sz w:val="22"/>
          <w:szCs w:val="22"/>
        </w:rPr>
        <w:t xml:space="preserve">. </w:t>
      </w:r>
      <w:r w:rsidR="008E64AC" w:rsidRPr="008E64AC">
        <w:rPr>
          <w:rFonts w:asciiTheme="minorHAnsi" w:eastAsia="MS PGothic" w:hAnsiTheme="minorHAnsi"/>
          <w:color w:val="000000"/>
          <w:sz w:val="22"/>
          <w:szCs w:val="22"/>
        </w:rPr>
        <w:t>C</w:t>
      </w:r>
      <w:r w:rsidRPr="008E64AC">
        <w:rPr>
          <w:rFonts w:asciiTheme="minorHAnsi" w:eastAsia="MS PGothic" w:hAnsiTheme="minorHAnsi"/>
          <w:color w:val="000000"/>
          <w:sz w:val="22"/>
          <w:szCs w:val="22"/>
        </w:rPr>
        <w:t>arbon capture and storage (CCS) has been highlighted as one of the most promising options. Recently, also carbon utilisation pathways have been highlighted as potential options to reduce the costs that derive from the installation and operation of a more general CCS and utilisation (CCUS) infrastructure. Nevertheless, there is debate on the actual effectiveness of the chemical conversion of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indicating that only minor environmental benefits could be obtained </w:t>
      </w:r>
      <w:r w:rsidR="007170A0" w:rsidRPr="008E64AC">
        <w:rPr>
          <w:rFonts w:asciiTheme="minorHAnsi" w:eastAsia="MS PGothic" w:hAnsiTheme="minorHAnsi"/>
          <w:color w:val="000000"/>
          <w:sz w:val="22"/>
          <w:szCs w:val="22"/>
        </w:rPr>
        <w:t>[2]</w:t>
      </w:r>
      <w:r w:rsidRPr="008E64AC">
        <w:rPr>
          <w:rFonts w:asciiTheme="minorHAnsi" w:eastAsia="MS PGothic" w:hAnsiTheme="minorHAnsi"/>
          <w:color w:val="000000"/>
          <w:sz w:val="22"/>
          <w:szCs w:val="22"/>
        </w:rPr>
        <w:t>. In this work</w:t>
      </w:r>
      <w:r w:rsidR="008E64AC" w:rsidRPr="008E64AC">
        <w:rPr>
          <w:rFonts w:asciiTheme="minorHAnsi" w:eastAsia="MS PGothic" w:hAnsiTheme="minorHAnsi"/>
          <w:color w:val="000000"/>
          <w:sz w:val="22"/>
          <w:szCs w:val="22"/>
        </w:rPr>
        <w:t>,</w:t>
      </w:r>
      <w:r w:rsidRPr="008E64AC">
        <w:rPr>
          <w:rFonts w:asciiTheme="minorHAnsi" w:eastAsia="MS PGothic" w:hAnsiTheme="minorHAnsi"/>
          <w:color w:val="000000"/>
          <w:sz w:val="22"/>
          <w:szCs w:val="22"/>
        </w:rPr>
        <w:t xml:space="preserve"> the aim is to evaluate the effects of CCUS from an economic perspective and to assess what contribution may derive from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utilisation for conversion into chemical products at a European level.</w:t>
      </w:r>
    </w:p>
    <w:p w14:paraId="2BFF925A" w14:textId="77777777" w:rsidR="00704BDF" w:rsidRPr="008E64AC" w:rsidRDefault="00704BDF" w:rsidP="00704BDF">
      <w:pPr>
        <w:snapToGrid w:val="0"/>
        <w:spacing w:before="240" w:line="300" w:lineRule="auto"/>
        <w:rPr>
          <w:rFonts w:asciiTheme="minorHAnsi" w:eastAsia="MS PGothic" w:hAnsiTheme="minorHAnsi"/>
          <w:color w:val="000000"/>
          <w:sz w:val="22"/>
          <w:szCs w:val="22"/>
        </w:rPr>
      </w:pPr>
      <w:r w:rsidRPr="008E64AC">
        <w:rPr>
          <w:rFonts w:asciiTheme="minorHAnsi" w:eastAsia="MS PGothic" w:hAnsiTheme="minorHAnsi"/>
          <w:b/>
          <w:bCs/>
          <w:color w:val="000000"/>
          <w:sz w:val="22"/>
          <w:szCs w:val="22"/>
        </w:rPr>
        <w:t>2. Methods</w:t>
      </w:r>
    </w:p>
    <w:p w14:paraId="069E5D77" w14:textId="77777777" w:rsidR="00704BDF" w:rsidRPr="008E64AC" w:rsidRDefault="00B6129A" w:rsidP="007D6020">
      <w:pPr>
        <w:snapToGrid w:val="0"/>
        <w:spacing w:after="120"/>
        <w:rPr>
          <w:rFonts w:asciiTheme="minorHAnsi" w:eastAsia="MS PGothic" w:hAnsiTheme="minorHAnsi"/>
          <w:color w:val="000000"/>
          <w:sz w:val="22"/>
          <w:szCs w:val="22"/>
        </w:rPr>
      </w:pPr>
      <w:r w:rsidRPr="008E64AC">
        <w:rPr>
          <w:rFonts w:asciiTheme="minorHAnsi" w:eastAsia="MS PGothic" w:hAnsiTheme="minorHAnsi"/>
          <w:color w:val="000000"/>
          <w:sz w:val="22"/>
          <w:szCs w:val="22"/>
        </w:rPr>
        <w:t xml:space="preserve">This contribution proposes a static mixed integer linear programming model for the economic optimisation of European CCUS </w:t>
      </w:r>
      <w:r w:rsidR="007D6020">
        <w:rPr>
          <w:rFonts w:asciiTheme="minorHAnsi" w:eastAsia="MS PGothic" w:hAnsiTheme="minorHAnsi"/>
          <w:color w:val="000000"/>
          <w:sz w:val="22"/>
          <w:szCs w:val="22"/>
        </w:rPr>
        <w:t>supply chains (</w:t>
      </w:r>
      <w:r w:rsidRPr="008E64AC">
        <w:rPr>
          <w:rFonts w:asciiTheme="minorHAnsi" w:eastAsia="MS PGothic" w:hAnsiTheme="minorHAnsi"/>
          <w:color w:val="000000"/>
          <w:sz w:val="22"/>
          <w:szCs w:val="22"/>
        </w:rPr>
        <w:t>SCs</w:t>
      </w:r>
      <w:r w:rsidR="007D6020">
        <w:rPr>
          <w:rFonts w:asciiTheme="minorHAnsi" w:eastAsia="MS PGothic" w:hAnsiTheme="minorHAnsi"/>
          <w:color w:val="000000"/>
          <w:sz w:val="22"/>
          <w:szCs w:val="22"/>
        </w:rPr>
        <w:t>)</w:t>
      </w:r>
      <w:r w:rsidRPr="008E64AC">
        <w:rPr>
          <w:rFonts w:asciiTheme="minorHAnsi" w:eastAsia="MS PGothic" w:hAnsiTheme="minorHAnsi"/>
          <w:color w:val="000000"/>
          <w:sz w:val="22"/>
          <w:szCs w:val="22"/>
        </w:rPr>
        <w:t xml:space="preserve">. Building up from </w:t>
      </w:r>
      <w:r w:rsidR="007170A0" w:rsidRPr="008E64AC">
        <w:rPr>
          <w:rFonts w:asciiTheme="minorHAnsi" w:eastAsia="MS PGothic" w:hAnsiTheme="minorHAnsi"/>
          <w:color w:val="000000"/>
          <w:sz w:val="22"/>
          <w:szCs w:val="22"/>
        </w:rPr>
        <w:t>[3]</w:t>
      </w:r>
      <w:r w:rsidRPr="008E64AC">
        <w:rPr>
          <w:rFonts w:asciiTheme="minorHAnsi" w:eastAsia="MS PGothic" w:hAnsiTheme="minorHAnsi"/>
          <w:color w:val="000000"/>
          <w:sz w:val="22"/>
          <w:szCs w:val="22"/>
        </w:rPr>
        <w:t xml:space="preserve">, the European territory is discretised by aim of set </w:t>
      </w:r>
      <w:r w:rsidRPr="008E64AC">
        <w:rPr>
          <w:rFonts w:asciiTheme="minorHAnsi" w:eastAsia="MS PGothic" w:hAnsiTheme="minorHAnsi"/>
          <w:i/>
          <w:color w:val="000000"/>
          <w:sz w:val="22"/>
          <w:szCs w:val="22"/>
        </w:rPr>
        <w:t>g</w:t>
      </w:r>
      <w:r w:rsidRPr="008E64AC">
        <w:rPr>
          <w:rFonts w:asciiTheme="minorHAnsi" w:eastAsia="MS PGothic" w:hAnsiTheme="minorHAnsi"/>
          <w:color w:val="000000"/>
          <w:sz w:val="22"/>
          <w:szCs w:val="22"/>
        </w:rPr>
        <w:t xml:space="preserve"> of 124 squared cells and the SC takes into account the location of large stationary sources of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the </w:t>
      </w:r>
      <w:r w:rsidRPr="008E64AC">
        <w:rPr>
          <w:rFonts w:asciiTheme="minorHAnsi" w:eastAsia="MS PGothic" w:hAnsiTheme="minorHAnsi"/>
          <w:color w:val="000000"/>
          <w:sz w:val="22"/>
          <w:szCs w:val="22"/>
        </w:rPr>
        <w:tab/>
        <w:t xml:space="preserve">techno-economic description of set </w:t>
      </w:r>
      <w:r w:rsidRPr="008E64AC">
        <w:rPr>
          <w:rFonts w:asciiTheme="minorHAnsi" w:eastAsia="MS PGothic" w:hAnsiTheme="minorHAnsi"/>
          <w:i/>
          <w:color w:val="000000"/>
          <w:sz w:val="22"/>
          <w:szCs w:val="22"/>
        </w:rPr>
        <w:t>k</w:t>
      </w:r>
      <w:r w:rsidRPr="008E64AC">
        <w:rPr>
          <w:rFonts w:asciiTheme="minorHAnsi" w:eastAsia="MS PGothic" w:hAnsiTheme="minorHAnsi"/>
          <w:color w:val="000000"/>
          <w:sz w:val="22"/>
          <w:szCs w:val="22"/>
        </w:rPr>
        <w:t xml:space="preserve"> for carbon capture options, of set </w:t>
      </w:r>
      <w:r w:rsidRPr="008E64AC">
        <w:rPr>
          <w:rFonts w:asciiTheme="minorHAnsi" w:eastAsia="MS PGothic" w:hAnsiTheme="minorHAnsi"/>
          <w:i/>
          <w:color w:val="000000"/>
          <w:sz w:val="22"/>
          <w:szCs w:val="22"/>
        </w:rPr>
        <w:t>l</w:t>
      </w:r>
      <w:r w:rsidRPr="008E64AC">
        <w:rPr>
          <w:rFonts w:asciiTheme="minorHAnsi" w:eastAsia="MS PGothic" w:hAnsiTheme="minorHAnsi"/>
          <w:color w:val="000000"/>
          <w:sz w:val="22"/>
          <w:szCs w:val="22"/>
        </w:rPr>
        <w:t xml:space="preserve"> of</w:t>
      </w:r>
      <w:r w:rsid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 xml:space="preserve">transport means, the </w:t>
      </w:r>
      <w:r w:rsidRPr="008E64AC">
        <w:rPr>
          <w:rFonts w:asciiTheme="minorHAnsi" w:eastAsia="MS PGothic" w:hAnsiTheme="minorHAnsi"/>
          <w:color w:val="000000"/>
          <w:sz w:val="22"/>
          <w:szCs w:val="22"/>
        </w:rPr>
        <w:tab/>
        <w:t>location and size of storage basins, and the techn</w:t>
      </w:r>
      <w:r w:rsidR="00343848">
        <w:rPr>
          <w:rFonts w:asciiTheme="minorHAnsi" w:eastAsia="MS PGothic" w:hAnsiTheme="minorHAnsi"/>
          <w:color w:val="000000"/>
          <w:sz w:val="22"/>
          <w:szCs w:val="22"/>
        </w:rPr>
        <w:t>o-</w:t>
      </w:r>
      <w:r w:rsidR="008E64AC">
        <w:rPr>
          <w:rFonts w:asciiTheme="minorHAnsi" w:eastAsia="MS PGothic" w:hAnsiTheme="minorHAnsi"/>
          <w:color w:val="000000"/>
          <w:sz w:val="22"/>
          <w:szCs w:val="22"/>
        </w:rPr>
        <w:t xml:space="preserve">economic features of the </w:t>
      </w:r>
      <w:r w:rsidRPr="008E64AC">
        <w:rPr>
          <w:rFonts w:asciiTheme="minorHAnsi" w:eastAsia="MS PGothic" w:hAnsiTheme="minorHAnsi"/>
          <w:color w:val="000000"/>
          <w:sz w:val="22"/>
          <w:szCs w:val="22"/>
        </w:rPr>
        <w:t>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utilisation stage </w:t>
      </w:r>
      <w:r w:rsidR="008E64AC">
        <w:rPr>
          <w:rFonts w:asciiTheme="minorHAnsi" w:eastAsia="MS PGothic" w:hAnsiTheme="minorHAnsi"/>
          <w:color w:val="000000"/>
          <w:sz w:val="22"/>
          <w:szCs w:val="22"/>
        </w:rPr>
        <w:t>via</w:t>
      </w:r>
      <w:r w:rsidRPr="008E64AC">
        <w:rPr>
          <w:rFonts w:asciiTheme="minorHAnsi" w:eastAsia="MS PGothic" w:hAnsiTheme="minorHAnsi"/>
          <w:color w:val="000000"/>
          <w:sz w:val="22"/>
          <w:szCs w:val="22"/>
        </w:rPr>
        <w:t xml:space="preserve"> set </w:t>
      </w:r>
      <w:r w:rsidRPr="008E64AC">
        <w:rPr>
          <w:rFonts w:asciiTheme="minorHAnsi" w:eastAsia="MS PGothic" w:hAnsiTheme="minorHAnsi"/>
          <w:i/>
          <w:color w:val="000000"/>
          <w:sz w:val="22"/>
          <w:szCs w:val="22"/>
        </w:rPr>
        <w:t>c</w:t>
      </w:r>
      <w:r w:rsidRPr="008E64AC">
        <w:rPr>
          <w:rFonts w:asciiTheme="minorHAnsi" w:eastAsia="MS PGothic" w:hAnsiTheme="minorHAnsi"/>
          <w:color w:val="000000"/>
          <w:sz w:val="22"/>
          <w:szCs w:val="22"/>
        </w:rPr>
        <w:t xml:space="preserve"> of chemical outputs.</w:t>
      </w:r>
      <w:r w:rsidR="00142154" w:rsidRPr="008E64AC">
        <w:rPr>
          <w:rFonts w:asciiTheme="minorHAnsi" w:eastAsia="MS PGothic" w:hAnsiTheme="minorHAnsi"/>
          <w:color w:val="000000"/>
          <w:sz w:val="22"/>
          <w:szCs w:val="22"/>
        </w:rPr>
        <w:t xml:space="preserve"> G</w:t>
      </w:r>
      <w:r w:rsidRPr="008E64AC">
        <w:rPr>
          <w:rFonts w:asciiTheme="minorHAnsi" w:eastAsia="MS PGothic" w:hAnsiTheme="minorHAnsi"/>
          <w:color w:val="000000"/>
          <w:sz w:val="22"/>
          <w:szCs w:val="22"/>
        </w:rPr>
        <w:t xml:space="preserve">iven the </w:t>
      </w:r>
      <w:r w:rsidR="008E64AC" w:rsidRPr="008E64AC">
        <w:rPr>
          <w:rFonts w:asciiTheme="minorHAnsi" w:eastAsia="MS PGothic" w:hAnsiTheme="minorHAnsi"/>
          <w:color w:val="000000"/>
          <w:sz w:val="22"/>
          <w:szCs w:val="22"/>
        </w:rPr>
        <w:t>numerous</w:t>
      </w:r>
      <w:r w:rsidRPr="008E64AC">
        <w:rPr>
          <w:rFonts w:asciiTheme="minorHAnsi" w:eastAsia="MS PGothic" w:hAnsiTheme="minorHAnsi"/>
          <w:color w:val="000000"/>
          <w:sz w:val="22"/>
          <w:szCs w:val="22"/>
        </w:rPr>
        <w:t xml:space="preserve"> reacti</w:t>
      </w:r>
      <w:r w:rsidR="00142154" w:rsidRPr="008E64AC">
        <w:rPr>
          <w:rFonts w:asciiTheme="minorHAnsi" w:eastAsia="MS PGothic" w:hAnsiTheme="minorHAnsi"/>
          <w:color w:val="000000"/>
          <w:sz w:val="22"/>
          <w:szCs w:val="22"/>
        </w:rPr>
        <w:t>on mechanisms for CO</w:t>
      </w:r>
      <w:r w:rsidR="00142154" w:rsidRPr="008E64AC">
        <w:rPr>
          <w:rFonts w:asciiTheme="minorHAnsi" w:eastAsia="MS PGothic" w:hAnsiTheme="minorHAnsi"/>
          <w:color w:val="000000"/>
          <w:sz w:val="22"/>
          <w:szCs w:val="22"/>
          <w:vertAlign w:val="subscript"/>
        </w:rPr>
        <w:t>2</w:t>
      </w:r>
      <w:r w:rsidR="00142154" w:rsidRPr="008E64AC">
        <w:rPr>
          <w:rFonts w:asciiTheme="minorHAnsi" w:eastAsia="MS PGothic" w:hAnsiTheme="minorHAnsi"/>
          <w:color w:val="000000"/>
          <w:sz w:val="22"/>
          <w:szCs w:val="22"/>
        </w:rPr>
        <w:t xml:space="preserve"> conversion</w:t>
      </w:r>
      <w:r w:rsidR="002D4997" w:rsidRPr="008E64AC">
        <w:rPr>
          <w:rFonts w:asciiTheme="minorHAnsi" w:eastAsia="MS PGothic" w:hAnsiTheme="minorHAnsi"/>
          <w:color w:val="000000"/>
          <w:sz w:val="22"/>
          <w:szCs w:val="22"/>
        </w:rPr>
        <w:t xml:space="preserve"> </w:t>
      </w:r>
      <w:r w:rsidR="007170A0" w:rsidRPr="008E64AC">
        <w:rPr>
          <w:rFonts w:asciiTheme="minorHAnsi" w:eastAsia="MS PGothic" w:hAnsiTheme="minorHAnsi"/>
          <w:color w:val="000000"/>
          <w:sz w:val="22"/>
          <w:szCs w:val="22"/>
        </w:rPr>
        <w:t>[4]</w:t>
      </w:r>
      <w:r w:rsidR="00142154" w:rsidRPr="008E64AC">
        <w:rPr>
          <w:rFonts w:asciiTheme="minorHAnsi" w:eastAsia="MS PGothic" w:hAnsiTheme="minorHAnsi"/>
          <w:color w:val="000000"/>
          <w:sz w:val="22"/>
          <w:szCs w:val="22"/>
        </w:rPr>
        <w:t xml:space="preserve">, </w:t>
      </w:r>
      <w:r w:rsidR="008E64AC" w:rsidRPr="008E64AC">
        <w:rPr>
          <w:rFonts w:asciiTheme="minorHAnsi" w:eastAsia="MS PGothic" w:hAnsiTheme="minorHAnsi"/>
          <w:color w:val="000000"/>
          <w:sz w:val="22"/>
          <w:szCs w:val="22"/>
        </w:rPr>
        <w:t>a restricted number of</w:t>
      </w:r>
      <w:r w:rsidRPr="008E64AC">
        <w:rPr>
          <w:rFonts w:asciiTheme="minorHAnsi" w:eastAsia="MS PGothic" w:hAnsiTheme="minorHAnsi"/>
          <w:color w:val="000000"/>
          <w:sz w:val="22"/>
          <w:szCs w:val="22"/>
        </w:rPr>
        <w:t xml:space="preserve"> processes </w:t>
      </w:r>
      <w:r w:rsidR="008E64AC" w:rsidRPr="008E64AC">
        <w:rPr>
          <w:rFonts w:asciiTheme="minorHAnsi" w:eastAsia="MS PGothic" w:hAnsiTheme="minorHAnsi"/>
          <w:color w:val="000000"/>
          <w:sz w:val="22"/>
          <w:szCs w:val="22"/>
        </w:rPr>
        <w:t>was selected</w:t>
      </w:r>
      <w:r w:rsidR="00142154"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accord</w:t>
      </w:r>
      <w:r w:rsidR="00142154" w:rsidRPr="008E64AC">
        <w:rPr>
          <w:rFonts w:asciiTheme="minorHAnsi" w:eastAsia="MS PGothic" w:hAnsiTheme="minorHAnsi"/>
          <w:color w:val="000000"/>
          <w:sz w:val="22"/>
          <w:szCs w:val="22"/>
        </w:rPr>
        <w:t>ing to the following principles: (</w:t>
      </w:r>
      <w:r w:rsidRPr="008E64AC">
        <w:rPr>
          <w:rFonts w:asciiTheme="minorHAnsi" w:eastAsia="MS PGothic" w:hAnsiTheme="minorHAnsi"/>
          <w:i/>
          <w:color w:val="000000"/>
          <w:sz w:val="22"/>
          <w:szCs w:val="22"/>
        </w:rPr>
        <w:t>i</w:t>
      </w:r>
      <w:r w:rsidR="00142154"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minimum</w:t>
      </w:r>
      <w:r w:rsidR="006D6247"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production</w:t>
      </w:r>
      <w:r w:rsidR="00142154"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threshold</w:t>
      </w:r>
      <w:r w:rsidR="008E64AC" w:rsidRPr="008E64AC">
        <w:rPr>
          <w:rFonts w:asciiTheme="minorHAnsi" w:eastAsia="MS PGothic" w:hAnsiTheme="minorHAnsi"/>
          <w:color w:val="000000"/>
          <w:sz w:val="22"/>
          <w:szCs w:val="22"/>
        </w:rPr>
        <w:t xml:space="preserve"> according to market demand</w:t>
      </w:r>
      <w:r w:rsidR="006D6247"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w:t>
      </w:r>
      <w:r w:rsidR="002D4997" w:rsidRPr="008E64AC">
        <w:rPr>
          <w:rFonts w:asciiTheme="minorHAnsi" w:eastAsia="MS PGothic" w:hAnsiTheme="minorHAnsi"/>
          <w:color w:val="000000"/>
          <w:sz w:val="22"/>
          <w:szCs w:val="22"/>
        </w:rPr>
        <w:t>&gt;</w:t>
      </w:r>
      <w:r w:rsidRPr="008E64AC">
        <w:rPr>
          <w:rFonts w:asciiTheme="minorHAnsi" w:eastAsia="MS PGothic" w:hAnsiTheme="minorHAnsi"/>
          <w:color w:val="000000"/>
          <w:sz w:val="22"/>
          <w:szCs w:val="22"/>
        </w:rPr>
        <w:t xml:space="preserve">1Mt/year of </w:t>
      </w:r>
      <w:r w:rsidR="00142154" w:rsidRPr="008E64AC">
        <w:rPr>
          <w:rFonts w:asciiTheme="minorHAnsi" w:eastAsia="MS PGothic" w:hAnsiTheme="minorHAnsi"/>
          <w:color w:val="000000"/>
          <w:sz w:val="22"/>
          <w:szCs w:val="22"/>
        </w:rPr>
        <w:t xml:space="preserve">converted </w:t>
      </w:r>
      <w:r w:rsidRPr="008E64AC">
        <w:rPr>
          <w:rFonts w:asciiTheme="minorHAnsi" w:eastAsia="MS PGothic" w:hAnsiTheme="minorHAnsi"/>
          <w:color w:val="000000"/>
          <w:sz w:val="22"/>
          <w:szCs w:val="22"/>
        </w:rPr>
        <w:t>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w:t>
      </w:r>
      <w:r w:rsidR="00142154" w:rsidRPr="008E64AC">
        <w:rPr>
          <w:rFonts w:asciiTheme="minorHAnsi" w:eastAsia="MS PGothic" w:hAnsiTheme="minorHAnsi"/>
          <w:color w:val="000000"/>
          <w:sz w:val="22"/>
          <w:szCs w:val="22"/>
        </w:rPr>
        <w:t xml:space="preserve"> (</w:t>
      </w:r>
      <w:r w:rsidR="00142154" w:rsidRPr="008E64AC">
        <w:rPr>
          <w:rFonts w:asciiTheme="minorHAnsi" w:eastAsia="MS PGothic" w:hAnsiTheme="minorHAnsi"/>
          <w:i/>
          <w:color w:val="000000"/>
          <w:sz w:val="22"/>
          <w:szCs w:val="22"/>
        </w:rPr>
        <w:t>ii</w:t>
      </w:r>
      <w:r w:rsidR="00142154"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techno-economic data availability</w:t>
      </w:r>
      <w:r w:rsidR="00142154" w:rsidRPr="008E64AC">
        <w:rPr>
          <w:rFonts w:asciiTheme="minorHAnsi" w:eastAsia="MS PGothic" w:hAnsiTheme="minorHAnsi"/>
          <w:color w:val="000000"/>
          <w:sz w:val="22"/>
          <w:szCs w:val="22"/>
        </w:rPr>
        <w:t xml:space="preserve"> (productivity and costs)</w:t>
      </w:r>
      <w:r w:rsidRPr="008E64AC">
        <w:rPr>
          <w:rFonts w:asciiTheme="minorHAnsi" w:eastAsia="MS PGothic" w:hAnsiTheme="minorHAnsi"/>
          <w:color w:val="000000"/>
          <w:sz w:val="22"/>
          <w:szCs w:val="22"/>
        </w:rPr>
        <w:t>;</w:t>
      </w:r>
      <w:r w:rsidR="00142154" w:rsidRPr="008E64AC">
        <w:rPr>
          <w:rFonts w:asciiTheme="minorHAnsi" w:eastAsia="MS PGothic" w:hAnsiTheme="minorHAnsi"/>
          <w:color w:val="000000"/>
          <w:sz w:val="22"/>
          <w:szCs w:val="22"/>
        </w:rPr>
        <w:t xml:space="preserve"> (</w:t>
      </w:r>
      <w:r w:rsidR="00142154" w:rsidRPr="008E64AC">
        <w:rPr>
          <w:rFonts w:asciiTheme="minorHAnsi" w:eastAsia="MS PGothic" w:hAnsiTheme="minorHAnsi"/>
          <w:i/>
          <w:color w:val="000000"/>
          <w:sz w:val="22"/>
          <w:szCs w:val="22"/>
        </w:rPr>
        <w:t>iii</w:t>
      </w:r>
      <w:r w:rsidR="00142154" w:rsidRPr="008E64AC">
        <w:rPr>
          <w:rFonts w:asciiTheme="minorHAnsi" w:eastAsia="MS PGothic" w:hAnsiTheme="minorHAnsi"/>
          <w:color w:val="000000"/>
          <w:sz w:val="22"/>
          <w:szCs w:val="22"/>
        </w:rPr>
        <w:t xml:space="preserve">) </w:t>
      </w:r>
      <w:r w:rsidR="008E64AC" w:rsidRPr="008E64AC">
        <w:rPr>
          <w:rFonts w:asciiTheme="minorHAnsi" w:eastAsia="MS PGothic" w:hAnsiTheme="minorHAnsi"/>
          <w:color w:val="000000"/>
          <w:sz w:val="22"/>
          <w:szCs w:val="22"/>
        </w:rPr>
        <w:t>environmentally promising</w:t>
      </w:r>
      <w:r w:rsidRPr="008E64AC">
        <w:rPr>
          <w:rFonts w:asciiTheme="minorHAnsi" w:eastAsia="MS PGothic" w:hAnsiTheme="minorHAnsi"/>
          <w:color w:val="000000"/>
          <w:sz w:val="22"/>
          <w:szCs w:val="22"/>
        </w:rPr>
        <w:t xml:space="preserve"> </w:t>
      </w:r>
      <w:r w:rsidR="00B73001" w:rsidRPr="008E64AC">
        <w:rPr>
          <w:rFonts w:asciiTheme="minorHAnsi" w:eastAsia="MS PGothic" w:hAnsiTheme="minorHAnsi"/>
          <w:color w:val="000000"/>
          <w:sz w:val="22"/>
          <w:szCs w:val="22"/>
        </w:rPr>
        <w:t>(</w:t>
      </w:r>
      <w:r w:rsidRPr="008E64AC">
        <w:rPr>
          <w:rFonts w:asciiTheme="minorHAnsi" w:eastAsia="MS PGothic" w:hAnsiTheme="minorHAnsi"/>
          <w:color w:val="000000"/>
          <w:sz w:val="22"/>
          <w:szCs w:val="22"/>
        </w:rPr>
        <w:t>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emissions lower than consumption</w:t>
      </w:r>
      <w:r w:rsidR="00B73001" w:rsidRPr="008E64AC">
        <w:rPr>
          <w:rFonts w:asciiTheme="minorHAnsi" w:eastAsia="MS PGothic" w:hAnsiTheme="minorHAnsi"/>
          <w:color w:val="000000"/>
          <w:sz w:val="22"/>
          <w:szCs w:val="22"/>
        </w:rPr>
        <w:t>)</w:t>
      </w:r>
      <w:r w:rsidRPr="008E64AC">
        <w:rPr>
          <w:rFonts w:asciiTheme="minorHAnsi" w:eastAsia="MS PGothic" w:hAnsiTheme="minorHAnsi"/>
          <w:color w:val="000000"/>
          <w:sz w:val="22"/>
          <w:szCs w:val="22"/>
        </w:rPr>
        <w:t>;</w:t>
      </w:r>
      <w:r w:rsidR="00B73001" w:rsidRPr="008E64AC">
        <w:rPr>
          <w:rFonts w:asciiTheme="minorHAnsi" w:eastAsia="MS PGothic" w:hAnsiTheme="minorHAnsi"/>
          <w:color w:val="000000"/>
          <w:sz w:val="22"/>
          <w:szCs w:val="22"/>
        </w:rPr>
        <w:t xml:space="preserve"> </w:t>
      </w:r>
      <w:r w:rsidR="00142154" w:rsidRPr="008E64AC">
        <w:rPr>
          <w:rFonts w:asciiTheme="minorHAnsi" w:eastAsia="MS PGothic" w:hAnsiTheme="minorHAnsi"/>
          <w:color w:val="000000"/>
          <w:sz w:val="22"/>
          <w:szCs w:val="22"/>
        </w:rPr>
        <w:t>(</w:t>
      </w:r>
      <w:r w:rsidR="00142154" w:rsidRPr="008E64AC">
        <w:rPr>
          <w:rFonts w:asciiTheme="minorHAnsi" w:eastAsia="MS PGothic" w:hAnsiTheme="minorHAnsi"/>
          <w:i/>
          <w:color w:val="000000"/>
          <w:sz w:val="22"/>
          <w:szCs w:val="22"/>
        </w:rPr>
        <w:t>iv</w:t>
      </w:r>
      <w:r w:rsidR="00142154" w:rsidRPr="008E64AC">
        <w:rPr>
          <w:rFonts w:asciiTheme="minorHAnsi" w:eastAsia="MS PGothic" w:hAnsiTheme="minorHAnsi"/>
          <w:color w:val="000000"/>
          <w:sz w:val="22"/>
          <w:szCs w:val="22"/>
        </w:rPr>
        <w:t>)</w:t>
      </w:r>
      <w:r w:rsidR="00B73001" w:rsidRPr="008E64AC">
        <w:rPr>
          <w:rFonts w:asciiTheme="minorHAnsi" w:eastAsia="MS PGothic" w:hAnsiTheme="minorHAnsi"/>
          <w:color w:val="000000"/>
          <w:sz w:val="22"/>
          <w:szCs w:val="22"/>
        </w:rPr>
        <w:t xml:space="preserve"> </w:t>
      </w:r>
      <w:r w:rsidR="008E64AC" w:rsidRPr="008E64AC">
        <w:rPr>
          <w:rFonts w:asciiTheme="minorHAnsi" w:eastAsia="MS PGothic" w:hAnsiTheme="minorHAnsi"/>
          <w:color w:val="000000"/>
          <w:sz w:val="22"/>
          <w:szCs w:val="22"/>
        </w:rPr>
        <w:t>current technology</w:t>
      </w:r>
      <w:r w:rsidR="007D6020">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economically promising</w:t>
      </w:r>
      <w:r w:rsidR="00B73001"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 xml:space="preserve">the conversion process must </w:t>
      </w:r>
      <w:r w:rsidR="002D4997" w:rsidRPr="008E64AC">
        <w:rPr>
          <w:rFonts w:asciiTheme="minorHAnsi" w:eastAsia="MS PGothic" w:hAnsiTheme="minorHAnsi"/>
          <w:color w:val="000000"/>
          <w:sz w:val="22"/>
          <w:szCs w:val="22"/>
        </w:rPr>
        <w:t>generate</w:t>
      </w:r>
      <w:r w:rsidRPr="008E64AC">
        <w:rPr>
          <w:rFonts w:asciiTheme="minorHAnsi" w:eastAsia="MS PGothic" w:hAnsiTheme="minorHAnsi"/>
          <w:color w:val="000000"/>
          <w:sz w:val="22"/>
          <w:szCs w:val="22"/>
        </w:rPr>
        <w:t xml:space="preserve"> a profit</w:t>
      </w:r>
      <w:r w:rsidR="00B73001" w:rsidRPr="008E64AC">
        <w:rPr>
          <w:rFonts w:asciiTheme="minorHAnsi" w:eastAsia="MS PGothic" w:hAnsiTheme="minorHAnsi"/>
          <w:color w:val="000000"/>
          <w:sz w:val="22"/>
          <w:szCs w:val="22"/>
        </w:rPr>
        <w:t>)</w:t>
      </w:r>
      <w:r w:rsidRPr="008E64AC">
        <w:rPr>
          <w:rFonts w:asciiTheme="minorHAnsi" w:eastAsia="MS PGothic" w:hAnsiTheme="minorHAnsi"/>
          <w:color w:val="000000"/>
          <w:sz w:val="22"/>
          <w:szCs w:val="22"/>
        </w:rPr>
        <w:t>.</w:t>
      </w:r>
      <w:r w:rsidR="00142154"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 xml:space="preserve">As a result, set </w:t>
      </w:r>
      <w:r w:rsidRPr="008E64AC">
        <w:rPr>
          <w:rFonts w:asciiTheme="minorHAnsi" w:eastAsia="MS PGothic" w:hAnsiTheme="minorHAnsi"/>
          <w:i/>
          <w:color w:val="000000"/>
          <w:sz w:val="22"/>
          <w:szCs w:val="22"/>
        </w:rPr>
        <w:t>c</w:t>
      </w:r>
      <w:r w:rsidRPr="008E64AC">
        <w:rPr>
          <w:rFonts w:asciiTheme="minorHAnsi" w:eastAsia="MS PGothic" w:hAnsiTheme="minorHAnsi"/>
          <w:color w:val="000000"/>
          <w:sz w:val="22"/>
          <w:szCs w:val="22"/>
        </w:rPr>
        <w:t xml:space="preserve"> = {PP</w:t>
      </w:r>
      <w:r w:rsidR="00142154" w:rsidRPr="008E64AC">
        <w:rPr>
          <w:rFonts w:asciiTheme="minorHAnsi" w:eastAsia="MS PGothic" w:hAnsiTheme="minorHAnsi"/>
          <w:color w:val="000000"/>
          <w:sz w:val="22"/>
          <w:szCs w:val="22"/>
        </w:rPr>
        <w:t>P, MeOH}.</w:t>
      </w:r>
    </w:p>
    <w:p w14:paraId="04745EBF" w14:textId="77777777" w:rsidR="00B73001" w:rsidRPr="008E64AC" w:rsidRDefault="00704BDF" w:rsidP="00704BDF">
      <w:pPr>
        <w:snapToGrid w:val="0"/>
        <w:spacing w:before="240" w:line="300" w:lineRule="auto"/>
        <w:rPr>
          <w:rFonts w:asciiTheme="minorHAnsi" w:eastAsia="MS PGothic" w:hAnsiTheme="minorHAnsi"/>
          <w:b/>
          <w:bCs/>
          <w:color w:val="000000"/>
          <w:sz w:val="22"/>
          <w:szCs w:val="22"/>
        </w:rPr>
      </w:pPr>
      <w:r w:rsidRPr="008E64AC">
        <w:rPr>
          <w:rFonts w:asciiTheme="minorHAnsi" w:eastAsia="MS PGothic" w:hAnsiTheme="minorHAnsi"/>
          <w:b/>
          <w:bCs/>
          <w:color w:val="000000"/>
          <w:sz w:val="22"/>
          <w:szCs w:val="22"/>
        </w:rPr>
        <w:t>3. Results and discussion</w:t>
      </w:r>
    </w:p>
    <w:p w14:paraId="7F6387EB" w14:textId="77777777" w:rsidR="00704BDF" w:rsidRPr="008E64AC" w:rsidRDefault="00184A3A" w:rsidP="00184A3A">
      <w:pPr>
        <w:snapToGrid w:val="0"/>
        <w:spacing w:after="120"/>
        <w:rPr>
          <w:rFonts w:asciiTheme="minorHAnsi" w:eastAsia="MS PGothic" w:hAnsiTheme="minorHAnsi"/>
          <w:color w:val="000000"/>
          <w:sz w:val="22"/>
          <w:szCs w:val="22"/>
        </w:rPr>
      </w:pPr>
      <w:r w:rsidRPr="008E64AC">
        <w:rPr>
          <w:rFonts w:asciiTheme="minorHAnsi" w:eastAsia="MS PGothic" w:hAnsiTheme="minorHAnsi"/>
          <w:color w:val="000000"/>
          <w:sz w:val="22"/>
          <w:szCs w:val="22"/>
        </w:rPr>
        <w:t>The CCUS model was optimised using the GAMS CPLEX s</w:t>
      </w:r>
      <w:r w:rsidR="005F6F8C" w:rsidRPr="008E64AC">
        <w:rPr>
          <w:rFonts w:asciiTheme="minorHAnsi" w:eastAsia="MS PGothic" w:hAnsiTheme="minorHAnsi"/>
          <w:color w:val="000000"/>
          <w:sz w:val="22"/>
          <w:szCs w:val="22"/>
        </w:rPr>
        <w:t xml:space="preserve">olver on a 16GB RAM </w:t>
      </w:r>
      <w:r w:rsidR="00B73001" w:rsidRPr="008E64AC">
        <w:rPr>
          <w:rFonts w:asciiTheme="minorHAnsi" w:eastAsia="MS PGothic" w:hAnsiTheme="minorHAnsi"/>
          <w:color w:val="000000"/>
          <w:sz w:val="22"/>
          <w:szCs w:val="22"/>
        </w:rPr>
        <w:t>pc</w:t>
      </w:r>
      <w:r w:rsidR="005F6F8C" w:rsidRPr="008E64AC">
        <w:rPr>
          <w:rFonts w:asciiTheme="minorHAnsi" w:eastAsia="MS PGothic" w:hAnsiTheme="minorHAnsi"/>
          <w:color w:val="000000"/>
          <w:sz w:val="22"/>
          <w:szCs w:val="22"/>
        </w:rPr>
        <w:t xml:space="preserve"> in 27</w:t>
      </w:r>
      <w:r w:rsidRPr="008E64AC">
        <w:rPr>
          <w:rFonts w:asciiTheme="minorHAnsi" w:eastAsia="MS PGothic" w:hAnsiTheme="minorHAnsi"/>
          <w:color w:val="000000"/>
          <w:sz w:val="22"/>
          <w:szCs w:val="22"/>
        </w:rPr>
        <w:t xml:space="preserve">h (optimality gap &lt;1%). </w:t>
      </w:r>
      <w:r w:rsidR="00B73001" w:rsidRPr="008E64AC">
        <w:rPr>
          <w:rFonts w:asciiTheme="minorHAnsi" w:eastAsia="MS PGothic" w:hAnsiTheme="minorHAnsi"/>
          <w:color w:val="000000"/>
          <w:sz w:val="22"/>
          <w:szCs w:val="22"/>
        </w:rPr>
        <w:t>As reference case, r</w:t>
      </w:r>
      <w:r w:rsidRPr="008E64AC">
        <w:rPr>
          <w:rFonts w:asciiTheme="minorHAnsi" w:eastAsia="MS PGothic" w:hAnsiTheme="minorHAnsi"/>
          <w:color w:val="000000"/>
          <w:sz w:val="22"/>
          <w:szCs w:val="22"/>
        </w:rPr>
        <w:t xml:space="preserve">esults from </w:t>
      </w:r>
      <w:r w:rsidR="007170A0" w:rsidRPr="008E64AC">
        <w:rPr>
          <w:rFonts w:asciiTheme="minorHAnsi" w:eastAsia="MS PGothic" w:hAnsiTheme="minorHAnsi"/>
          <w:color w:val="000000"/>
          <w:sz w:val="22"/>
          <w:szCs w:val="22"/>
        </w:rPr>
        <w:t>[3]</w:t>
      </w:r>
      <w:r w:rsidRPr="008E64AC">
        <w:rPr>
          <w:rFonts w:asciiTheme="minorHAnsi" w:eastAsia="MS PGothic" w:hAnsiTheme="minorHAnsi"/>
          <w:color w:val="000000"/>
          <w:sz w:val="22"/>
          <w:szCs w:val="22"/>
        </w:rPr>
        <w:t xml:space="preserve"> </w:t>
      </w:r>
      <w:r w:rsidR="00B73001" w:rsidRPr="008E64AC">
        <w:rPr>
          <w:rFonts w:asciiTheme="minorHAnsi" w:eastAsia="MS PGothic" w:hAnsiTheme="minorHAnsi"/>
          <w:color w:val="000000"/>
          <w:sz w:val="22"/>
          <w:szCs w:val="22"/>
        </w:rPr>
        <w:t>of</w:t>
      </w:r>
      <w:r w:rsidRPr="008E64AC">
        <w:rPr>
          <w:rFonts w:asciiTheme="minorHAnsi" w:eastAsia="MS PGothic" w:hAnsiTheme="minorHAnsi"/>
          <w:color w:val="000000"/>
          <w:sz w:val="22"/>
          <w:szCs w:val="22"/>
        </w:rPr>
        <w:t xml:space="preserve"> the optimal CCS network are reported (Scenario 0). </w:t>
      </w:r>
      <w:r w:rsidRPr="008E64AC">
        <w:rPr>
          <w:rFonts w:asciiTheme="minorHAnsi" w:eastAsia="MS PGothic" w:hAnsiTheme="minorHAnsi"/>
          <w:color w:val="000000"/>
          <w:sz w:val="22"/>
          <w:szCs w:val="22"/>
        </w:rPr>
        <w:lastRenderedPageBreak/>
        <w:t xml:space="preserve">The CCUS </w:t>
      </w:r>
      <w:r w:rsidR="00B73001" w:rsidRPr="008E64AC">
        <w:rPr>
          <w:rFonts w:asciiTheme="minorHAnsi" w:eastAsia="MS PGothic" w:hAnsiTheme="minorHAnsi"/>
          <w:color w:val="000000"/>
          <w:sz w:val="22"/>
          <w:szCs w:val="22"/>
        </w:rPr>
        <w:t>system</w:t>
      </w:r>
      <w:r w:rsidRPr="008E64AC">
        <w:rPr>
          <w:rFonts w:asciiTheme="minorHAnsi" w:eastAsia="MS PGothic" w:hAnsiTheme="minorHAnsi"/>
          <w:color w:val="000000"/>
          <w:sz w:val="22"/>
          <w:szCs w:val="22"/>
        </w:rPr>
        <w:t xml:space="preserve"> (Scenario A) is optimised according to the selection of a reduction target of 43% of European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emissions from large stationary sources</w:t>
      </w:r>
      <w:r w:rsidR="00632F8A" w:rsidRPr="008E64AC">
        <w:rPr>
          <w:rFonts w:asciiTheme="minorHAnsi" w:eastAsia="MS PGothic" w:hAnsiTheme="minorHAnsi"/>
          <w:color w:val="000000"/>
          <w:sz w:val="22"/>
          <w:szCs w:val="22"/>
        </w:rPr>
        <w:t xml:space="preserve"> (consistent with</w:t>
      </w:r>
      <w:r w:rsidRPr="008E64AC">
        <w:rPr>
          <w:rFonts w:asciiTheme="minorHAnsi" w:eastAsia="MS PGothic" w:hAnsiTheme="minorHAnsi"/>
          <w:color w:val="000000"/>
          <w:sz w:val="22"/>
          <w:szCs w:val="22"/>
        </w:rPr>
        <w:t xml:space="preserve"> </w:t>
      </w:r>
      <w:r w:rsidR="007170A0" w:rsidRPr="008E64AC">
        <w:rPr>
          <w:rFonts w:asciiTheme="minorHAnsi" w:eastAsia="MS PGothic" w:hAnsiTheme="minorHAnsi"/>
          <w:color w:val="000000"/>
          <w:sz w:val="22"/>
          <w:szCs w:val="22"/>
        </w:rPr>
        <w:t>[5]</w:t>
      </w:r>
      <w:r w:rsidR="00632F8A" w:rsidRPr="008E64AC">
        <w:rPr>
          <w:rFonts w:asciiTheme="minorHAnsi" w:eastAsia="MS PGothic" w:hAnsiTheme="minorHAnsi"/>
          <w:color w:val="000000"/>
          <w:sz w:val="22"/>
          <w:szCs w:val="22"/>
        </w:rPr>
        <w:t>), and</w:t>
      </w:r>
      <w:r w:rsidRPr="008E64AC">
        <w:rPr>
          <w:rFonts w:asciiTheme="minorHAnsi" w:eastAsia="MS PGothic" w:hAnsiTheme="minorHAnsi"/>
          <w:color w:val="000000"/>
          <w:sz w:val="22"/>
          <w:szCs w:val="22"/>
        </w:rPr>
        <w:t xml:space="preserve"> impos</w:t>
      </w:r>
      <w:r w:rsidR="00632F8A" w:rsidRPr="008E64AC">
        <w:rPr>
          <w:rFonts w:asciiTheme="minorHAnsi" w:eastAsia="MS PGothic" w:hAnsiTheme="minorHAnsi"/>
          <w:color w:val="000000"/>
          <w:sz w:val="22"/>
          <w:szCs w:val="22"/>
        </w:rPr>
        <w:t>ing</w:t>
      </w:r>
      <w:r w:rsidRPr="008E64AC">
        <w:rPr>
          <w:rFonts w:asciiTheme="minorHAnsi" w:eastAsia="MS PGothic" w:hAnsiTheme="minorHAnsi"/>
          <w:color w:val="000000"/>
          <w:sz w:val="22"/>
          <w:szCs w:val="22"/>
        </w:rPr>
        <w:t xml:space="preserve"> to satisfy the current European production of PPP and MeOH. </w:t>
      </w:r>
      <w:r w:rsidR="005F6F8C" w:rsidRPr="008E64AC">
        <w:rPr>
          <w:rFonts w:asciiTheme="minorHAnsi" w:eastAsia="MS PGothic" w:hAnsiTheme="minorHAnsi"/>
          <w:color w:val="000000"/>
          <w:sz w:val="22"/>
          <w:szCs w:val="22"/>
        </w:rPr>
        <w:t>As a result, the SC</w:t>
      </w:r>
      <w:r w:rsidRPr="008E64AC">
        <w:rPr>
          <w:rFonts w:asciiTheme="minorHAnsi" w:eastAsia="MS PGothic" w:hAnsiTheme="minorHAnsi"/>
          <w:color w:val="000000"/>
          <w:sz w:val="22"/>
          <w:szCs w:val="22"/>
        </w:rPr>
        <w:t xml:space="preserve"> entails a total cost </w:t>
      </w:r>
      <w:r w:rsidRPr="008E64AC">
        <w:rPr>
          <w:rFonts w:asciiTheme="minorHAnsi" w:eastAsia="MS PGothic" w:hAnsiTheme="minorHAnsi"/>
          <w:i/>
          <w:color w:val="000000"/>
          <w:sz w:val="22"/>
          <w:szCs w:val="22"/>
        </w:rPr>
        <w:t>TC</w:t>
      </w:r>
      <w:r w:rsidRPr="008E64AC">
        <w:rPr>
          <w:rFonts w:asciiTheme="minorHAnsi" w:eastAsia="MS PGothic" w:hAnsiTheme="minorHAnsi"/>
          <w:color w:val="000000"/>
          <w:sz w:val="22"/>
          <w:szCs w:val="22"/>
        </w:rPr>
        <w:t xml:space="preserve"> for installing and operating the CCUS network that is reduced by 5.5% with respect to Scenario 0</w:t>
      </w:r>
      <w:r w:rsidR="00632F8A" w:rsidRPr="008E64AC">
        <w:rPr>
          <w:rFonts w:asciiTheme="minorHAnsi" w:eastAsia="MS PGothic" w:hAnsiTheme="minorHAnsi"/>
          <w:color w:val="000000"/>
          <w:sz w:val="22"/>
          <w:szCs w:val="22"/>
        </w:rPr>
        <w:t xml:space="preserve">, because </w:t>
      </w:r>
      <w:r w:rsidRPr="008E64AC">
        <w:rPr>
          <w:rFonts w:asciiTheme="minorHAnsi" w:eastAsia="MS PGothic" w:hAnsiTheme="minorHAnsi"/>
          <w:color w:val="000000"/>
          <w:sz w:val="22"/>
          <w:szCs w:val="22"/>
        </w:rPr>
        <w:t>the introduction of chemical conversion brings in some revenues (</w:t>
      </w:r>
      <w:r w:rsidR="00632F8A" w:rsidRPr="008E64AC">
        <w:rPr>
          <w:rFonts w:asciiTheme="minorHAnsi" w:eastAsia="MS PGothic" w:hAnsiTheme="minorHAnsi"/>
          <w:color w:val="000000"/>
          <w:sz w:val="22"/>
          <w:szCs w:val="22"/>
        </w:rPr>
        <w:t xml:space="preserve">with a </w:t>
      </w:r>
      <w:r w:rsidRPr="008E64AC">
        <w:rPr>
          <w:rFonts w:asciiTheme="minorHAnsi" w:eastAsia="MS PGothic" w:hAnsiTheme="minorHAnsi"/>
          <w:color w:val="000000"/>
          <w:sz w:val="22"/>
          <w:szCs w:val="22"/>
        </w:rPr>
        <w:t>profit</w:t>
      </w:r>
      <w:r w:rsidR="005F6F8C" w:rsidRPr="008E64AC">
        <w:rPr>
          <w:rFonts w:asciiTheme="minorHAnsi" w:eastAsia="MS PGothic" w:hAnsiTheme="minorHAnsi"/>
          <w:color w:val="000000"/>
          <w:sz w:val="22"/>
          <w:szCs w:val="22"/>
        </w:rPr>
        <w:t xml:space="preserve"> equal to 1.57</w:t>
      </w:r>
      <w:r w:rsidRPr="008E64AC">
        <w:rPr>
          <w:rFonts w:asciiTheme="minorHAnsi" w:eastAsia="MS PGothic" w:hAnsiTheme="minorHAnsi"/>
          <w:color w:val="000000"/>
          <w:sz w:val="22"/>
          <w:szCs w:val="22"/>
        </w:rPr>
        <w:t>€/t). Conversely, the chemical conversion of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allows just a slight reduction of 0.7% of total capture costs</w:t>
      </w:r>
      <w:r w:rsidR="005F6F8C" w:rsidRPr="008E64AC">
        <w:rPr>
          <w:rFonts w:asciiTheme="minorHAnsi" w:eastAsia="MS PGothic" w:hAnsiTheme="minorHAnsi"/>
          <w:color w:val="000000"/>
          <w:sz w:val="22"/>
          <w:szCs w:val="22"/>
        </w:rPr>
        <w:t xml:space="preserve"> </w:t>
      </w:r>
      <w:r w:rsidR="005F6F8C" w:rsidRPr="008E64AC">
        <w:rPr>
          <w:rFonts w:asciiTheme="minorHAnsi" w:eastAsia="MS PGothic" w:hAnsiTheme="minorHAnsi"/>
          <w:i/>
          <w:color w:val="000000"/>
          <w:sz w:val="22"/>
          <w:szCs w:val="22"/>
        </w:rPr>
        <w:t>TCC</w:t>
      </w:r>
      <w:r w:rsidR="005F6F8C" w:rsidRPr="008E64AC">
        <w:rPr>
          <w:rFonts w:asciiTheme="minorHAnsi" w:eastAsia="MS PGothic" w:hAnsiTheme="minorHAnsi"/>
          <w:color w:val="000000"/>
          <w:sz w:val="22"/>
          <w:szCs w:val="22"/>
        </w:rPr>
        <w:t>, which decrease from 30.93€/t (Scenario 0) down to 30.72</w:t>
      </w:r>
      <w:r w:rsidRPr="008E64AC">
        <w:rPr>
          <w:rFonts w:asciiTheme="minorHAnsi" w:eastAsia="MS PGothic" w:hAnsiTheme="minorHAnsi"/>
          <w:color w:val="000000"/>
          <w:sz w:val="22"/>
          <w:szCs w:val="22"/>
        </w:rPr>
        <w:t xml:space="preserve">€/t (Scenario A). </w:t>
      </w:r>
      <w:r w:rsidR="005F6F8C" w:rsidRPr="008E64AC">
        <w:rPr>
          <w:rFonts w:asciiTheme="minorHAnsi" w:eastAsia="MS PGothic" w:hAnsiTheme="minorHAnsi"/>
          <w:color w:val="000000"/>
          <w:sz w:val="22"/>
          <w:szCs w:val="22"/>
        </w:rPr>
        <w:t>T</w:t>
      </w:r>
      <w:r w:rsidRPr="008E64AC">
        <w:rPr>
          <w:rFonts w:asciiTheme="minorHAnsi" w:eastAsia="MS PGothic" w:hAnsiTheme="minorHAnsi"/>
          <w:color w:val="000000"/>
          <w:sz w:val="22"/>
          <w:szCs w:val="22"/>
        </w:rPr>
        <w:t xml:space="preserve">he total transport cost </w:t>
      </w:r>
      <w:r w:rsidRPr="008E64AC">
        <w:rPr>
          <w:rFonts w:asciiTheme="minorHAnsi" w:eastAsia="MS PGothic" w:hAnsiTheme="minorHAnsi"/>
          <w:i/>
          <w:color w:val="000000"/>
          <w:sz w:val="22"/>
          <w:szCs w:val="22"/>
        </w:rPr>
        <w:t>TTC</w:t>
      </w:r>
      <w:r w:rsidR="005F6F8C" w:rsidRPr="008E64AC">
        <w:rPr>
          <w:rFonts w:asciiTheme="minorHAnsi" w:eastAsia="MS PGothic" w:hAnsiTheme="minorHAnsi"/>
          <w:color w:val="000000"/>
          <w:sz w:val="22"/>
          <w:szCs w:val="22"/>
        </w:rPr>
        <w:t xml:space="preserve"> slightly varies from 1.96€/t (Scenario 0) to 1.90</w:t>
      </w:r>
      <w:r w:rsidRPr="008E64AC">
        <w:rPr>
          <w:rFonts w:asciiTheme="minorHAnsi" w:eastAsia="MS PGothic" w:hAnsiTheme="minorHAnsi"/>
          <w:color w:val="000000"/>
          <w:sz w:val="22"/>
          <w:szCs w:val="22"/>
        </w:rPr>
        <w:t xml:space="preserve">€/t (Scenario A). </w:t>
      </w:r>
      <w:r w:rsidR="005F6F8C" w:rsidRPr="008E64AC">
        <w:rPr>
          <w:rFonts w:asciiTheme="minorHAnsi" w:eastAsia="MS PGothic" w:hAnsiTheme="minorHAnsi"/>
          <w:color w:val="000000"/>
          <w:sz w:val="22"/>
          <w:szCs w:val="22"/>
        </w:rPr>
        <w:t xml:space="preserve">Despite a </w:t>
      </w:r>
      <w:r w:rsidR="00632F8A" w:rsidRPr="008E64AC">
        <w:rPr>
          <w:rFonts w:asciiTheme="minorHAnsi" w:eastAsia="MS PGothic" w:hAnsiTheme="minorHAnsi"/>
          <w:color w:val="000000"/>
          <w:sz w:val="22"/>
          <w:szCs w:val="22"/>
        </w:rPr>
        <w:t>small</w:t>
      </w:r>
      <w:r w:rsidR="005F6F8C" w:rsidRPr="008E64AC">
        <w:rPr>
          <w:rFonts w:asciiTheme="minorHAnsi" w:eastAsia="MS PGothic" w:hAnsiTheme="minorHAnsi"/>
          <w:color w:val="000000"/>
          <w:sz w:val="22"/>
          <w:szCs w:val="22"/>
        </w:rPr>
        <w:t xml:space="preserve"> decrease in the</w:t>
      </w:r>
      <w:r w:rsidRPr="008E64AC">
        <w:rPr>
          <w:rFonts w:asciiTheme="minorHAnsi" w:eastAsia="MS PGothic" w:hAnsiTheme="minorHAnsi"/>
          <w:color w:val="000000"/>
          <w:sz w:val="22"/>
          <w:szCs w:val="22"/>
        </w:rPr>
        <w:t xml:space="preserve"> exploitation of geological storage (i.e., -1.44%)</w:t>
      </w:r>
      <w:r w:rsidR="005F6F8C" w:rsidRPr="008E64AC">
        <w:rPr>
          <w:rFonts w:asciiTheme="minorHAnsi" w:eastAsia="MS PGothic" w:hAnsiTheme="minorHAnsi"/>
          <w:color w:val="000000"/>
          <w:sz w:val="22"/>
          <w:szCs w:val="22"/>
        </w:rPr>
        <w:t>, t</w:t>
      </w:r>
      <w:r w:rsidRPr="008E64AC">
        <w:rPr>
          <w:rFonts w:asciiTheme="minorHAnsi" w:eastAsia="MS PGothic" w:hAnsiTheme="minorHAnsi"/>
          <w:color w:val="000000"/>
          <w:sz w:val="22"/>
          <w:szCs w:val="22"/>
        </w:rPr>
        <w:t xml:space="preserve">otal sequestration costs </w:t>
      </w:r>
      <w:r w:rsidRPr="008E64AC">
        <w:rPr>
          <w:rFonts w:asciiTheme="minorHAnsi" w:eastAsia="MS PGothic" w:hAnsiTheme="minorHAnsi"/>
          <w:i/>
          <w:color w:val="000000"/>
          <w:sz w:val="22"/>
          <w:szCs w:val="22"/>
        </w:rPr>
        <w:t>TSC</w:t>
      </w:r>
      <w:r w:rsidRPr="008E64AC">
        <w:rPr>
          <w:rFonts w:asciiTheme="minorHAnsi" w:eastAsia="MS PGothic" w:hAnsiTheme="minorHAnsi"/>
          <w:color w:val="000000"/>
          <w:sz w:val="22"/>
          <w:szCs w:val="22"/>
        </w:rPr>
        <w:t xml:space="preserve"> are unchanged between </w:t>
      </w:r>
      <w:r w:rsidR="005F6F8C" w:rsidRPr="008E64AC">
        <w:rPr>
          <w:rFonts w:asciiTheme="minorHAnsi" w:eastAsia="MS PGothic" w:hAnsiTheme="minorHAnsi"/>
          <w:color w:val="000000"/>
          <w:sz w:val="22"/>
          <w:szCs w:val="22"/>
        </w:rPr>
        <w:t>Scenario 0 and Scenario A (0.47€/t and 0.46</w:t>
      </w:r>
      <w:r w:rsidRPr="008E64AC">
        <w:rPr>
          <w:rFonts w:asciiTheme="minorHAnsi" w:eastAsia="MS PGothic" w:hAnsiTheme="minorHAnsi"/>
          <w:color w:val="000000"/>
          <w:sz w:val="22"/>
          <w:szCs w:val="22"/>
        </w:rPr>
        <w:t>€/t, respectively). In terms of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emission reduction, the net impact of utilisation amounts to 0.58% of the overall captured amount (</w:t>
      </w:r>
      <w:r w:rsidR="002F0BBA" w:rsidRPr="008E64AC">
        <w:rPr>
          <w:rFonts w:asciiTheme="minorHAnsi" w:eastAsia="MS PGothic" w:hAnsiTheme="minorHAnsi"/>
          <w:color w:val="000000"/>
          <w:sz w:val="22"/>
          <w:szCs w:val="22"/>
        </w:rPr>
        <w:t>comparable with</w:t>
      </w:r>
      <w:r w:rsidR="007170A0" w:rsidRPr="008E64AC">
        <w:rPr>
          <w:rFonts w:asciiTheme="minorHAnsi" w:eastAsia="MS PGothic" w:hAnsiTheme="minorHAnsi"/>
          <w:color w:val="000000"/>
          <w:sz w:val="22"/>
          <w:szCs w:val="22"/>
        </w:rPr>
        <w:t xml:space="preserve"> [2]</w:t>
      </w:r>
      <w:r w:rsidRPr="008E64AC">
        <w:rPr>
          <w:rFonts w:asciiTheme="minorHAnsi" w:eastAsia="MS PGothic" w:hAnsiTheme="minorHAnsi"/>
          <w:color w:val="000000"/>
          <w:sz w:val="22"/>
          <w:szCs w:val="22"/>
        </w:rPr>
        <w:t>). It can be observed that the SC configuration is nearly identical</w:t>
      </w:r>
      <w:r w:rsidR="005F6F8C" w:rsidRPr="008E64AC">
        <w:rPr>
          <w:rFonts w:asciiTheme="minorHAnsi" w:eastAsia="MS PGothic" w:hAnsiTheme="minorHAnsi"/>
          <w:color w:val="000000"/>
          <w:sz w:val="22"/>
          <w:szCs w:val="22"/>
        </w:rPr>
        <w:t xml:space="preserve"> between Scenario 0 and A (Figure 1)</w:t>
      </w:r>
      <w:r w:rsidRPr="008E64AC">
        <w:rPr>
          <w:rFonts w:asciiTheme="minorHAnsi" w:eastAsia="MS PGothic" w:hAnsiTheme="minorHAnsi"/>
          <w:color w:val="000000"/>
          <w:sz w:val="22"/>
          <w:szCs w:val="22"/>
        </w:rPr>
        <w:t>.</w:t>
      </w:r>
      <w:r w:rsidR="008E64AC">
        <w:rPr>
          <w:rFonts w:asciiTheme="minorHAnsi" w:eastAsia="MS PGothic" w:hAnsiTheme="minorHAnsi"/>
          <w:color w:val="000000"/>
          <w:sz w:val="22"/>
          <w:szCs w:val="22"/>
        </w:rPr>
        <w:t xml:space="preserve"> Including utilis</w:t>
      </w:r>
      <w:r w:rsidR="002F0BBA" w:rsidRPr="008E64AC">
        <w:rPr>
          <w:rFonts w:asciiTheme="minorHAnsi" w:eastAsia="MS PGothic" w:hAnsiTheme="minorHAnsi"/>
          <w:color w:val="000000"/>
          <w:sz w:val="22"/>
          <w:szCs w:val="22"/>
        </w:rPr>
        <w:t>ation, c</w:t>
      </w:r>
      <w:r w:rsidRPr="008E64AC">
        <w:rPr>
          <w:rFonts w:asciiTheme="minorHAnsi" w:eastAsia="MS PGothic" w:hAnsiTheme="minorHAnsi"/>
          <w:color w:val="000000"/>
          <w:sz w:val="22"/>
          <w:szCs w:val="22"/>
        </w:rPr>
        <w:t>apture points do not change and the main driver to establish the transport system is still the location of the sequestration sites.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5F6F8C" w:rsidRPr="008E64AC" w14:paraId="1AA0188C" w14:textId="77777777" w:rsidTr="005F6F8C">
        <w:tc>
          <w:tcPr>
            <w:tcW w:w="4388" w:type="dxa"/>
          </w:tcPr>
          <w:p w14:paraId="28624DF7" w14:textId="77777777" w:rsidR="005F6F8C" w:rsidRPr="008E64AC" w:rsidRDefault="005F6F8C" w:rsidP="005F6F8C">
            <w:pPr>
              <w:snapToGrid w:val="0"/>
              <w:spacing w:line="240" w:lineRule="auto"/>
              <w:jc w:val="center"/>
              <w:rPr>
                <w:rFonts w:asciiTheme="minorHAnsi" w:eastAsia="MS PGothic" w:hAnsiTheme="minorHAnsi"/>
                <w:color w:val="000000"/>
              </w:rPr>
            </w:pPr>
            <w:r w:rsidRPr="008E64AC">
              <w:rPr>
                <w:rFonts w:ascii="Times New Roman" w:hAnsi="Times New Roman"/>
                <w:noProof/>
                <w:sz w:val="20"/>
                <w:lang w:val="it-IT" w:eastAsia="it-IT"/>
              </w:rPr>
              <w:drawing>
                <wp:inline distT="0" distB="0" distL="0" distR="0" wp14:anchorId="69C044ED" wp14:editId="102138D4">
                  <wp:extent cx="2595224" cy="248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224" cy="2484000"/>
                          </a:xfrm>
                          <a:prstGeom prst="rect">
                            <a:avLst/>
                          </a:prstGeom>
                          <a:noFill/>
                        </pic:spPr>
                      </pic:pic>
                    </a:graphicData>
                  </a:graphic>
                </wp:inline>
              </w:drawing>
            </w:r>
          </w:p>
        </w:tc>
        <w:tc>
          <w:tcPr>
            <w:tcW w:w="4389" w:type="dxa"/>
          </w:tcPr>
          <w:p w14:paraId="5E55BF7D" w14:textId="77777777" w:rsidR="005F6F8C" w:rsidRPr="008E64AC" w:rsidRDefault="005F6F8C" w:rsidP="005F6F8C">
            <w:pPr>
              <w:snapToGrid w:val="0"/>
              <w:spacing w:line="240" w:lineRule="auto"/>
              <w:jc w:val="center"/>
              <w:rPr>
                <w:rFonts w:asciiTheme="minorHAnsi" w:eastAsia="MS PGothic" w:hAnsiTheme="minorHAnsi"/>
                <w:color w:val="000000"/>
              </w:rPr>
            </w:pPr>
            <w:r w:rsidRPr="008E64AC">
              <w:rPr>
                <w:rFonts w:ascii="Times New Roman" w:hAnsi="Times New Roman"/>
                <w:noProof/>
                <w:sz w:val="20"/>
                <w:lang w:val="it-IT" w:eastAsia="it-IT"/>
              </w:rPr>
              <w:drawing>
                <wp:inline distT="0" distB="0" distL="0" distR="0" wp14:anchorId="658DD2BD" wp14:editId="0CDA7F92">
                  <wp:extent cx="2505600" cy="2505600"/>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5600" cy="2505600"/>
                          </a:xfrm>
                          <a:prstGeom prst="rect">
                            <a:avLst/>
                          </a:prstGeom>
                          <a:noFill/>
                        </pic:spPr>
                      </pic:pic>
                    </a:graphicData>
                  </a:graphic>
                </wp:inline>
              </w:drawing>
            </w:r>
          </w:p>
        </w:tc>
      </w:tr>
      <w:tr w:rsidR="005F6F8C" w:rsidRPr="008E64AC" w14:paraId="7F7A1C3D" w14:textId="77777777" w:rsidTr="005F6F8C">
        <w:tc>
          <w:tcPr>
            <w:tcW w:w="4388" w:type="dxa"/>
          </w:tcPr>
          <w:p w14:paraId="0ADA6930" w14:textId="77777777" w:rsidR="005F6F8C" w:rsidRPr="008E64AC" w:rsidRDefault="005F6F8C" w:rsidP="005F6F8C">
            <w:pPr>
              <w:snapToGrid w:val="0"/>
              <w:spacing w:line="240" w:lineRule="auto"/>
              <w:jc w:val="center"/>
              <w:rPr>
                <w:rFonts w:asciiTheme="minorHAnsi" w:eastAsia="MS PGothic" w:hAnsiTheme="minorHAnsi"/>
                <w:color w:val="000000"/>
              </w:rPr>
            </w:pPr>
            <w:r w:rsidRPr="008E64AC">
              <w:rPr>
                <w:rFonts w:asciiTheme="minorHAnsi" w:eastAsia="MS PGothic" w:hAnsiTheme="minorHAnsi"/>
                <w:color w:val="000000"/>
              </w:rPr>
              <w:t>(a)</w:t>
            </w:r>
          </w:p>
        </w:tc>
        <w:tc>
          <w:tcPr>
            <w:tcW w:w="4389" w:type="dxa"/>
          </w:tcPr>
          <w:p w14:paraId="7801FDFF" w14:textId="77777777" w:rsidR="005F6F8C" w:rsidRPr="008E64AC" w:rsidRDefault="005F6F8C" w:rsidP="005F6F8C">
            <w:pPr>
              <w:snapToGrid w:val="0"/>
              <w:spacing w:line="240" w:lineRule="auto"/>
              <w:jc w:val="center"/>
              <w:rPr>
                <w:rFonts w:asciiTheme="minorHAnsi" w:eastAsia="MS PGothic" w:hAnsiTheme="minorHAnsi"/>
                <w:color w:val="000000"/>
              </w:rPr>
            </w:pPr>
            <w:r w:rsidRPr="008E64AC">
              <w:rPr>
                <w:rFonts w:asciiTheme="minorHAnsi" w:eastAsia="MS PGothic" w:hAnsiTheme="minorHAnsi"/>
                <w:color w:val="000000"/>
              </w:rPr>
              <w:t>(b)</w:t>
            </w:r>
          </w:p>
        </w:tc>
      </w:tr>
    </w:tbl>
    <w:p w14:paraId="0A9A5310" w14:textId="77777777" w:rsidR="00704BDF" w:rsidRPr="008E64AC" w:rsidRDefault="00704BDF" w:rsidP="00704BDF">
      <w:pPr>
        <w:snapToGrid w:val="0"/>
        <w:spacing w:after="120"/>
        <w:jc w:val="center"/>
        <w:rPr>
          <w:rFonts w:asciiTheme="minorHAnsi" w:eastAsia="MS PGothic" w:hAnsiTheme="minorHAnsi"/>
          <w:color w:val="000000"/>
          <w:szCs w:val="18"/>
        </w:rPr>
      </w:pPr>
      <w:r w:rsidRPr="008E64AC">
        <w:rPr>
          <w:rFonts w:asciiTheme="minorHAnsi" w:eastAsia="MS PGothic" w:hAnsiTheme="minorHAnsi"/>
          <w:b/>
          <w:color w:val="000000"/>
          <w:szCs w:val="18"/>
        </w:rPr>
        <w:t>Figure 1</w:t>
      </w:r>
      <w:r w:rsidRPr="008E64AC">
        <w:rPr>
          <w:rFonts w:asciiTheme="minorHAnsi" w:eastAsia="MS PGothic" w:hAnsiTheme="minorHAnsi"/>
          <w:b/>
          <w:color w:val="000000"/>
          <w:szCs w:val="18"/>
          <w:lang w:eastAsia="ko-KR"/>
        </w:rPr>
        <w:t>.</w:t>
      </w:r>
      <w:r w:rsidRPr="008E64AC">
        <w:rPr>
          <w:rFonts w:asciiTheme="minorHAnsi" w:eastAsia="MS PGothic" w:hAnsiTheme="minorHAnsi"/>
          <w:color w:val="000000"/>
          <w:szCs w:val="18"/>
        </w:rPr>
        <w:t xml:space="preserve"> </w:t>
      </w:r>
      <w:r w:rsidRPr="008E64AC">
        <w:rPr>
          <w:rFonts w:asciiTheme="minorHAnsi" w:hAnsiTheme="minorHAnsi"/>
        </w:rPr>
        <w:t xml:space="preserve"> </w:t>
      </w:r>
      <w:r w:rsidR="005F6F8C" w:rsidRPr="008E64AC">
        <w:rPr>
          <w:rFonts w:asciiTheme="minorHAnsi" w:eastAsia="MS PGothic" w:hAnsiTheme="minorHAnsi"/>
          <w:color w:val="000000"/>
          <w:szCs w:val="18"/>
        </w:rPr>
        <w:t>Final SC configurations for (a) Scenario 0 and (b) Scenario A.</w:t>
      </w:r>
    </w:p>
    <w:p w14:paraId="5D714CE0" w14:textId="77777777" w:rsidR="00704BDF" w:rsidRPr="008E64AC" w:rsidRDefault="00704BDF" w:rsidP="00704BDF">
      <w:pPr>
        <w:snapToGrid w:val="0"/>
        <w:spacing w:before="240" w:line="300" w:lineRule="auto"/>
        <w:rPr>
          <w:rFonts w:asciiTheme="minorHAnsi" w:eastAsia="MS PGothic" w:hAnsiTheme="minorHAnsi"/>
          <w:color w:val="000000"/>
          <w:sz w:val="22"/>
          <w:szCs w:val="22"/>
          <w:lang w:eastAsia="ko-KR"/>
        </w:rPr>
      </w:pPr>
      <w:r w:rsidRPr="008E64AC">
        <w:rPr>
          <w:rFonts w:asciiTheme="minorHAnsi" w:eastAsia="MS PGothic" w:hAnsiTheme="minorHAnsi"/>
          <w:b/>
          <w:bCs/>
          <w:color w:val="000000"/>
          <w:sz w:val="22"/>
          <w:szCs w:val="22"/>
        </w:rPr>
        <w:t>4. Conclusion</w:t>
      </w:r>
      <w:r w:rsidRPr="008E64AC">
        <w:rPr>
          <w:rFonts w:asciiTheme="minorHAnsi" w:eastAsia="MS PGothic" w:hAnsiTheme="minorHAnsi"/>
          <w:b/>
          <w:bCs/>
          <w:color w:val="000000"/>
          <w:sz w:val="22"/>
          <w:szCs w:val="22"/>
          <w:lang w:eastAsia="ko-KR"/>
        </w:rPr>
        <w:t>s</w:t>
      </w:r>
    </w:p>
    <w:p w14:paraId="5E9F12D4" w14:textId="77777777" w:rsidR="00704BDF" w:rsidRPr="008E64AC" w:rsidRDefault="005F6F8C" w:rsidP="00704BDF">
      <w:pPr>
        <w:snapToGrid w:val="0"/>
        <w:spacing w:after="120"/>
        <w:rPr>
          <w:rFonts w:asciiTheme="minorHAnsi" w:eastAsia="MS PGothic" w:hAnsiTheme="minorHAnsi"/>
          <w:color w:val="000000"/>
          <w:sz w:val="22"/>
          <w:szCs w:val="22"/>
        </w:rPr>
      </w:pPr>
      <w:r w:rsidRPr="008E64AC">
        <w:rPr>
          <w:rFonts w:asciiTheme="minorHAnsi" w:eastAsia="MS PGothic" w:hAnsiTheme="minorHAnsi"/>
          <w:color w:val="000000"/>
          <w:sz w:val="22"/>
          <w:szCs w:val="22"/>
        </w:rPr>
        <w:t xml:space="preserve">This </w:t>
      </w:r>
      <w:r w:rsidR="00747309" w:rsidRPr="008E64AC">
        <w:rPr>
          <w:rFonts w:asciiTheme="minorHAnsi" w:eastAsia="MS PGothic" w:hAnsiTheme="minorHAnsi"/>
          <w:color w:val="000000"/>
          <w:sz w:val="22"/>
          <w:szCs w:val="22"/>
        </w:rPr>
        <w:t>work</w:t>
      </w:r>
      <w:r w:rsidRPr="008E64AC">
        <w:rPr>
          <w:rFonts w:asciiTheme="minorHAnsi" w:eastAsia="MS PGothic" w:hAnsiTheme="minorHAnsi"/>
          <w:color w:val="000000"/>
          <w:sz w:val="22"/>
          <w:szCs w:val="22"/>
        </w:rPr>
        <w:t xml:space="preserve"> has assessed the potential impact of a European CCUS</w:t>
      </w:r>
      <w:r w:rsidR="00747309" w:rsidRPr="008E64AC">
        <w:rPr>
          <w:rFonts w:asciiTheme="minorHAnsi" w:eastAsia="MS PGothic" w:hAnsiTheme="minorHAnsi"/>
          <w:color w:val="000000"/>
          <w:sz w:val="22"/>
          <w:szCs w:val="22"/>
        </w:rPr>
        <w:t xml:space="preserve"> SC</w:t>
      </w:r>
      <w:r w:rsidRPr="008E64AC">
        <w:rPr>
          <w:rFonts w:asciiTheme="minorHAnsi" w:eastAsia="MS PGothic" w:hAnsiTheme="minorHAnsi"/>
          <w:color w:val="000000"/>
          <w:sz w:val="22"/>
          <w:szCs w:val="22"/>
        </w:rPr>
        <w:t>. Results show that</w:t>
      </w:r>
      <w:r w:rsidR="00747309" w:rsidRPr="008E64AC">
        <w:rPr>
          <w:rFonts w:asciiTheme="minorHAnsi" w:eastAsia="MS PGothic" w:hAnsiTheme="minorHAnsi"/>
          <w:color w:val="000000"/>
          <w:sz w:val="22"/>
          <w:szCs w:val="22"/>
        </w:rPr>
        <w:t xml:space="preserve"> </w:t>
      </w:r>
      <w:r w:rsidRPr="008E64AC">
        <w:rPr>
          <w:rFonts w:asciiTheme="minorHAnsi" w:eastAsia="MS PGothic" w:hAnsiTheme="minorHAnsi"/>
          <w:color w:val="000000"/>
          <w:sz w:val="22"/>
          <w:szCs w:val="22"/>
        </w:rPr>
        <w:t>the environmental impact of CO</w:t>
      </w:r>
      <w:r w:rsidRPr="008E64AC">
        <w:rPr>
          <w:rFonts w:asciiTheme="minorHAnsi" w:eastAsia="MS PGothic" w:hAnsiTheme="minorHAnsi"/>
          <w:color w:val="000000"/>
          <w:sz w:val="22"/>
          <w:szCs w:val="22"/>
          <w:vertAlign w:val="subscript"/>
        </w:rPr>
        <w:t>2</w:t>
      </w:r>
      <w:r w:rsidRPr="008E64AC">
        <w:rPr>
          <w:rFonts w:asciiTheme="minorHAnsi" w:eastAsia="MS PGothic" w:hAnsiTheme="minorHAnsi"/>
          <w:color w:val="000000"/>
          <w:sz w:val="22"/>
          <w:szCs w:val="22"/>
        </w:rPr>
        <w:t xml:space="preserve"> utilisation is likely to be a minor one (</w:t>
      </w:r>
      <w:r w:rsidR="00747309" w:rsidRPr="008E64AC">
        <w:rPr>
          <w:rFonts w:asciiTheme="minorHAnsi" w:eastAsia="MS PGothic" w:hAnsiTheme="minorHAnsi"/>
          <w:color w:val="000000"/>
          <w:sz w:val="22"/>
          <w:szCs w:val="22"/>
        </w:rPr>
        <w:t>&lt;</w:t>
      </w:r>
      <w:r w:rsidRPr="008E64AC">
        <w:rPr>
          <w:rFonts w:asciiTheme="minorHAnsi" w:eastAsia="MS PGothic" w:hAnsiTheme="minorHAnsi"/>
          <w:color w:val="000000"/>
          <w:sz w:val="22"/>
          <w:szCs w:val="22"/>
        </w:rPr>
        <w:t>0.6% reduction in GHG emissions for the chemicals considered in this study). The main benefit is the reduction of the overall costs (decreasing by 5.5%), since conversion would provi</w:t>
      </w:r>
      <w:r w:rsidR="00343848">
        <w:rPr>
          <w:rFonts w:asciiTheme="minorHAnsi" w:eastAsia="MS PGothic" w:hAnsiTheme="minorHAnsi"/>
          <w:color w:val="000000"/>
          <w:sz w:val="22"/>
          <w:szCs w:val="22"/>
        </w:rPr>
        <w:t>de for new</w:t>
      </w:r>
      <w:r w:rsidRPr="008E64AC">
        <w:rPr>
          <w:rFonts w:asciiTheme="minorHAnsi" w:eastAsia="MS PGothic" w:hAnsiTheme="minorHAnsi"/>
          <w:color w:val="000000"/>
          <w:sz w:val="22"/>
          <w:szCs w:val="22"/>
        </w:rPr>
        <w:t xml:space="preserve"> revenues (</w:t>
      </w:r>
      <w:r w:rsidR="00747309" w:rsidRPr="008E64AC">
        <w:rPr>
          <w:rFonts w:asciiTheme="minorHAnsi" w:eastAsia="MS PGothic" w:hAnsiTheme="minorHAnsi"/>
          <w:color w:val="000000"/>
          <w:sz w:val="22"/>
          <w:szCs w:val="22"/>
        </w:rPr>
        <w:t>differently from sequestration)</w:t>
      </w:r>
      <w:r w:rsidR="00704BDF" w:rsidRPr="008E64AC">
        <w:rPr>
          <w:rFonts w:asciiTheme="minorHAnsi" w:eastAsia="MS PGothic" w:hAnsiTheme="minorHAnsi"/>
          <w:color w:val="000000"/>
          <w:sz w:val="22"/>
          <w:szCs w:val="22"/>
        </w:rPr>
        <w:t>.</w:t>
      </w:r>
    </w:p>
    <w:p w14:paraId="17A2269C" w14:textId="77777777" w:rsidR="00704BDF" w:rsidRPr="008E64AC" w:rsidRDefault="00343848" w:rsidP="00704BDF">
      <w:pPr>
        <w:snapToGrid w:val="0"/>
        <w:spacing w:before="240" w:line="300" w:lineRule="auto"/>
        <w:rPr>
          <w:rFonts w:asciiTheme="minorHAnsi" w:eastAsia="SimSun" w:hAnsiTheme="minorHAnsi"/>
          <w:b/>
          <w:bCs/>
          <w:color w:val="000000"/>
          <w:sz w:val="20"/>
          <w:lang w:eastAsia="zh-CN"/>
        </w:rPr>
      </w:pPr>
      <w:r>
        <w:rPr>
          <w:rFonts w:asciiTheme="minorHAnsi" w:eastAsia="MS PGothic" w:hAnsiTheme="minorHAnsi"/>
          <w:b/>
          <w:bCs/>
          <w:color w:val="000000"/>
          <w:sz w:val="20"/>
        </w:rPr>
        <w:t>References</w:t>
      </w:r>
    </w:p>
    <w:p w14:paraId="42AFEF1C" w14:textId="77777777" w:rsidR="00936EAC" w:rsidRPr="008E64AC" w:rsidRDefault="00936EAC" w:rsidP="00936EAC">
      <w:pPr>
        <w:pStyle w:val="FirstParagraph"/>
        <w:numPr>
          <w:ilvl w:val="0"/>
          <w:numId w:val="17"/>
        </w:numPr>
        <w:tabs>
          <w:tab w:val="left" w:pos="426"/>
        </w:tabs>
        <w:spacing w:line="240" w:lineRule="auto"/>
        <w:ind w:left="425" w:hanging="425"/>
        <w:rPr>
          <w:rFonts w:asciiTheme="minorHAnsi" w:hAnsiTheme="minorHAnsi"/>
          <w:color w:val="000000"/>
          <w:lang w:val="en-GB"/>
        </w:rPr>
      </w:pPr>
      <w:r w:rsidRPr="008E64AC">
        <w:rPr>
          <w:rFonts w:asciiTheme="minorHAnsi" w:hAnsiTheme="minorHAnsi"/>
          <w:color w:val="000000"/>
          <w:lang w:val="en-GB"/>
        </w:rPr>
        <w:t>IPCC, Climate Change-Synthesis Report</w:t>
      </w:r>
      <w:r w:rsidR="00735D07" w:rsidRPr="008E64AC">
        <w:rPr>
          <w:rFonts w:asciiTheme="minorHAnsi" w:hAnsiTheme="minorHAnsi"/>
          <w:color w:val="000000"/>
          <w:lang w:val="en-GB"/>
        </w:rPr>
        <w:t>,</w:t>
      </w:r>
      <w:r w:rsidRPr="008E64AC">
        <w:rPr>
          <w:rFonts w:asciiTheme="minorHAnsi" w:hAnsiTheme="minorHAnsi"/>
          <w:color w:val="000000"/>
          <w:lang w:val="en-GB"/>
        </w:rPr>
        <w:t xml:space="preserve"> </w:t>
      </w:r>
      <w:r w:rsidR="007236AC" w:rsidRPr="008E64AC">
        <w:rPr>
          <w:rFonts w:asciiTheme="minorHAnsi" w:hAnsiTheme="minorHAnsi"/>
          <w:color w:val="000000"/>
          <w:lang w:val="en-GB"/>
        </w:rPr>
        <w:t xml:space="preserve">Geneva, </w:t>
      </w:r>
      <w:r w:rsidR="00735D07" w:rsidRPr="008E64AC">
        <w:rPr>
          <w:rFonts w:asciiTheme="minorHAnsi" w:hAnsiTheme="minorHAnsi"/>
          <w:color w:val="000000"/>
          <w:lang w:val="en-GB"/>
        </w:rPr>
        <w:t>2014</w:t>
      </w:r>
      <w:r w:rsidRPr="008E64AC">
        <w:rPr>
          <w:rFonts w:asciiTheme="minorHAnsi" w:hAnsiTheme="minorHAnsi"/>
          <w:color w:val="000000"/>
          <w:lang w:val="en-GB"/>
        </w:rPr>
        <w:t>.</w:t>
      </w:r>
    </w:p>
    <w:p w14:paraId="7274E71A" w14:textId="77777777" w:rsidR="00936EAC" w:rsidRPr="008E64AC" w:rsidRDefault="00936EAC" w:rsidP="00936EAC">
      <w:pPr>
        <w:pStyle w:val="FirstParagraph"/>
        <w:numPr>
          <w:ilvl w:val="0"/>
          <w:numId w:val="17"/>
        </w:numPr>
        <w:tabs>
          <w:tab w:val="left" w:pos="426"/>
        </w:tabs>
        <w:spacing w:line="240" w:lineRule="auto"/>
        <w:ind w:left="425" w:hanging="425"/>
        <w:rPr>
          <w:rFonts w:asciiTheme="minorHAnsi" w:hAnsiTheme="minorHAnsi"/>
          <w:color w:val="000000"/>
          <w:lang w:val="en-GB"/>
        </w:rPr>
      </w:pPr>
      <w:r w:rsidRPr="008E64AC">
        <w:rPr>
          <w:rFonts w:asciiTheme="minorHAnsi" w:hAnsiTheme="minorHAnsi"/>
          <w:color w:val="000000"/>
          <w:lang w:val="en-GB"/>
        </w:rPr>
        <w:t>N. Mac Dowell, P.S. Fennell, N. Shah, G.C. Maitland, Nat. Clim. Chang. 7 (2017) 243-249.</w:t>
      </w:r>
    </w:p>
    <w:p w14:paraId="09D2B9CC" w14:textId="77777777" w:rsidR="007170A0" w:rsidRPr="008E64AC" w:rsidRDefault="00936EAC" w:rsidP="00936EAC">
      <w:pPr>
        <w:pStyle w:val="FirstParagraph"/>
        <w:numPr>
          <w:ilvl w:val="0"/>
          <w:numId w:val="17"/>
        </w:numPr>
        <w:tabs>
          <w:tab w:val="left" w:pos="426"/>
        </w:tabs>
        <w:spacing w:line="240" w:lineRule="auto"/>
        <w:ind w:left="425" w:hanging="425"/>
        <w:rPr>
          <w:rFonts w:asciiTheme="minorHAnsi" w:hAnsiTheme="minorHAnsi"/>
          <w:color w:val="000000"/>
          <w:lang w:val="en-GB"/>
        </w:rPr>
      </w:pPr>
      <w:r w:rsidRPr="008E64AC">
        <w:rPr>
          <w:rFonts w:asciiTheme="minorHAnsi" w:hAnsiTheme="minorHAnsi"/>
          <w:color w:val="000000"/>
          <w:lang w:val="en-GB"/>
        </w:rPr>
        <w:t>F. d’Amore, F. Bezzo, Int. J. Greenh. Gas Control 65 (2017) 99-116.</w:t>
      </w:r>
    </w:p>
    <w:p w14:paraId="742E8991" w14:textId="77777777" w:rsidR="00936EAC" w:rsidRPr="00961B89" w:rsidRDefault="00936EAC" w:rsidP="00936EAC">
      <w:pPr>
        <w:pStyle w:val="FirstParagraph"/>
        <w:numPr>
          <w:ilvl w:val="0"/>
          <w:numId w:val="17"/>
        </w:numPr>
        <w:tabs>
          <w:tab w:val="left" w:pos="426"/>
        </w:tabs>
        <w:spacing w:line="240" w:lineRule="auto"/>
        <w:ind w:left="425" w:hanging="425"/>
        <w:rPr>
          <w:rFonts w:asciiTheme="minorHAnsi" w:hAnsiTheme="minorHAnsi"/>
          <w:color w:val="000000"/>
          <w:lang w:val="it-IT"/>
        </w:rPr>
      </w:pPr>
      <w:r w:rsidRPr="00961B89">
        <w:rPr>
          <w:rFonts w:asciiTheme="minorHAnsi" w:hAnsiTheme="minorHAnsi"/>
          <w:color w:val="000000"/>
          <w:lang w:val="it-IT"/>
        </w:rPr>
        <w:t>M. Aresta, A. Di Benedetto, A. Angelini, J. CO</w:t>
      </w:r>
      <w:r w:rsidRPr="00961B89">
        <w:rPr>
          <w:rFonts w:asciiTheme="minorHAnsi" w:hAnsiTheme="minorHAnsi"/>
          <w:color w:val="000000"/>
          <w:vertAlign w:val="subscript"/>
          <w:lang w:val="it-IT"/>
        </w:rPr>
        <w:t>2</w:t>
      </w:r>
      <w:r w:rsidRPr="00961B89">
        <w:rPr>
          <w:rFonts w:asciiTheme="minorHAnsi" w:hAnsiTheme="minorHAnsi"/>
          <w:color w:val="000000"/>
          <w:lang w:val="it-IT"/>
        </w:rPr>
        <w:t xml:space="preserve"> Util. 3-4 (2013)</w:t>
      </w:r>
      <w:r w:rsidR="007236AC" w:rsidRPr="00961B89">
        <w:rPr>
          <w:rFonts w:asciiTheme="minorHAnsi" w:hAnsiTheme="minorHAnsi"/>
          <w:color w:val="000000"/>
          <w:lang w:val="it-IT"/>
        </w:rPr>
        <w:t xml:space="preserve"> 65-</w:t>
      </w:r>
      <w:r w:rsidRPr="00961B89">
        <w:rPr>
          <w:rFonts w:asciiTheme="minorHAnsi" w:hAnsiTheme="minorHAnsi"/>
          <w:color w:val="000000"/>
          <w:lang w:val="it-IT"/>
        </w:rPr>
        <w:t>73.</w:t>
      </w:r>
    </w:p>
    <w:p w14:paraId="3860844D" w14:textId="77777777" w:rsidR="00704BDF" w:rsidRPr="008E64AC" w:rsidRDefault="00936EAC" w:rsidP="007236AC">
      <w:pPr>
        <w:pStyle w:val="FirstParagraph"/>
        <w:numPr>
          <w:ilvl w:val="0"/>
          <w:numId w:val="17"/>
        </w:numPr>
        <w:tabs>
          <w:tab w:val="left" w:pos="426"/>
        </w:tabs>
        <w:spacing w:line="240" w:lineRule="auto"/>
        <w:ind w:left="425" w:hanging="425"/>
        <w:rPr>
          <w:rFonts w:asciiTheme="minorHAnsi" w:hAnsiTheme="minorHAnsi"/>
          <w:color w:val="000000"/>
          <w:lang w:val="en-GB"/>
        </w:rPr>
      </w:pPr>
      <w:r w:rsidRPr="008E64AC">
        <w:rPr>
          <w:rFonts w:asciiTheme="minorHAnsi" w:hAnsiTheme="minorHAnsi"/>
          <w:color w:val="000000"/>
          <w:lang w:val="en-GB"/>
        </w:rPr>
        <w:t>EC, Implementation of Directive 2009/31/EC</w:t>
      </w:r>
      <w:r w:rsidR="00735D07" w:rsidRPr="008E64AC">
        <w:rPr>
          <w:rFonts w:asciiTheme="minorHAnsi" w:hAnsiTheme="minorHAnsi"/>
          <w:color w:val="000000"/>
          <w:lang w:val="en-GB"/>
        </w:rPr>
        <w:t>,</w:t>
      </w:r>
      <w:r w:rsidRPr="008E64AC">
        <w:rPr>
          <w:rFonts w:asciiTheme="minorHAnsi" w:hAnsiTheme="minorHAnsi"/>
          <w:color w:val="000000"/>
          <w:lang w:val="en-GB"/>
        </w:rPr>
        <w:t xml:space="preserve"> Brussels</w:t>
      </w:r>
      <w:r w:rsidR="00AA0EBC">
        <w:rPr>
          <w:rFonts w:asciiTheme="minorHAnsi" w:hAnsiTheme="minorHAnsi"/>
          <w:color w:val="000000"/>
          <w:lang w:val="en-GB"/>
        </w:rPr>
        <w:t>, 2017</w:t>
      </w:r>
    </w:p>
    <w:sectPr w:rsidR="00704BDF" w:rsidRPr="008E64A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5F0E" w14:textId="77777777" w:rsidR="00297407" w:rsidRDefault="00297407" w:rsidP="004F5E36">
      <w:r>
        <w:separator/>
      </w:r>
    </w:p>
  </w:endnote>
  <w:endnote w:type="continuationSeparator" w:id="0">
    <w:p w14:paraId="6A77323F" w14:textId="77777777" w:rsidR="00297407" w:rsidRDefault="002974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D12C7" w14:textId="77777777" w:rsidR="00297407" w:rsidRDefault="00297407" w:rsidP="004F5E36">
      <w:r>
        <w:separator/>
      </w:r>
    </w:p>
  </w:footnote>
  <w:footnote w:type="continuationSeparator" w:id="0">
    <w:p w14:paraId="02C02DCA" w14:textId="77777777" w:rsidR="00297407" w:rsidRDefault="0029740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AA7B"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9C3CA0E" wp14:editId="272B401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B4E6E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146BDB9" wp14:editId="51E9365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D1F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7AD6F3DB" wp14:editId="23561E9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6C04D2C" w14:textId="77777777" w:rsidR="00704BDF" w:rsidRDefault="00704BDF">
    <w:pPr>
      <w:pStyle w:val="Intestazione"/>
    </w:pPr>
  </w:p>
  <w:p w14:paraId="1A5D534C"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39E0F880" wp14:editId="06AA185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90BE80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74F39"/>
    <w:rsid w:val="000A03B2"/>
    <w:rsid w:val="000D34BE"/>
    <w:rsid w:val="000E36F1"/>
    <w:rsid w:val="000E3A73"/>
    <w:rsid w:val="000E414A"/>
    <w:rsid w:val="00110DD3"/>
    <w:rsid w:val="0013121F"/>
    <w:rsid w:val="00134DE4"/>
    <w:rsid w:val="00142154"/>
    <w:rsid w:val="00150E59"/>
    <w:rsid w:val="00184A3A"/>
    <w:rsid w:val="00184AD6"/>
    <w:rsid w:val="001B65C1"/>
    <w:rsid w:val="001C684B"/>
    <w:rsid w:val="001D53FC"/>
    <w:rsid w:val="001F2EC7"/>
    <w:rsid w:val="001F3A9B"/>
    <w:rsid w:val="002065DB"/>
    <w:rsid w:val="002447EF"/>
    <w:rsid w:val="00251550"/>
    <w:rsid w:val="0027221A"/>
    <w:rsid w:val="00275B61"/>
    <w:rsid w:val="00297407"/>
    <w:rsid w:val="002D1F12"/>
    <w:rsid w:val="002D4997"/>
    <w:rsid w:val="002F0BBA"/>
    <w:rsid w:val="002F2D7B"/>
    <w:rsid w:val="003009B7"/>
    <w:rsid w:val="0030469C"/>
    <w:rsid w:val="00343848"/>
    <w:rsid w:val="003723D4"/>
    <w:rsid w:val="003901BC"/>
    <w:rsid w:val="003A7D1C"/>
    <w:rsid w:val="0046164A"/>
    <w:rsid w:val="00462DCD"/>
    <w:rsid w:val="004B73F0"/>
    <w:rsid w:val="004D1162"/>
    <w:rsid w:val="004E4DD6"/>
    <w:rsid w:val="004F5E36"/>
    <w:rsid w:val="005119A5"/>
    <w:rsid w:val="00524633"/>
    <w:rsid w:val="005278B7"/>
    <w:rsid w:val="005346C8"/>
    <w:rsid w:val="00592956"/>
    <w:rsid w:val="00594E9F"/>
    <w:rsid w:val="005B61E6"/>
    <w:rsid w:val="005C77E1"/>
    <w:rsid w:val="005D6A2F"/>
    <w:rsid w:val="005E1A82"/>
    <w:rsid w:val="005F0A28"/>
    <w:rsid w:val="005F0E5E"/>
    <w:rsid w:val="005F6F8C"/>
    <w:rsid w:val="0061308F"/>
    <w:rsid w:val="00615BEC"/>
    <w:rsid w:val="00620DEE"/>
    <w:rsid w:val="00625639"/>
    <w:rsid w:val="00632F8A"/>
    <w:rsid w:val="0064184D"/>
    <w:rsid w:val="00660E3E"/>
    <w:rsid w:val="00662E74"/>
    <w:rsid w:val="006C5579"/>
    <w:rsid w:val="006D6247"/>
    <w:rsid w:val="00704BDF"/>
    <w:rsid w:val="007170A0"/>
    <w:rsid w:val="007236AC"/>
    <w:rsid w:val="00735D07"/>
    <w:rsid w:val="00736B13"/>
    <w:rsid w:val="007447F3"/>
    <w:rsid w:val="00747309"/>
    <w:rsid w:val="00753569"/>
    <w:rsid w:val="0076411A"/>
    <w:rsid w:val="007661C8"/>
    <w:rsid w:val="007D52CD"/>
    <w:rsid w:val="007D6020"/>
    <w:rsid w:val="00813288"/>
    <w:rsid w:val="008168FC"/>
    <w:rsid w:val="008479A2"/>
    <w:rsid w:val="0087637F"/>
    <w:rsid w:val="008A1512"/>
    <w:rsid w:val="008D0BEB"/>
    <w:rsid w:val="008E566E"/>
    <w:rsid w:val="008E64AC"/>
    <w:rsid w:val="00901EB6"/>
    <w:rsid w:val="00922D33"/>
    <w:rsid w:val="00936EAC"/>
    <w:rsid w:val="009450CE"/>
    <w:rsid w:val="00946FE5"/>
    <w:rsid w:val="0095164B"/>
    <w:rsid w:val="00961B89"/>
    <w:rsid w:val="00996483"/>
    <w:rsid w:val="009E788A"/>
    <w:rsid w:val="00A1763D"/>
    <w:rsid w:val="00A17CEC"/>
    <w:rsid w:val="00A27EF0"/>
    <w:rsid w:val="00A76EFC"/>
    <w:rsid w:val="00A9626B"/>
    <w:rsid w:val="00A97F29"/>
    <w:rsid w:val="00AA0EBC"/>
    <w:rsid w:val="00AB0964"/>
    <w:rsid w:val="00AE377D"/>
    <w:rsid w:val="00B6129A"/>
    <w:rsid w:val="00B61372"/>
    <w:rsid w:val="00B61DBF"/>
    <w:rsid w:val="00B73001"/>
    <w:rsid w:val="00BC30C9"/>
    <w:rsid w:val="00BE3E58"/>
    <w:rsid w:val="00C01616"/>
    <w:rsid w:val="00C0162B"/>
    <w:rsid w:val="00C345B1"/>
    <w:rsid w:val="00C40142"/>
    <w:rsid w:val="00C57182"/>
    <w:rsid w:val="00C62851"/>
    <w:rsid w:val="00C655FD"/>
    <w:rsid w:val="00C94434"/>
    <w:rsid w:val="00CA1C95"/>
    <w:rsid w:val="00CA5A9C"/>
    <w:rsid w:val="00CD5FE2"/>
    <w:rsid w:val="00D02B4C"/>
    <w:rsid w:val="00D84576"/>
    <w:rsid w:val="00DE0019"/>
    <w:rsid w:val="00DE264A"/>
    <w:rsid w:val="00DF47F4"/>
    <w:rsid w:val="00E041E7"/>
    <w:rsid w:val="00E23CA1"/>
    <w:rsid w:val="00E409A8"/>
    <w:rsid w:val="00E7209D"/>
    <w:rsid w:val="00EA50E1"/>
    <w:rsid w:val="00EE0131"/>
    <w:rsid w:val="00F00BFE"/>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E9E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F6D3-C89D-492E-95AC-CCA01258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4</cp:revision>
  <cp:lastPrinted>2015-05-12T18:31:00Z</cp:lastPrinted>
  <dcterms:created xsi:type="dcterms:W3CDTF">2018-11-26T17:01:00Z</dcterms:created>
  <dcterms:modified xsi:type="dcterms:W3CDTF">2019-08-22T09:41:00Z</dcterms:modified>
</cp:coreProperties>
</file>