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7ECE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D576ADF" w14:textId="5331E6CC" w:rsidR="00CF3B13" w:rsidRPr="00DE0019" w:rsidRDefault="00CF3B13"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Selective </w:t>
      </w:r>
      <w:r w:rsidR="00131F8F">
        <w:rPr>
          <w:rFonts w:asciiTheme="minorHAnsi" w:eastAsia="MS PGothic" w:hAnsiTheme="minorHAnsi"/>
          <w:b/>
          <w:bCs/>
          <w:sz w:val="28"/>
          <w:szCs w:val="28"/>
          <w:lang w:val="en-US"/>
        </w:rPr>
        <w:t xml:space="preserve">Sequential </w:t>
      </w:r>
      <w:r>
        <w:rPr>
          <w:rFonts w:asciiTheme="minorHAnsi" w:eastAsia="MS PGothic" w:hAnsiTheme="minorHAnsi"/>
          <w:b/>
          <w:bCs/>
          <w:sz w:val="28"/>
          <w:szCs w:val="28"/>
          <w:lang w:val="en-US"/>
        </w:rPr>
        <w:t xml:space="preserve">Crystallization </w:t>
      </w:r>
      <w:r w:rsidR="00764BAC">
        <w:rPr>
          <w:rFonts w:asciiTheme="minorHAnsi" w:eastAsia="MS PGothic" w:hAnsiTheme="minorHAnsi"/>
          <w:b/>
          <w:bCs/>
          <w:sz w:val="28"/>
          <w:szCs w:val="28"/>
          <w:lang w:val="en-US"/>
        </w:rPr>
        <w:t xml:space="preserve">of </w:t>
      </w:r>
      <w:r>
        <w:rPr>
          <w:rFonts w:asciiTheme="minorHAnsi" w:eastAsia="MS PGothic" w:hAnsiTheme="minorHAnsi"/>
          <w:b/>
          <w:bCs/>
          <w:sz w:val="28"/>
          <w:szCs w:val="28"/>
          <w:lang w:val="en-US"/>
        </w:rPr>
        <w:t xml:space="preserve">Racemic </w:t>
      </w:r>
      <w:r w:rsidR="00764BAC">
        <w:rPr>
          <w:rFonts w:asciiTheme="minorHAnsi" w:eastAsia="MS PGothic" w:hAnsiTheme="minorHAnsi"/>
          <w:b/>
          <w:bCs/>
          <w:sz w:val="28"/>
          <w:szCs w:val="28"/>
          <w:lang w:val="en-US"/>
        </w:rPr>
        <w:t xml:space="preserve">and </w:t>
      </w:r>
      <w:r>
        <w:rPr>
          <w:rFonts w:asciiTheme="minorHAnsi" w:eastAsia="MS PGothic" w:hAnsiTheme="minorHAnsi"/>
          <w:b/>
          <w:bCs/>
          <w:sz w:val="28"/>
          <w:szCs w:val="28"/>
          <w:lang w:val="en-US"/>
        </w:rPr>
        <w:t xml:space="preserve">Enantiopure </w:t>
      </w:r>
      <w:proofErr w:type="spellStart"/>
      <w:r>
        <w:rPr>
          <w:rFonts w:asciiTheme="minorHAnsi" w:eastAsia="MS PGothic" w:hAnsiTheme="minorHAnsi"/>
          <w:b/>
          <w:bCs/>
          <w:sz w:val="28"/>
          <w:szCs w:val="28"/>
          <w:lang w:val="en-US"/>
        </w:rPr>
        <w:t>Mandelic</w:t>
      </w:r>
      <w:proofErr w:type="spellEnd"/>
      <w:r>
        <w:rPr>
          <w:rFonts w:asciiTheme="minorHAnsi" w:eastAsia="MS PGothic" w:hAnsiTheme="minorHAnsi"/>
          <w:b/>
          <w:bCs/>
          <w:sz w:val="28"/>
          <w:szCs w:val="28"/>
          <w:lang w:val="en-US"/>
        </w:rPr>
        <w:t xml:space="preserve"> Acid </w:t>
      </w:r>
      <w:r w:rsidR="00764BAC">
        <w:rPr>
          <w:rFonts w:asciiTheme="minorHAnsi" w:eastAsia="MS PGothic" w:hAnsiTheme="minorHAnsi"/>
          <w:b/>
          <w:bCs/>
          <w:sz w:val="28"/>
          <w:szCs w:val="28"/>
          <w:lang w:val="en-US"/>
        </w:rPr>
        <w:t xml:space="preserve">at The </w:t>
      </w:r>
      <w:r>
        <w:rPr>
          <w:rFonts w:asciiTheme="minorHAnsi" w:eastAsia="MS PGothic" w:hAnsiTheme="minorHAnsi"/>
          <w:b/>
          <w:bCs/>
          <w:sz w:val="28"/>
          <w:szCs w:val="28"/>
          <w:lang w:val="en-US"/>
        </w:rPr>
        <w:t>Solution Eutectic</w:t>
      </w:r>
      <w:r w:rsidR="00764BAC">
        <w:rPr>
          <w:rFonts w:asciiTheme="minorHAnsi" w:eastAsia="MS PGothic" w:hAnsiTheme="minorHAnsi"/>
          <w:b/>
          <w:bCs/>
          <w:sz w:val="28"/>
          <w:szCs w:val="28"/>
          <w:lang w:val="en-US"/>
        </w:rPr>
        <w:t>.</w:t>
      </w:r>
    </w:p>
    <w:p w14:paraId="1DABE5E0" w14:textId="77777777" w:rsidR="00DE0019" w:rsidRPr="00314CE7" w:rsidRDefault="00D11380" w:rsidP="00704BDF">
      <w:pPr>
        <w:snapToGrid w:val="0"/>
        <w:spacing w:after="120"/>
        <w:jc w:val="center"/>
        <w:rPr>
          <w:rFonts w:eastAsia="SimSun"/>
          <w:color w:val="000000"/>
          <w:lang w:val="de-DE" w:eastAsia="zh-CN"/>
        </w:rPr>
      </w:pPr>
      <w:r w:rsidRPr="00314CE7">
        <w:rPr>
          <w:rFonts w:asciiTheme="minorHAnsi" w:eastAsia="SimSun" w:hAnsiTheme="minorHAnsi"/>
          <w:color w:val="000000"/>
          <w:sz w:val="24"/>
          <w:szCs w:val="24"/>
          <w:u w:val="single"/>
          <w:lang w:val="de-DE" w:eastAsia="zh-CN"/>
        </w:rPr>
        <w:t>Johann</w:t>
      </w:r>
      <w:r w:rsidR="00704BDF" w:rsidRPr="00314CE7">
        <w:rPr>
          <w:rFonts w:asciiTheme="minorHAnsi" w:eastAsia="SimSun" w:hAnsiTheme="minorHAnsi"/>
          <w:color w:val="000000"/>
          <w:sz w:val="24"/>
          <w:szCs w:val="24"/>
          <w:u w:val="single"/>
          <w:lang w:val="de-DE" w:eastAsia="zh-CN"/>
        </w:rPr>
        <w:t>e</w:t>
      </w:r>
      <w:r w:rsidRPr="00314CE7">
        <w:rPr>
          <w:rFonts w:asciiTheme="minorHAnsi" w:eastAsia="SimSun" w:hAnsiTheme="minorHAnsi"/>
          <w:color w:val="000000"/>
          <w:sz w:val="24"/>
          <w:szCs w:val="24"/>
          <w:u w:val="single"/>
          <w:lang w:val="de-DE" w:eastAsia="zh-CN"/>
        </w:rPr>
        <w:t>s Hoffmann</w:t>
      </w:r>
      <w:r w:rsidR="00704BDF" w:rsidRPr="00314CE7">
        <w:rPr>
          <w:rFonts w:asciiTheme="minorHAnsi" w:eastAsia="SimSun" w:hAnsiTheme="minorHAnsi"/>
          <w:color w:val="000000"/>
          <w:sz w:val="24"/>
          <w:szCs w:val="24"/>
          <w:u w:val="single"/>
          <w:vertAlign w:val="superscript"/>
          <w:lang w:val="de-DE" w:eastAsia="zh-CN"/>
        </w:rPr>
        <w:t>1</w:t>
      </w:r>
      <w:r w:rsidR="00736B13" w:rsidRPr="00314CE7">
        <w:rPr>
          <w:rFonts w:asciiTheme="minorHAnsi" w:eastAsia="SimSun" w:hAnsiTheme="minorHAnsi"/>
          <w:color w:val="000000"/>
          <w:sz w:val="24"/>
          <w:szCs w:val="24"/>
          <w:lang w:val="de-DE" w:eastAsia="zh-CN"/>
        </w:rPr>
        <w:t xml:space="preserve">, </w:t>
      </w:r>
      <w:r w:rsidR="000E117C" w:rsidRPr="00314CE7">
        <w:rPr>
          <w:rFonts w:asciiTheme="minorHAnsi" w:eastAsia="SimSun" w:hAnsiTheme="minorHAnsi"/>
          <w:color w:val="000000"/>
          <w:sz w:val="24"/>
          <w:szCs w:val="24"/>
          <w:lang w:val="de-DE" w:eastAsia="zh-CN"/>
        </w:rPr>
        <w:t xml:space="preserve">Raghunath Venkatramanan </w:t>
      </w:r>
      <w:r w:rsidR="005B639E" w:rsidRPr="00314CE7">
        <w:rPr>
          <w:rFonts w:asciiTheme="minorHAnsi" w:eastAsia="SimSun" w:hAnsiTheme="minorHAnsi"/>
          <w:color w:val="000000"/>
          <w:sz w:val="24"/>
          <w:szCs w:val="24"/>
          <w:vertAlign w:val="superscript"/>
          <w:lang w:val="de-DE" w:eastAsia="zh-CN"/>
        </w:rPr>
        <w:t>1</w:t>
      </w:r>
      <w:r w:rsidR="000E117C" w:rsidRPr="00314CE7">
        <w:rPr>
          <w:rFonts w:asciiTheme="minorHAnsi" w:eastAsia="SimSun" w:hAnsiTheme="minorHAnsi"/>
          <w:color w:val="000000"/>
          <w:sz w:val="24"/>
          <w:szCs w:val="24"/>
          <w:lang w:val="de-DE" w:eastAsia="zh-CN"/>
        </w:rPr>
        <w:t xml:space="preserve">, </w:t>
      </w:r>
      <w:r w:rsidR="00314CE7" w:rsidRPr="00314CE7">
        <w:rPr>
          <w:rFonts w:asciiTheme="minorHAnsi" w:eastAsia="SimSun" w:hAnsiTheme="minorHAnsi"/>
          <w:color w:val="000000"/>
          <w:sz w:val="24"/>
          <w:szCs w:val="24"/>
          <w:lang w:val="de-DE" w:eastAsia="zh-CN"/>
        </w:rPr>
        <w:t>H. Lorenz</w:t>
      </w:r>
      <w:r w:rsidR="00314CE7" w:rsidRPr="00314CE7">
        <w:rPr>
          <w:rFonts w:asciiTheme="minorHAnsi" w:eastAsia="SimSun" w:hAnsiTheme="minorHAnsi"/>
          <w:color w:val="000000"/>
          <w:sz w:val="24"/>
          <w:szCs w:val="24"/>
          <w:vertAlign w:val="superscript"/>
          <w:lang w:val="de-DE" w:eastAsia="zh-CN"/>
        </w:rPr>
        <w:t>2</w:t>
      </w:r>
      <w:r w:rsidR="00314CE7" w:rsidRPr="00314CE7">
        <w:rPr>
          <w:rFonts w:asciiTheme="minorHAnsi" w:eastAsia="SimSun" w:hAnsiTheme="minorHAnsi"/>
          <w:color w:val="000000"/>
          <w:sz w:val="24"/>
          <w:szCs w:val="24"/>
          <w:lang w:val="de-DE" w:eastAsia="zh-CN"/>
        </w:rPr>
        <w:t>,</w:t>
      </w:r>
      <w:r w:rsidR="00314CE7">
        <w:rPr>
          <w:rFonts w:asciiTheme="minorHAnsi" w:eastAsia="SimSun" w:hAnsiTheme="minorHAnsi"/>
          <w:color w:val="000000"/>
          <w:sz w:val="24"/>
          <w:szCs w:val="24"/>
          <w:lang w:val="de-DE" w:eastAsia="zh-CN"/>
        </w:rPr>
        <w:t xml:space="preserve"> A. Seidel-Morgenstern</w:t>
      </w:r>
      <w:r w:rsidR="00314CE7" w:rsidRPr="00314CE7">
        <w:rPr>
          <w:rFonts w:asciiTheme="minorHAnsi" w:eastAsia="SimSun" w:hAnsiTheme="minorHAnsi"/>
          <w:color w:val="000000"/>
          <w:sz w:val="24"/>
          <w:szCs w:val="24"/>
          <w:vertAlign w:val="superscript"/>
          <w:lang w:val="de-DE" w:eastAsia="zh-CN"/>
        </w:rPr>
        <w:t>2</w:t>
      </w:r>
      <w:r w:rsidR="00314CE7">
        <w:rPr>
          <w:rFonts w:asciiTheme="minorHAnsi" w:eastAsia="SimSun" w:hAnsiTheme="minorHAnsi"/>
          <w:color w:val="000000"/>
          <w:sz w:val="24"/>
          <w:szCs w:val="24"/>
          <w:lang w:val="de-DE" w:eastAsia="zh-CN"/>
        </w:rPr>
        <w:t xml:space="preserve">, </w:t>
      </w:r>
      <w:r w:rsidRPr="00314CE7">
        <w:rPr>
          <w:rFonts w:asciiTheme="minorHAnsi" w:eastAsia="SimSun" w:hAnsiTheme="minorHAnsi"/>
          <w:color w:val="000000"/>
          <w:sz w:val="24"/>
          <w:szCs w:val="24"/>
          <w:lang w:val="de-DE" w:eastAsia="zh-CN"/>
        </w:rPr>
        <w:t>Joop H. ter Horst</w:t>
      </w:r>
      <w:r w:rsidR="00B2534A" w:rsidRPr="00314CE7">
        <w:rPr>
          <w:rFonts w:asciiTheme="minorHAnsi" w:eastAsia="SimSun" w:hAnsiTheme="minorHAnsi"/>
          <w:color w:val="000000"/>
          <w:sz w:val="24"/>
          <w:szCs w:val="24"/>
          <w:vertAlign w:val="superscript"/>
          <w:lang w:val="de-DE" w:eastAsia="zh-CN"/>
        </w:rPr>
        <w:t>1</w:t>
      </w:r>
    </w:p>
    <w:p w14:paraId="669E7566" w14:textId="110EECB0" w:rsidR="00704BDF" w:rsidRPr="00DE0019" w:rsidRDefault="00704BDF" w:rsidP="00704BDF">
      <w:pPr>
        <w:snapToGrid w:val="0"/>
        <w:spacing w:after="120"/>
        <w:jc w:val="center"/>
        <w:rPr>
          <w:rFonts w:asciiTheme="minorHAnsi" w:eastAsia="MS PGothic" w:hAnsiTheme="minorHAnsi"/>
          <w:i/>
          <w:iCs/>
          <w:color w:val="000000"/>
          <w:sz w:val="20"/>
          <w:lang w:val="en-US"/>
        </w:rPr>
      </w:pPr>
      <w:r w:rsidRPr="00D11380">
        <w:rPr>
          <w:rFonts w:asciiTheme="minorHAnsi" w:eastAsia="MS PGothic" w:hAnsiTheme="minorHAnsi"/>
          <w:i/>
          <w:iCs/>
          <w:color w:val="000000"/>
          <w:sz w:val="20"/>
          <w:lang w:val="en-US"/>
        </w:rPr>
        <w:t>1</w:t>
      </w:r>
      <w:r w:rsidR="00CF3B13">
        <w:rPr>
          <w:rFonts w:asciiTheme="minorHAnsi" w:eastAsia="MS PGothic" w:hAnsiTheme="minorHAnsi"/>
          <w:i/>
          <w:iCs/>
          <w:color w:val="000000"/>
          <w:sz w:val="20"/>
          <w:lang w:val="en-US"/>
        </w:rPr>
        <w:t>.</w:t>
      </w:r>
      <w:r w:rsidRPr="00D11380">
        <w:rPr>
          <w:rFonts w:asciiTheme="minorHAnsi" w:eastAsia="MS PGothic" w:hAnsiTheme="minorHAnsi"/>
          <w:i/>
          <w:iCs/>
          <w:color w:val="000000"/>
          <w:sz w:val="20"/>
          <w:lang w:val="en-US"/>
        </w:rPr>
        <w:t xml:space="preserve"> </w:t>
      </w:r>
      <w:r w:rsidR="00D11380" w:rsidRPr="00D11380">
        <w:rPr>
          <w:rFonts w:asciiTheme="minorHAnsi" w:hAnsiTheme="minorHAnsi"/>
          <w:i/>
          <w:sz w:val="20"/>
        </w:rPr>
        <w:t>EPSRC Centre for Innovative Manufacturing in Continuous Manufacturing and Crystallisation (CMAC), Strathclyde Institute of Pharmacy and Biomedical Sciences (SIPBS), Technology and Innovation Centre, University of Strathclyde, UK</w:t>
      </w:r>
      <w:r w:rsidR="00764BAC">
        <w:rPr>
          <w:szCs w:val="24"/>
        </w:rPr>
        <w:t xml:space="preserve">; </w:t>
      </w:r>
      <w:r w:rsidR="00314CE7" w:rsidRPr="00314CE7">
        <w:rPr>
          <w:rFonts w:asciiTheme="minorHAnsi" w:hAnsiTheme="minorHAnsi"/>
          <w:i/>
          <w:sz w:val="20"/>
          <w:vertAlign w:val="superscript"/>
        </w:rPr>
        <w:t>2</w:t>
      </w:r>
      <w:r w:rsidR="00314CE7" w:rsidRPr="00314CE7">
        <w:rPr>
          <w:rFonts w:asciiTheme="minorHAnsi" w:hAnsiTheme="minorHAnsi"/>
          <w:i/>
          <w:sz w:val="20"/>
        </w:rPr>
        <w:t>Max-Plack Institute for dynamic of complex technical systems Magdeburg, Germany</w:t>
      </w:r>
    </w:p>
    <w:p w14:paraId="680ABEA4" w14:textId="1177F1F4" w:rsidR="00704BDF" w:rsidRPr="00B83E54" w:rsidRDefault="00764BAC"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bookmarkStart w:id="0" w:name="_GoBack"/>
      <w:bookmarkEnd w:id="0"/>
      <w:r w:rsidR="00570578">
        <w:fldChar w:fldCharType="begin"/>
      </w:r>
      <w:r w:rsidR="00570578">
        <w:instrText xml:space="preserve"> HYPERLINK "mailto:johannes.hoffmann@starth.ac.uk" </w:instrText>
      </w:r>
      <w:r w:rsidR="00570578">
        <w:fldChar w:fldCharType="separate"/>
      </w:r>
      <w:r w:rsidR="00B83E54" w:rsidRPr="00B83E54">
        <w:rPr>
          <w:rStyle w:val="Collegamentoipertestuale"/>
          <w:rFonts w:asciiTheme="minorHAnsi" w:hAnsiTheme="minorHAnsi"/>
          <w:i/>
          <w:sz w:val="20"/>
        </w:rPr>
        <w:t>johannes.hoffmann@starth.ac.uk</w:t>
      </w:r>
      <w:r w:rsidR="00570578">
        <w:rPr>
          <w:rStyle w:val="Collegamentoipertestuale"/>
          <w:rFonts w:asciiTheme="minorHAnsi" w:hAnsiTheme="minorHAnsi"/>
          <w:i/>
          <w:sz w:val="20"/>
        </w:rPr>
        <w:fldChar w:fldCharType="end"/>
      </w:r>
    </w:p>
    <w:p w14:paraId="7F408BB1"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A3BF7A4" w14:textId="77777777" w:rsidR="00704BDF" w:rsidRPr="00EC66CC" w:rsidRDefault="00827E2A" w:rsidP="00704BDF">
      <w:pPr>
        <w:pStyle w:val="AbstractBody"/>
        <w:numPr>
          <w:ilvl w:val="0"/>
          <w:numId w:val="16"/>
        </w:numPr>
        <w:rPr>
          <w:rFonts w:asciiTheme="minorHAnsi" w:hAnsiTheme="minorHAnsi"/>
        </w:rPr>
      </w:pPr>
      <w:r>
        <w:rPr>
          <w:rFonts w:asciiTheme="minorHAnsi" w:hAnsiTheme="minorHAnsi"/>
        </w:rPr>
        <w:t xml:space="preserve">Chiral </w:t>
      </w:r>
      <w:r w:rsidR="007F4653">
        <w:rPr>
          <w:rFonts w:asciiTheme="minorHAnsi" w:hAnsiTheme="minorHAnsi"/>
        </w:rPr>
        <w:t>Separation at the eutectic using serial crystallization works</w:t>
      </w:r>
      <w:r>
        <w:rPr>
          <w:rFonts w:asciiTheme="minorHAnsi" w:hAnsiTheme="minorHAnsi"/>
        </w:rPr>
        <w:t xml:space="preserve"> resulting in high enantiopurity</w:t>
      </w:r>
    </w:p>
    <w:p w14:paraId="19982F9D" w14:textId="77777777" w:rsidR="00020100" w:rsidRPr="00EC66CC" w:rsidRDefault="007F4653" w:rsidP="00020100">
      <w:pPr>
        <w:pStyle w:val="AbstractBody"/>
        <w:numPr>
          <w:ilvl w:val="0"/>
          <w:numId w:val="16"/>
        </w:numPr>
        <w:rPr>
          <w:rFonts w:asciiTheme="minorHAnsi" w:hAnsiTheme="minorHAnsi"/>
        </w:rPr>
      </w:pPr>
      <w:r>
        <w:rPr>
          <w:rFonts w:asciiTheme="minorHAnsi" w:hAnsiTheme="minorHAnsi"/>
        </w:rPr>
        <w:t xml:space="preserve">In situ monitoring of the </w:t>
      </w:r>
      <w:r w:rsidR="00827E2A">
        <w:rPr>
          <w:rFonts w:asciiTheme="minorHAnsi" w:hAnsiTheme="minorHAnsi"/>
        </w:rPr>
        <w:t xml:space="preserve">enantiomeric excess </w:t>
      </w:r>
      <w:r>
        <w:rPr>
          <w:rFonts w:asciiTheme="minorHAnsi" w:hAnsiTheme="minorHAnsi"/>
        </w:rPr>
        <w:t>with Raman is possible.</w:t>
      </w:r>
    </w:p>
    <w:p w14:paraId="7E675620" w14:textId="77777777" w:rsidR="00704BDF" w:rsidRPr="00A15B93" w:rsidRDefault="00704BDF" w:rsidP="00704BDF">
      <w:pPr>
        <w:snapToGrid w:val="0"/>
        <w:spacing w:after="120"/>
        <w:jc w:val="center"/>
        <w:rPr>
          <w:rFonts w:eastAsia="SimSun"/>
          <w:bCs/>
          <w:i/>
          <w:iCs/>
          <w:color w:val="0000FF"/>
          <w:sz w:val="20"/>
          <w:lang w:val="en-US" w:eastAsia="zh-CN"/>
        </w:rPr>
      </w:pPr>
    </w:p>
    <w:p w14:paraId="5D5FFD63"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4688B13B" w14:textId="77777777" w:rsidR="00B2534A" w:rsidRPr="00B2534A" w:rsidRDefault="00B2534A" w:rsidP="007546AC">
      <w:pPr>
        <w:rPr>
          <w:rFonts w:asciiTheme="minorHAnsi" w:hAnsiTheme="minorHAnsi"/>
          <w:sz w:val="22"/>
          <w:szCs w:val="22"/>
        </w:rPr>
      </w:pPr>
      <w:r w:rsidRPr="00B2534A">
        <w:rPr>
          <w:rFonts w:asciiTheme="minorHAnsi" w:hAnsiTheme="minorHAnsi"/>
          <w:sz w:val="22"/>
          <w:szCs w:val="22"/>
        </w:rPr>
        <w:t xml:space="preserve">As the majority of new pharmaceutical substances are chiral, pharmaceutical industry seeks access to a broad range of chiral resolution methods to separate enantiomers of such chiral compounds. </w:t>
      </w:r>
      <w:r w:rsidR="00DA683E">
        <w:rPr>
          <w:rFonts w:asciiTheme="minorHAnsi" w:hAnsiTheme="minorHAnsi"/>
          <w:sz w:val="22"/>
          <w:szCs w:val="22"/>
        </w:rPr>
        <w:t>While new resolution methods such as attrition enhanced deracemization are developed, p</w:t>
      </w:r>
      <w:r w:rsidRPr="00B2534A">
        <w:rPr>
          <w:rFonts w:asciiTheme="minorHAnsi" w:hAnsiTheme="minorHAnsi"/>
          <w:sz w:val="22"/>
          <w:szCs w:val="22"/>
        </w:rPr>
        <w:t xml:space="preserve">referential crystallization (PC) has been proven to be an efficient and selective method to separate enantiomers in a conglomerate system. </w:t>
      </w:r>
      <w:r w:rsidR="00131F8F">
        <w:rPr>
          <w:rFonts w:asciiTheme="minorHAnsi" w:hAnsiTheme="minorHAnsi"/>
          <w:sz w:val="22"/>
          <w:szCs w:val="22"/>
        </w:rPr>
        <w:t>Interestingly</w:t>
      </w:r>
      <w:r w:rsidRPr="00B2534A">
        <w:rPr>
          <w:rFonts w:asciiTheme="minorHAnsi" w:hAnsiTheme="minorHAnsi"/>
          <w:sz w:val="22"/>
          <w:szCs w:val="22"/>
        </w:rPr>
        <w:t xml:space="preserve">, </w:t>
      </w:r>
      <w:r w:rsidR="00827E2A" w:rsidRPr="00B2534A">
        <w:rPr>
          <w:rFonts w:asciiTheme="minorHAnsi" w:hAnsiTheme="minorHAnsi"/>
          <w:sz w:val="22"/>
          <w:szCs w:val="22"/>
        </w:rPr>
        <w:t>if the crystallization feed is sufficiently enriched</w:t>
      </w:r>
      <w:r w:rsidR="00827E2A">
        <w:rPr>
          <w:rFonts w:asciiTheme="minorHAnsi" w:hAnsiTheme="minorHAnsi"/>
          <w:sz w:val="22"/>
          <w:szCs w:val="22"/>
        </w:rPr>
        <w:t xml:space="preserve"> using another separation technology,</w:t>
      </w:r>
      <w:r w:rsidR="00827E2A" w:rsidRPr="00B2534A">
        <w:rPr>
          <w:rFonts w:asciiTheme="minorHAnsi" w:hAnsiTheme="minorHAnsi"/>
          <w:sz w:val="22"/>
          <w:szCs w:val="22"/>
        </w:rPr>
        <w:t xml:space="preserve"> </w:t>
      </w:r>
      <w:r w:rsidRPr="00B2534A">
        <w:rPr>
          <w:rFonts w:asciiTheme="minorHAnsi" w:hAnsiTheme="minorHAnsi"/>
          <w:sz w:val="22"/>
          <w:szCs w:val="22"/>
        </w:rPr>
        <w:t xml:space="preserve">PC </w:t>
      </w:r>
      <w:r w:rsidR="00681A55">
        <w:rPr>
          <w:rFonts w:asciiTheme="minorHAnsi" w:hAnsiTheme="minorHAnsi"/>
          <w:sz w:val="22"/>
          <w:szCs w:val="22"/>
        </w:rPr>
        <w:t xml:space="preserve">of the preferred enantiomer </w:t>
      </w:r>
      <w:r w:rsidRPr="00B2534A">
        <w:rPr>
          <w:rFonts w:asciiTheme="minorHAnsi" w:hAnsiTheme="minorHAnsi"/>
          <w:sz w:val="22"/>
          <w:szCs w:val="22"/>
        </w:rPr>
        <w:t xml:space="preserve">can also be applied </w:t>
      </w:r>
      <w:r w:rsidR="00827E2A">
        <w:rPr>
          <w:rFonts w:asciiTheme="minorHAnsi" w:hAnsiTheme="minorHAnsi"/>
          <w:sz w:val="22"/>
          <w:szCs w:val="22"/>
        </w:rPr>
        <w:t>to</w:t>
      </w:r>
      <w:r w:rsidR="00827E2A" w:rsidRPr="00B2534A">
        <w:rPr>
          <w:rFonts w:asciiTheme="minorHAnsi" w:hAnsiTheme="minorHAnsi"/>
          <w:sz w:val="22"/>
          <w:szCs w:val="22"/>
        </w:rPr>
        <w:t xml:space="preserve"> </w:t>
      </w:r>
      <w:r w:rsidRPr="00B2534A">
        <w:rPr>
          <w:rFonts w:asciiTheme="minorHAnsi" w:hAnsiTheme="minorHAnsi"/>
          <w:sz w:val="22"/>
          <w:szCs w:val="22"/>
        </w:rPr>
        <w:t xml:space="preserve">racemic compound forming systems </w:t>
      </w:r>
      <w:r w:rsidR="002177C7">
        <w:rPr>
          <w:rFonts w:asciiTheme="minorHAnsi" w:hAnsiTheme="minorHAnsi"/>
          <w:sz w:val="22"/>
          <w:szCs w:val="22"/>
        </w:rPr>
        <w:fldChar w:fldCharType="begin"/>
      </w:r>
      <w:r w:rsidR="00F22BD8">
        <w:rPr>
          <w:rFonts w:asciiTheme="minorHAnsi" w:hAnsiTheme="minorHAnsi"/>
          <w:sz w:val="22"/>
          <w:szCs w:val="22"/>
        </w:rPr>
        <w:instrText xml:space="preserve"> ADDIN EN.CITE &lt;EndNote&gt;&lt;Cite&gt;&lt;Author&gt;Gou&lt;/Author&gt;&lt;Year&gt;2011&lt;/Year&gt;&lt;RecNum&gt;39&lt;/RecNum&gt;&lt;DisplayText&gt;[1]&lt;/DisplayText&gt;&lt;record&gt;&lt;rec-number&gt;39&lt;/rec-number&gt;&lt;foreign-keys&gt;&lt;key app="EN" db-id="50avxr903pvszpez25spxz069fdx5axwa5da" timestamp="1508336381"&gt;39&lt;/key&gt;&lt;key app="ENWeb" db-id=""&gt;0&lt;/key&gt;&lt;/foreign-keys&gt;&lt;ref-type name="Journal Article"&gt;17&lt;/ref-type&gt;&lt;contributors&gt;&lt;authors&gt;&lt;author&gt;Gou, L.&lt;/author&gt;&lt;author&gt;Robl, S.&lt;/author&gt;&lt;author&gt;Leonhard, K.&lt;/author&gt;&lt;author&gt;Lorenz, H.&lt;/author&gt;&lt;author&gt;Sordo, M.&lt;/author&gt;&lt;author&gt;Butka, A.&lt;/author&gt;&lt;author&gt;Kesselheim, S.&lt;/author&gt;&lt;author&gt;Wolff, M.&lt;/author&gt;&lt;author&gt;Seidel-Morgenstern, A.&lt;/author&gt;&lt;author&gt;Schaber, K.&lt;/author&gt;&lt;/authors&gt;&lt;/contributors&gt;&lt;auth-address&gt;Max Planck Institute for Dynamics of Complex Technical Systems, Physical and Chemical Foundations of Process Engineering, D-39106 Magdeburg, Germany. gou@mpi-magdeburg.mpg.de&lt;/auth-address&gt;&lt;titles&gt;&lt;title&gt;A hybrid process for chiral separation of compound-forming systems&lt;/title&gt;&lt;secondary-title&gt;Chirality&lt;/secondary-title&gt;&lt;/titles&gt;&lt;periodical&gt;&lt;full-title&gt;Chirality&lt;/full-title&gt;&lt;/periodical&gt;&lt;pages&gt;118-27&lt;/pages&gt;&lt;volume&gt;23&lt;/volume&gt;&lt;number&gt;2&lt;/number&gt;&lt;keywords&gt;&lt;keyword&gt;Crystallization&lt;/keyword&gt;&lt;keyword&gt;Ethers/*chemistry&lt;/keyword&gt;&lt;keyword&gt;Hydroquinones/*chemistry&lt;/keyword&gt;&lt;keyword&gt;Mandelic Acids/*chemistry/*isolation &amp;amp; purification&lt;/keyword&gt;&lt;keyword&gt;Membranes, Artificial&lt;/keyword&gt;&lt;keyword&gt;Models, Chemical&lt;/keyword&gt;&lt;keyword&gt;Quinidine/chemistry&lt;/keyword&gt;&lt;keyword&gt;Solubility&lt;/keyword&gt;&lt;keyword&gt;Stereoisomerism&lt;/keyword&gt;&lt;keyword&gt;Tetrahydronaphthalenes/chemistry&lt;/keyword&gt;&lt;/keywords&gt;&lt;dates&gt;&lt;year&gt;2011&lt;/year&gt;&lt;pub-dates&gt;&lt;date&gt;Feb&lt;/date&gt;&lt;/pub-dates&gt;&lt;/dates&gt;&lt;isbn&gt;1520-636X (Electronic)&amp;#xD;0899-0042 (Linking)&lt;/isbn&gt;&lt;accession-num&gt;20845428&lt;/accession-num&gt;&lt;urls&gt;&lt;related-urls&gt;&lt;url&gt;https://www.ncbi.nlm.nih.gov/pubmed/20845428&lt;/url&gt;&lt;/related-urls&gt;&lt;/urls&gt;&lt;electronic-resource-num&gt;10.1002/chir.20886&lt;/electronic-resource-num&gt;&lt;/record&gt;&lt;/Cite&gt;&lt;/EndNote&gt;</w:instrText>
      </w:r>
      <w:r w:rsidR="002177C7">
        <w:rPr>
          <w:rFonts w:asciiTheme="minorHAnsi" w:hAnsiTheme="minorHAnsi"/>
          <w:sz w:val="22"/>
          <w:szCs w:val="22"/>
        </w:rPr>
        <w:fldChar w:fldCharType="separate"/>
      </w:r>
      <w:r w:rsidR="00F22BD8">
        <w:rPr>
          <w:rFonts w:asciiTheme="minorHAnsi" w:hAnsiTheme="minorHAnsi"/>
          <w:noProof/>
          <w:sz w:val="22"/>
          <w:szCs w:val="22"/>
        </w:rPr>
        <w:t>[1]</w:t>
      </w:r>
      <w:r w:rsidR="002177C7">
        <w:rPr>
          <w:rFonts w:asciiTheme="minorHAnsi" w:hAnsiTheme="minorHAnsi"/>
          <w:sz w:val="22"/>
          <w:szCs w:val="22"/>
        </w:rPr>
        <w:fldChar w:fldCharType="end"/>
      </w:r>
      <w:r w:rsidR="00CF783D">
        <w:rPr>
          <w:rFonts w:asciiTheme="minorHAnsi" w:hAnsiTheme="minorHAnsi"/>
          <w:sz w:val="22"/>
          <w:szCs w:val="22"/>
        </w:rPr>
        <w:t>.</w:t>
      </w:r>
      <w:r w:rsidRPr="00B2534A">
        <w:rPr>
          <w:rFonts w:asciiTheme="minorHAnsi" w:hAnsiTheme="minorHAnsi"/>
          <w:sz w:val="22"/>
          <w:szCs w:val="22"/>
        </w:rPr>
        <w:t xml:space="preserve"> Here we present a </w:t>
      </w:r>
      <w:r w:rsidR="00C2375F">
        <w:rPr>
          <w:rFonts w:asciiTheme="minorHAnsi" w:hAnsiTheme="minorHAnsi"/>
          <w:sz w:val="22"/>
          <w:szCs w:val="22"/>
        </w:rPr>
        <w:t>simple PC</w:t>
      </w:r>
      <w:r w:rsidR="00131F8F">
        <w:rPr>
          <w:rFonts w:asciiTheme="minorHAnsi" w:hAnsiTheme="minorHAnsi"/>
          <w:sz w:val="22"/>
          <w:szCs w:val="22"/>
        </w:rPr>
        <w:t xml:space="preserve"> </w:t>
      </w:r>
      <w:r w:rsidRPr="00B2534A">
        <w:rPr>
          <w:rFonts w:asciiTheme="minorHAnsi" w:hAnsiTheme="minorHAnsi"/>
          <w:sz w:val="22"/>
          <w:szCs w:val="22"/>
        </w:rPr>
        <w:t>process to efficiently and robustly produce enantiopure crystals, starting with a</w:t>
      </w:r>
      <w:r w:rsidR="00C2375F">
        <w:rPr>
          <w:rFonts w:asciiTheme="minorHAnsi" w:hAnsiTheme="minorHAnsi"/>
          <w:sz w:val="22"/>
          <w:szCs w:val="22"/>
        </w:rPr>
        <w:t xml:space="preserve"> </w:t>
      </w:r>
      <w:r w:rsidRPr="00B2534A">
        <w:rPr>
          <w:rFonts w:asciiTheme="minorHAnsi" w:hAnsiTheme="minorHAnsi"/>
          <w:sz w:val="22"/>
          <w:szCs w:val="22"/>
        </w:rPr>
        <w:t xml:space="preserve">suspension of </w:t>
      </w:r>
      <w:r w:rsidR="00C2375F">
        <w:rPr>
          <w:rFonts w:asciiTheme="minorHAnsi" w:hAnsiTheme="minorHAnsi"/>
          <w:sz w:val="22"/>
          <w:szCs w:val="22"/>
        </w:rPr>
        <w:t xml:space="preserve">both </w:t>
      </w:r>
      <w:r w:rsidRPr="00B2534A">
        <w:rPr>
          <w:rFonts w:asciiTheme="minorHAnsi" w:hAnsiTheme="minorHAnsi"/>
          <w:sz w:val="22"/>
          <w:szCs w:val="22"/>
        </w:rPr>
        <w:t xml:space="preserve">enantiopure and racemic compound crystals in a solution of eutectic composition. </w:t>
      </w:r>
    </w:p>
    <w:p w14:paraId="0503FE5A" w14:textId="77777777" w:rsidR="00704BDF" w:rsidRDefault="00704BDF" w:rsidP="00F42E96">
      <w:pPr>
        <w:snapToGrid w:val="0"/>
        <w:spacing w:before="60" w:after="6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054174FA" w14:textId="77777777" w:rsidR="00131F8F" w:rsidRDefault="00020100" w:rsidP="003B34DA">
      <w:pPr>
        <w:rPr>
          <w:rFonts w:asciiTheme="minorHAnsi" w:hAnsiTheme="minorHAnsi"/>
          <w:sz w:val="22"/>
          <w:szCs w:val="22"/>
        </w:rPr>
      </w:pPr>
      <w:r w:rsidRPr="00020100">
        <w:rPr>
          <w:rFonts w:asciiTheme="minorHAnsi" w:hAnsiTheme="minorHAnsi"/>
          <w:sz w:val="22"/>
          <w:szCs w:val="22"/>
        </w:rPr>
        <w:t xml:space="preserve">In the feed vessel, an enriched suspension with both racemic and enantiopure </w:t>
      </w:r>
      <w:proofErr w:type="spellStart"/>
      <w:r w:rsidR="00C2375F">
        <w:rPr>
          <w:rFonts w:asciiTheme="minorHAnsi" w:hAnsiTheme="minorHAnsi"/>
          <w:sz w:val="22"/>
          <w:szCs w:val="22"/>
        </w:rPr>
        <w:t>mandelic</w:t>
      </w:r>
      <w:proofErr w:type="spellEnd"/>
      <w:r w:rsidR="00C2375F">
        <w:rPr>
          <w:rFonts w:asciiTheme="minorHAnsi" w:hAnsiTheme="minorHAnsi"/>
          <w:sz w:val="22"/>
          <w:szCs w:val="22"/>
        </w:rPr>
        <w:t xml:space="preserve"> acid </w:t>
      </w:r>
      <w:r w:rsidRPr="00020100">
        <w:rPr>
          <w:rFonts w:asciiTheme="minorHAnsi" w:hAnsiTheme="minorHAnsi"/>
          <w:sz w:val="22"/>
          <w:szCs w:val="22"/>
        </w:rPr>
        <w:t xml:space="preserve">crystals </w:t>
      </w:r>
      <w:r w:rsidR="00C2375F">
        <w:rPr>
          <w:rFonts w:asciiTheme="minorHAnsi" w:hAnsiTheme="minorHAnsi"/>
          <w:sz w:val="22"/>
          <w:szCs w:val="22"/>
        </w:rPr>
        <w:t xml:space="preserve">in water </w:t>
      </w:r>
      <w:r w:rsidRPr="00020100">
        <w:rPr>
          <w:rFonts w:asciiTheme="minorHAnsi" w:hAnsiTheme="minorHAnsi"/>
          <w:sz w:val="22"/>
          <w:szCs w:val="22"/>
        </w:rPr>
        <w:t xml:space="preserve">was equilibrated at temperature </w:t>
      </w:r>
      <w:r w:rsidRPr="00020100">
        <w:rPr>
          <w:rFonts w:asciiTheme="minorHAnsi" w:hAnsiTheme="minorHAnsi"/>
          <w:i/>
          <w:sz w:val="22"/>
          <w:szCs w:val="22"/>
        </w:rPr>
        <w:t>T</w:t>
      </w:r>
      <w:r w:rsidRPr="00020100">
        <w:rPr>
          <w:rFonts w:asciiTheme="minorHAnsi" w:hAnsiTheme="minorHAnsi"/>
          <w:sz w:val="22"/>
          <w:szCs w:val="22"/>
          <w:vertAlign w:val="subscript"/>
        </w:rPr>
        <w:t>1</w:t>
      </w:r>
      <w:r w:rsidRPr="00020100">
        <w:rPr>
          <w:rFonts w:asciiTheme="minorHAnsi" w:hAnsiTheme="minorHAnsi"/>
          <w:sz w:val="22"/>
          <w:szCs w:val="22"/>
        </w:rPr>
        <w:t xml:space="preserve"> so that the </w:t>
      </w:r>
      <w:r w:rsidR="00C307F8">
        <w:rPr>
          <w:rFonts w:asciiTheme="minorHAnsi" w:hAnsiTheme="minorHAnsi"/>
          <w:sz w:val="22"/>
          <w:szCs w:val="22"/>
        </w:rPr>
        <w:t xml:space="preserve">feed </w:t>
      </w:r>
      <w:r w:rsidRPr="00020100">
        <w:rPr>
          <w:rFonts w:asciiTheme="minorHAnsi" w:hAnsiTheme="minorHAnsi"/>
          <w:sz w:val="22"/>
          <w:szCs w:val="22"/>
        </w:rPr>
        <w:t>solution composition was equal to that of the eutectic point at the same temperature</w:t>
      </w:r>
      <w:r w:rsidR="00C2375F">
        <w:rPr>
          <w:rFonts w:asciiTheme="minorHAnsi" w:hAnsiTheme="minorHAnsi"/>
          <w:sz w:val="22"/>
          <w:szCs w:val="22"/>
        </w:rPr>
        <w:t xml:space="preserve"> (Figure 1)</w:t>
      </w:r>
      <w:r w:rsidRPr="00020100">
        <w:rPr>
          <w:rFonts w:asciiTheme="minorHAnsi" w:hAnsiTheme="minorHAnsi"/>
          <w:sz w:val="22"/>
          <w:szCs w:val="22"/>
        </w:rPr>
        <w:t xml:space="preserve">. A filtered solution was continuously pumped </w:t>
      </w:r>
      <w:r w:rsidR="00C307F8">
        <w:rPr>
          <w:rFonts w:asciiTheme="minorHAnsi" w:hAnsiTheme="minorHAnsi"/>
          <w:sz w:val="22"/>
          <w:szCs w:val="22"/>
        </w:rPr>
        <w:t xml:space="preserve">from the feed vessel </w:t>
      </w:r>
      <w:r w:rsidRPr="00020100">
        <w:rPr>
          <w:rFonts w:asciiTheme="minorHAnsi" w:hAnsiTheme="minorHAnsi"/>
          <w:sz w:val="22"/>
          <w:szCs w:val="22"/>
        </w:rPr>
        <w:t xml:space="preserve">into the </w:t>
      </w:r>
      <w:r w:rsidR="00B7350E">
        <w:rPr>
          <w:rFonts w:asciiTheme="minorHAnsi" w:hAnsiTheme="minorHAnsi"/>
          <w:sz w:val="22"/>
          <w:szCs w:val="22"/>
        </w:rPr>
        <w:t>first</w:t>
      </w:r>
      <w:r w:rsidRPr="00020100">
        <w:rPr>
          <w:rFonts w:asciiTheme="minorHAnsi" w:hAnsiTheme="minorHAnsi"/>
          <w:sz w:val="22"/>
          <w:szCs w:val="22"/>
        </w:rPr>
        <w:t xml:space="preserve"> crystallizer </w:t>
      </w:r>
      <w:r w:rsidR="00C307F8">
        <w:rPr>
          <w:rFonts w:asciiTheme="minorHAnsi" w:hAnsiTheme="minorHAnsi"/>
          <w:sz w:val="22"/>
          <w:szCs w:val="22"/>
        </w:rPr>
        <w:t xml:space="preserve">(racemic compound </w:t>
      </w:r>
      <w:r w:rsidR="00992FB6">
        <w:rPr>
          <w:rFonts w:asciiTheme="minorHAnsi" w:hAnsiTheme="minorHAnsi"/>
          <w:sz w:val="22"/>
          <w:szCs w:val="22"/>
        </w:rPr>
        <w:t xml:space="preserve">DL </w:t>
      </w:r>
      <w:r w:rsidR="00C307F8">
        <w:rPr>
          <w:rFonts w:asciiTheme="minorHAnsi" w:hAnsiTheme="minorHAnsi"/>
          <w:sz w:val="22"/>
          <w:szCs w:val="22"/>
        </w:rPr>
        <w:t xml:space="preserve">crystallizer) </w:t>
      </w:r>
      <w:r w:rsidR="00B7350E">
        <w:rPr>
          <w:rFonts w:asciiTheme="minorHAnsi" w:hAnsiTheme="minorHAnsi"/>
          <w:sz w:val="22"/>
          <w:szCs w:val="22"/>
        </w:rPr>
        <w:t xml:space="preserve">and from that into </w:t>
      </w:r>
      <w:r w:rsidR="00C2375F">
        <w:rPr>
          <w:rFonts w:asciiTheme="minorHAnsi" w:hAnsiTheme="minorHAnsi"/>
          <w:sz w:val="22"/>
          <w:szCs w:val="22"/>
        </w:rPr>
        <w:t xml:space="preserve">the </w:t>
      </w:r>
      <w:r w:rsidR="00B7350E">
        <w:rPr>
          <w:rFonts w:asciiTheme="minorHAnsi" w:hAnsiTheme="minorHAnsi"/>
          <w:sz w:val="22"/>
          <w:szCs w:val="22"/>
        </w:rPr>
        <w:t>second crystallizer</w:t>
      </w:r>
      <w:r w:rsidR="00C307F8">
        <w:rPr>
          <w:rFonts w:asciiTheme="minorHAnsi" w:hAnsiTheme="minorHAnsi"/>
          <w:sz w:val="22"/>
          <w:szCs w:val="22"/>
        </w:rPr>
        <w:t xml:space="preserve"> (enantiopure product </w:t>
      </w:r>
      <w:r w:rsidR="00992FB6">
        <w:rPr>
          <w:rFonts w:asciiTheme="minorHAnsi" w:hAnsiTheme="minorHAnsi"/>
          <w:sz w:val="22"/>
          <w:szCs w:val="22"/>
        </w:rPr>
        <w:t xml:space="preserve">D </w:t>
      </w:r>
      <w:r w:rsidR="00C307F8">
        <w:rPr>
          <w:rFonts w:asciiTheme="minorHAnsi" w:hAnsiTheme="minorHAnsi"/>
          <w:sz w:val="22"/>
          <w:szCs w:val="22"/>
        </w:rPr>
        <w:t>crystallizer)</w:t>
      </w:r>
      <w:r w:rsidR="00C2375F">
        <w:rPr>
          <w:rFonts w:asciiTheme="minorHAnsi" w:hAnsiTheme="minorHAnsi"/>
          <w:sz w:val="22"/>
          <w:szCs w:val="22"/>
        </w:rPr>
        <w:t>, continuing as a recycle for the feed vessel</w:t>
      </w:r>
      <w:r w:rsidR="00B7350E">
        <w:rPr>
          <w:rFonts w:asciiTheme="minorHAnsi" w:hAnsiTheme="minorHAnsi"/>
          <w:sz w:val="22"/>
          <w:szCs w:val="22"/>
        </w:rPr>
        <w:t>.</w:t>
      </w:r>
      <w:r w:rsidRPr="00020100">
        <w:rPr>
          <w:rFonts w:asciiTheme="minorHAnsi" w:hAnsiTheme="minorHAnsi"/>
          <w:sz w:val="22"/>
          <w:szCs w:val="22"/>
        </w:rPr>
        <w:t xml:space="preserve"> </w:t>
      </w:r>
      <w:r w:rsidR="00C2375F">
        <w:rPr>
          <w:rFonts w:asciiTheme="minorHAnsi" w:hAnsiTheme="minorHAnsi"/>
          <w:sz w:val="22"/>
          <w:szCs w:val="22"/>
        </w:rPr>
        <w:t>T</w:t>
      </w:r>
      <w:r w:rsidRPr="00020100">
        <w:rPr>
          <w:rFonts w:asciiTheme="minorHAnsi" w:hAnsiTheme="minorHAnsi"/>
          <w:sz w:val="22"/>
          <w:szCs w:val="22"/>
        </w:rPr>
        <w:t xml:space="preserve">he </w:t>
      </w:r>
      <w:r w:rsidR="00C2375F">
        <w:rPr>
          <w:rFonts w:asciiTheme="minorHAnsi" w:hAnsiTheme="minorHAnsi"/>
          <w:sz w:val="22"/>
          <w:szCs w:val="22"/>
        </w:rPr>
        <w:t xml:space="preserve">crystallizer </w:t>
      </w:r>
      <w:r w:rsidRPr="00020100">
        <w:rPr>
          <w:rFonts w:asciiTheme="minorHAnsi" w:hAnsiTheme="minorHAnsi"/>
          <w:sz w:val="22"/>
          <w:szCs w:val="22"/>
        </w:rPr>
        <w:t xml:space="preserve">suspensions were held at a </w:t>
      </w:r>
      <w:r w:rsidR="00C307F8">
        <w:rPr>
          <w:rFonts w:asciiTheme="minorHAnsi" w:hAnsiTheme="minorHAnsi"/>
          <w:sz w:val="22"/>
          <w:szCs w:val="22"/>
        </w:rPr>
        <w:t xml:space="preserve">slightly </w:t>
      </w:r>
      <w:r w:rsidRPr="00020100">
        <w:rPr>
          <w:rFonts w:asciiTheme="minorHAnsi" w:hAnsiTheme="minorHAnsi"/>
          <w:sz w:val="22"/>
          <w:szCs w:val="22"/>
        </w:rPr>
        <w:t xml:space="preserve">lower temperature </w:t>
      </w:r>
      <w:r w:rsidRPr="00020100">
        <w:rPr>
          <w:rFonts w:asciiTheme="minorHAnsi" w:hAnsiTheme="minorHAnsi"/>
          <w:i/>
          <w:sz w:val="22"/>
          <w:szCs w:val="22"/>
        </w:rPr>
        <w:t>T</w:t>
      </w:r>
      <w:r w:rsidRPr="00020100">
        <w:rPr>
          <w:rFonts w:asciiTheme="minorHAnsi" w:hAnsiTheme="minorHAnsi"/>
          <w:sz w:val="22"/>
          <w:szCs w:val="22"/>
          <w:vertAlign w:val="subscript"/>
        </w:rPr>
        <w:t>2</w:t>
      </w:r>
      <w:r w:rsidRPr="00020100">
        <w:rPr>
          <w:rFonts w:asciiTheme="minorHAnsi" w:hAnsiTheme="minorHAnsi"/>
          <w:sz w:val="22"/>
          <w:szCs w:val="22"/>
        </w:rPr>
        <w:t>&lt;</w:t>
      </w:r>
      <w:r w:rsidRPr="00020100">
        <w:rPr>
          <w:rFonts w:asciiTheme="minorHAnsi" w:hAnsiTheme="minorHAnsi"/>
          <w:i/>
          <w:sz w:val="22"/>
          <w:szCs w:val="22"/>
        </w:rPr>
        <w:t>T</w:t>
      </w:r>
      <w:r w:rsidRPr="00020100">
        <w:rPr>
          <w:rFonts w:asciiTheme="minorHAnsi" w:hAnsiTheme="minorHAnsi"/>
          <w:sz w:val="22"/>
          <w:szCs w:val="22"/>
          <w:vertAlign w:val="subscript"/>
        </w:rPr>
        <w:t>1</w:t>
      </w:r>
      <w:r w:rsidR="00C2375F">
        <w:rPr>
          <w:rFonts w:asciiTheme="minorHAnsi" w:hAnsiTheme="minorHAnsi"/>
          <w:sz w:val="22"/>
          <w:szCs w:val="22"/>
        </w:rPr>
        <w:t xml:space="preserve"> and were monitored by in situ Raman spectroscopy</w:t>
      </w:r>
      <w:r w:rsidRPr="00020100">
        <w:rPr>
          <w:rFonts w:asciiTheme="minorHAnsi" w:hAnsiTheme="minorHAnsi"/>
          <w:sz w:val="22"/>
          <w:szCs w:val="22"/>
        </w:rPr>
        <w:t>. The crystallizer</w:t>
      </w:r>
      <w:r w:rsidR="00C2375F">
        <w:rPr>
          <w:rFonts w:asciiTheme="minorHAnsi" w:hAnsiTheme="minorHAnsi"/>
          <w:sz w:val="22"/>
          <w:szCs w:val="22"/>
        </w:rPr>
        <w:t>s</w:t>
      </w:r>
      <w:r w:rsidRPr="00020100">
        <w:rPr>
          <w:rFonts w:asciiTheme="minorHAnsi" w:hAnsiTheme="minorHAnsi"/>
          <w:sz w:val="22"/>
          <w:szCs w:val="22"/>
        </w:rPr>
        <w:t xml:space="preserve"> initially contain solution at the eutectic composition and </w:t>
      </w:r>
      <w:r w:rsidR="00C307F8">
        <w:rPr>
          <w:rFonts w:asciiTheme="minorHAnsi" w:hAnsiTheme="minorHAnsi"/>
          <w:sz w:val="22"/>
          <w:szCs w:val="22"/>
        </w:rPr>
        <w:t xml:space="preserve">respectively </w:t>
      </w:r>
      <w:r w:rsidRPr="00020100">
        <w:rPr>
          <w:rFonts w:asciiTheme="minorHAnsi" w:hAnsiTheme="minorHAnsi"/>
          <w:sz w:val="22"/>
          <w:szCs w:val="22"/>
        </w:rPr>
        <w:t xml:space="preserve">racemic </w:t>
      </w:r>
      <w:r w:rsidR="00C307F8">
        <w:rPr>
          <w:rFonts w:asciiTheme="minorHAnsi" w:hAnsiTheme="minorHAnsi"/>
          <w:sz w:val="22"/>
          <w:szCs w:val="22"/>
        </w:rPr>
        <w:t xml:space="preserve">and </w:t>
      </w:r>
      <w:r w:rsidR="00B7350E">
        <w:rPr>
          <w:rFonts w:asciiTheme="minorHAnsi" w:hAnsiTheme="minorHAnsi"/>
          <w:sz w:val="22"/>
          <w:szCs w:val="22"/>
        </w:rPr>
        <w:t xml:space="preserve">enantiopure </w:t>
      </w:r>
      <w:r w:rsidRPr="00020100">
        <w:rPr>
          <w:rFonts w:asciiTheme="minorHAnsi" w:hAnsiTheme="minorHAnsi"/>
          <w:sz w:val="22"/>
          <w:szCs w:val="22"/>
        </w:rPr>
        <w:t>seed crystals</w:t>
      </w:r>
      <w:r w:rsidR="00131F8F">
        <w:rPr>
          <w:rFonts w:asciiTheme="minorHAnsi" w:hAnsiTheme="minorHAnsi"/>
          <w:sz w:val="22"/>
          <w:szCs w:val="22"/>
        </w:rPr>
        <w:t xml:space="preserve">. </w:t>
      </w:r>
    </w:p>
    <w:p w14:paraId="3B3149BA" w14:textId="77777777" w:rsidR="00131F8F" w:rsidRDefault="00131F8F" w:rsidP="00F42E96">
      <w:pPr>
        <w:spacing w:before="60" w:after="60"/>
        <w:rPr>
          <w:rFonts w:asciiTheme="minorHAnsi" w:hAnsiTheme="minorHAnsi"/>
          <w:sz w:val="22"/>
          <w:szCs w:val="22"/>
        </w:rPr>
      </w:pPr>
      <w:r w:rsidRPr="008D0BEB">
        <w:rPr>
          <w:rFonts w:asciiTheme="minorHAnsi" w:eastAsia="MS PGothic" w:hAnsiTheme="minorHAnsi"/>
          <w:b/>
          <w:bCs/>
          <w:color w:val="000000"/>
          <w:sz w:val="22"/>
          <w:szCs w:val="22"/>
          <w:lang w:val="en-US"/>
        </w:rPr>
        <w:t>3. Results and discussion</w:t>
      </w:r>
    </w:p>
    <w:p w14:paraId="6CE6332B" w14:textId="77777777" w:rsidR="00704BDF" w:rsidRDefault="00131F8F" w:rsidP="002177C7">
      <w:pPr>
        <w:rPr>
          <w:rFonts w:asciiTheme="minorHAnsi" w:eastAsia="MS PGothic" w:hAnsiTheme="minorHAnsi"/>
          <w:color w:val="000000"/>
          <w:sz w:val="22"/>
          <w:szCs w:val="22"/>
        </w:rPr>
      </w:pPr>
      <w:r>
        <w:rPr>
          <w:rFonts w:asciiTheme="minorHAnsi" w:hAnsiTheme="minorHAnsi"/>
          <w:sz w:val="22"/>
          <w:szCs w:val="22"/>
        </w:rPr>
        <w:t xml:space="preserve">Due to the small temperature difference </w:t>
      </w:r>
      <w:r w:rsidR="005D287A">
        <w:rPr>
          <w:rFonts w:asciiTheme="minorHAnsi" w:hAnsiTheme="minorHAnsi"/>
          <w:sz w:val="22"/>
          <w:szCs w:val="22"/>
        </w:rPr>
        <w:t>between feed flow and crystallizer suspension a small supersaturation is created which induces the seed crystals to grow while preventing nucleation. Therefore,</w:t>
      </w:r>
      <w:r w:rsidR="007546AC">
        <w:rPr>
          <w:rFonts w:asciiTheme="minorHAnsi" w:hAnsiTheme="minorHAnsi"/>
          <w:sz w:val="22"/>
          <w:szCs w:val="22"/>
        </w:rPr>
        <w:t xml:space="preserve"> </w:t>
      </w:r>
      <w:r w:rsidR="00020100" w:rsidRPr="00020100">
        <w:rPr>
          <w:rFonts w:asciiTheme="minorHAnsi" w:hAnsiTheme="minorHAnsi"/>
          <w:sz w:val="22"/>
          <w:szCs w:val="22"/>
        </w:rPr>
        <w:t>D</w:t>
      </w:r>
      <w:r w:rsidR="00B7350E">
        <w:rPr>
          <w:rFonts w:asciiTheme="minorHAnsi" w:hAnsiTheme="minorHAnsi"/>
          <w:sz w:val="22"/>
          <w:szCs w:val="22"/>
        </w:rPr>
        <w:t>L</w:t>
      </w:r>
      <w:r w:rsidR="00020100" w:rsidRPr="00020100">
        <w:rPr>
          <w:rFonts w:asciiTheme="minorHAnsi" w:hAnsiTheme="minorHAnsi"/>
          <w:sz w:val="22"/>
          <w:szCs w:val="22"/>
        </w:rPr>
        <w:t>-</w:t>
      </w:r>
      <w:proofErr w:type="spellStart"/>
      <w:r w:rsidR="00020100" w:rsidRPr="00020100">
        <w:rPr>
          <w:rFonts w:asciiTheme="minorHAnsi" w:hAnsiTheme="minorHAnsi"/>
          <w:sz w:val="22"/>
          <w:szCs w:val="22"/>
        </w:rPr>
        <w:t>Mandelic</w:t>
      </w:r>
      <w:proofErr w:type="spellEnd"/>
      <w:r w:rsidR="00020100" w:rsidRPr="00020100">
        <w:rPr>
          <w:rFonts w:asciiTheme="minorHAnsi" w:hAnsiTheme="minorHAnsi"/>
          <w:sz w:val="22"/>
          <w:szCs w:val="22"/>
        </w:rPr>
        <w:t xml:space="preserve"> acid is c</w:t>
      </w:r>
      <w:r w:rsidR="00B7350E">
        <w:rPr>
          <w:rFonts w:asciiTheme="minorHAnsi" w:hAnsiTheme="minorHAnsi"/>
          <w:sz w:val="22"/>
          <w:szCs w:val="22"/>
        </w:rPr>
        <w:t xml:space="preserve">rystallized in </w:t>
      </w:r>
      <w:r w:rsidR="005D287A">
        <w:rPr>
          <w:rFonts w:asciiTheme="minorHAnsi" w:hAnsiTheme="minorHAnsi"/>
          <w:sz w:val="22"/>
          <w:szCs w:val="22"/>
        </w:rPr>
        <w:t xml:space="preserve">the first </w:t>
      </w:r>
      <w:r w:rsidR="00992FB6">
        <w:rPr>
          <w:rFonts w:asciiTheme="minorHAnsi" w:hAnsiTheme="minorHAnsi"/>
          <w:sz w:val="22"/>
          <w:szCs w:val="22"/>
        </w:rPr>
        <w:t xml:space="preserve">DL </w:t>
      </w:r>
      <w:r w:rsidR="00C2375F">
        <w:rPr>
          <w:rFonts w:asciiTheme="minorHAnsi" w:hAnsiTheme="minorHAnsi"/>
          <w:sz w:val="22"/>
          <w:szCs w:val="22"/>
        </w:rPr>
        <w:t xml:space="preserve">crystallizer </w:t>
      </w:r>
      <w:r w:rsidR="005D287A">
        <w:rPr>
          <w:rFonts w:asciiTheme="minorHAnsi" w:hAnsiTheme="minorHAnsi"/>
          <w:sz w:val="22"/>
          <w:szCs w:val="22"/>
        </w:rPr>
        <w:t xml:space="preserve">while </w:t>
      </w:r>
      <w:r w:rsidR="00B7350E">
        <w:rPr>
          <w:rFonts w:asciiTheme="minorHAnsi" w:hAnsiTheme="minorHAnsi"/>
          <w:sz w:val="22"/>
          <w:szCs w:val="22"/>
        </w:rPr>
        <w:t>D</w:t>
      </w:r>
      <w:r w:rsidR="00020100" w:rsidRPr="00020100">
        <w:rPr>
          <w:rFonts w:asciiTheme="minorHAnsi" w:hAnsiTheme="minorHAnsi"/>
          <w:sz w:val="22"/>
          <w:szCs w:val="22"/>
        </w:rPr>
        <w:t>-</w:t>
      </w:r>
      <w:proofErr w:type="spellStart"/>
      <w:r w:rsidR="00020100" w:rsidRPr="00020100">
        <w:rPr>
          <w:rFonts w:asciiTheme="minorHAnsi" w:hAnsiTheme="minorHAnsi"/>
          <w:sz w:val="22"/>
          <w:szCs w:val="22"/>
        </w:rPr>
        <w:t>Mandelic</w:t>
      </w:r>
      <w:proofErr w:type="spellEnd"/>
      <w:r w:rsidR="00020100" w:rsidRPr="00020100">
        <w:rPr>
          <w:rFonts w:asciiTheme="minorHAnsi" w:hAnsiTheme="minorHAnsi"/>
          <w:sz w:val="22"/>
          <w:szCs w:val="22"/>
        </w:rPr>
        <w:t xml:space="preserve"> acid is </w:t>
      </w:r>
      <w:r w:rsidR="00020100" w:rsidRPr="00020100">
        <w:rPr>
          <w:rFonts w:asciiTheme="minorHAnsi" w:hAnsiTheme="minorHAnsi"/>
          <w:sz w:val="22"/>
          <w:szCs w:val="22"/>
        </w:rPr>
        <w:lastRenderedPageBreak/>
        <w:t xml:space="preserve">crystallized in the </w:t>
      </w:r>
      <w:r w:rsidR="005D287A">
        <w:rPr>
          <w:rFonts w:asciiTheme="minorHAnsi" w:hAnsiTheme="minorHAnsi"/>
          <w:sz w:val="22"/>
          <w:szCs w:val="22"/>
        </w:rPr>
        <w:t xml:space="preserve">second </w:t>
      </w:r>
      <w:r w:rsidR="00992FB6">
        <w:rPr>
          <w:rFonts w:asciiTheme="minorHAnsi" w:hAnsiTheme="minorHAnsi"/>
          <w:sz w:val="22"/>
          <w:szCs w:val="22"/>
        </w:rPr>
        <w:t>D crystallizer increasing suspension densities in both crystallizers</w:t>
      </w:r>
      <w:r w:rsidR="00020100" w:rsidRPr="00020100">
        <w:rPr>
          <w:rFonts w:asciiTheme="minorHAnsi" w:hAnsiTheme="minorHAnsi"/>
          <w:sz w:val="22"/>
          <w:szCs w:val="22"/>
        </w:rPr>
        <w:t>.</w:t>
      </w:r>
      <w:r w:rsidR="00B7350E">
        <w:rPr>
          <w:rFonts w:asciiTheme="minorHAnsi" w:hAnsiTheme="minorHAnsi"/>
          <w:sz w:val="22"/>
          <w:szCs w:val="22"/>
        </w:rPr>
        <w:t xml:space="preserve"> </w:t>
      </w:r>
      <w:r w:rsidR="00F22BD8">
        <w:rPr>
          <w:rFonts w:asciiTheme="minorHAnsi" w:eastAsia="MS PGothic" w:hAnsiTheme="minorHAnsi"/>
          <w:color w:val="000000"/>
          <w:sz w:val="22"/>
          <w:szCs w:val="22"/>
          <w:lang w:val="en-US"/>
        </w:rPr>
        <w:t>The differences in the pure D- and DL-</w:t>
      </w:r>
      <w:proofErr w:type="spellStart"/>
      <w:r w:rsidR="00F22BD8">
        <w:rPr>
          <w:rFonts w:asciiTheme="minorHAnsi" w:eastAsia="MS PGothic" w:hAnsiTheme="minorHAnsi"/>
          <w:color w:val="000000"/>
          <w:sz w:val="22"/>
          <w:szCs w:val="22"/>
          <w:lang w:val="en-US"/>
        </w:rPr>
        <w:t>mandelic</w:t>
      </w:r>
      <w:proofErr w:type="spellEnd"/>
      <w:r w:rsidR="00F22BD8">
        <w:rPr>
          <w:rFonts w:asciiTheme="minorHAnsi" w:eastAsia="MS PGothic" w:hAnsiTheme="minorHAnsi"/>
          <w:color w:val="000000"/>
          <w:sz w:val="22"/>
          <w:szCs w:val="22"/>
          <w:lang w:val="en-US"/>
        </w:rPr>
        <w:t xml:space="preserve"> acid solid Raman spectra allow to monitor in situ the solid composition while the intensity changes of these differences allow to estimate their suspension density changes. This thus enables detection of contamination of the undesired DL </w:t>
      </w:r>
      <w:proofErr w:type="spellStart"/>
      <w:r w:rsidR="00F22BD8">
        <w:rPr>
          <w:rFonts w:asciiTheme="minorHAnsi" w:eastAsia="MS PGothic" w:hAnsiTheme="minorHAnsi"/>
          <w:color w:val="000000"/>
          <w:sz w:val="22"/>
          <w:szCs w:val="22"/>
          <w:lang w:val="en-US"/>
        </w:rPr>
        <w:t>mandelic</w:t>
      </w:r>
      <w:proofErr w:type="spellEnd"/>
      <w:r w:rsidR="00F22BD8">
        <w:rPr>
          <w:rFonts w:asciiTheme="minorHAnsi" w:eastAsia="MS PGothic" w:hAnsiTheme="minorHAnsi"/>
          <w:color w:val="000000"/>
          <w:sz w:val="22"/>
          <w:szCs w:val="22"/>
          <w:lang w:val="en-US"/>
        </w:rPr>
        <w:t xml:space="preserve"> acid in the D crystallizer due to primary nucleation events.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115"/>
      </w:tblGrid>
      <w:tr w:rsidR="00B94958" w14:paraId="45427D3C" w14:textId="77777777" w:rsidTr="00C307F8">
        <w:tc>
          <w:tcPr>
            <w:tcW w:w="4686" w:type="dxa"/>
            <w:vAlign w:val="bottom"/>
          </w:tcPr>
          <w:p w14:paraId="5645E737" w14:textId="77777777" w:rsidR="00B94958" w:rsidRPr="00B94958" w:rsidRDefault="00C307F8" w:rsidP="00C307F8">
            <w:pPr>
              <w:snapToGrid w:val="0"/>
              <w:spacing w:after="120"/>
              <w:jc w:val="center"/>
              <w:rPr>
                <w:rFonts w:asciiTheme="minorHAnsi" w:eastAsia="MS PGothic" w:hAnsiTheme="minorHAnsi"/>
                <w:color w:val="000000"/>
                <w:szCs w:val="18"/>
                <w:lang w:val="en-US"/>
              </w:rPr>
            </w:pPr>
            <w:r>
              <w:rPr>
                <w:rFonts w:asciiTheme="minorHAnsi" w:hAnsiTheme="minorHAnsi"/>
                <w:noProof/>
                <w:color w:val="000000" w:themeColor="text1"/>
                <w:sz w:val="22"/>
                <w:szCs w:val="22"/>
                <w:lang w:eastAsia="en-GB"/>
              </w:rPr>
              <w:drawing>
                <wp:inline distT="0" distB="0" distL="0" distR="0" wp14:anchorId="3BF1F65B" wp14:editId="4C84D2E1">
                  <wp:extent cx="2813336" cy="1761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b17101\Documents\001-Work-Strathclyde\02-Papers\003-ECCE19\Set up.em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13336" cy="1761252"/>
                          </a:xfrm>
                          <a:prstGeom prst="rect">
                            <a:avLst/>
                          </a:prstGeom>
                          <a:noFill/>
                          <a:ln>
                            <a:noFill/>
                          </a:ln>
                        </pic:spPr>
                      </pic:pic>
                    </a:graphicData>
                  </a:graphic>
                </wp:inline>
              </w:drawing>
            </w:r>
          </w:p>
        </w:tc>
        <w:tc>
          <w:tcPr>
            <w:tcW w:w="4317" w:type="dxa"/>
          </w:tcPr>
          <w:p w14:paraId="52C406B7" w14:textId="77777777" w:rsidR="00B94958" w:rsidRPr="00766A16" w:rsidRDefault="00C307F8" w:rsidP="001C26F8">
            <w:pPr>
              <w:snapToGrid w:val="0"/>
              <w:spacing w:after="120"/>
              <w:rPr>
                <w:rFonts w:asciiTheme="minorHAnsi" w:eastAsia="MS PGothic" w:hAnsiTheme="minorHAnsi"/>
                <w:color w:val="000000"/>
                <w:sz w:val="22"/>
                <w:szCs w:val="22"/>
                <w:lang w:val="en-US"/>
              </w:rPr>
            </w:pPr>
            <w:r>
              <w:rPr>
                <w:rFonts w:asciiTheme="minorHAnsi" w:hAnsiTheme="minorHAnsi"/>
                <w:noProof/>
                <w:lang w:eastAsia="en-GB"/>
              </w:rPr>
              <w:drawing>
                <wp:inline distT="0" distB="0" distL="0" distR="0" wp14:anchorId="1E9AE911" wp14:editId="37EBF729">
                  <wp:extent cx="2236305" cy="1760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b17101\Documents\001-Work-Strathclyde\02-Conferences\003-ECCE19\Growth rates.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51" t="4204" r="27554" b="23105"/>
                          <a:stretch/>
                        </pic:blipFill>
                        <pic:spPr bwMode="auto">
                          <a:xfrm>
                            <a:off x="0" y="0"/>
                            <a:ext cx="2282117" cy="17967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06D0D" w14:paraId="5B68D954" w14:textId="77777777" w:rsidTr="00406D0D">
        <w:trPr>
          <w:trHeight w:val="1004"/>
        </w:trPr>
        <w:tc>
          <w:tcPr>
            <w:tcW w:w="4686" w:type="dxa"/>
          </w:tcPr>
          <w:p w14:paraId="22CB5013" w14:textId="77777777" w:rsidR="00C307F8" w:rsidRDefault="00C307F8" w:rsidP="002177C7">
            <w:pPr>
              <w:snapToGrid w:val="0"/>
              <w:spacing w:after="120"/>
              <w:rPr>
                <w:rFonts w:asciiTheme="minorHAnsi" w:eastAsia="MS PGothic" w:hAnsiTheme="minorHAnsi"/>
                <w:color w:val="000000"/>
                <w:sz w:val="22"/>
                <w:szCs w:val="22"/>
              </w:rPr>
            </w:pPr>
            <w:r w:rsidRPr="0041292F">
              <w:rPr>
                <w:rFonts w:asciiTheme="minorHAnsi" w:hAnsiTheme="minorHAnsi"/>
                <w:b/>
                <w:color w:val="000000" w:themeColor="text1"/>
                <w:szCs w:val="18"/>
              </w:rPr>
              <w:t>Figure 1.</w:t>
            </w:r>
            <w:r>
              <w:rPr>
                <w:rFonts w:asciiTheme="minorHAnsi" w:hAnsiTheme="minorHAnsi"/>
                <w:color w:val="000000" w:themeColor="text1"/>
                <w:szCs w:val="18"/>
              </w:rPr>
              <w:t xml:space="preserve"> </w:t>
            </w:r>
            <w:r w:rsidR="005D287A">
              <w:rPr>
                <w:rFonts w:asciiTheme="minorHAnsi" w:hAnsiTheme="minorHAnsi"/>
                <w:color w:val="000000" w:themeColor="text1"/>
                <w:szCs w:val="18"/>
              </w:rPr>
              <w:t xml:space="preserve">Sequential Cascade Crystallizer </w:t>
            </w:r>
            <w:r>
              <w:rPr>
                <w:rFonts w:asciiTheme="minorHAnsi" w:hAnsiTheme="minorHAnsi"/>
                <w:color w:val="000000" w:themeColor="text1"/>
                <w:szCs w:val="18"/>
              </w:rPr>
              <w:t>set up for the separation of conglomerate and racemic compound forming systems at eutectic composition.</w:t>
            </w:r>
            <w:r w:rsidR="00BC5DC1">
              <w:rPr>
                <w:rFonts w:asciiTheme="minorHAnsi" w:hAnsiTheme="minorHAnsi"/>
                <w:color w:val="000000" w:themeColor="text1"/>
                <w:szCs w:val="18"/>
              </w:rPr>
              <w:t xml:space="preserve"> </w:t>
            </w:r>
          </w:p>
        </w:tc>
        <w:tc>
          <w:tcPr>
            <w:tcW w:w="4317" w:type="dxa"/>
          </w:tcPr>
          <w:p w14:paraId="6CCBA43E" w14:textId="77777777" w:rsidR="00C307F8" w:rsidRDefault="00C307F8" w:rsidP="00F22BD8">
            <w:pPr>
              <w:snapToGrid w:val="0"/>
              <w:spacing w:after="120"/>
              <w:rPr>
                <w:rFonts w:asciiTheme="minorHAnsi" w:hAnsiTheme="minorHAnsi"/>
                <w:noProof/>
                <w:lang w:eastAsia="en-GB"/>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3B34DA">
              <w:rPr>
                <w:rFonts w:asciiTheme="minorHAnsi" w:eastAsia="MS PGothic" w:hAnsiTheme="minorHAnsi"/>
                <w:color w:val="000000"/>
                <w:szCs w:val="18"/>
                <w:lang w:val="en-US"/>
              </w:rPr>
              <w:t xml:space="preserve">Estimated suspension densities </w:t>
            </w:r>
            <w:r w:rsidR="00BC5DC1" w:rsidRPr="002177C7">
              <w:rPr>
                <w:rFonts w:asciiTheme="minorHAnsi" w:eastAsia="MS PGothic" w:hAnsiTheme="minorHAnsi"/>
                <w:i/>
                <w:color w:val="000000"/>
                <w:szCs w:val="18"/>
                <w:lang w:val="en-US"/>
              </w:rPr>
              <w:sym w:font="Symbol" w:char="F072"/>
            </w:r>
            <w:proofErr w:type="spellStart"/>
            <w:r w:rsidR="00BC5DC1" w:rsidRPr="002177C7">
              <w:rPr>
                <w:rFonts w:asciiTheme="minorHAnsi" w:eastAsia="MS PGothic" w:hAnsiTheme="minorHAnsi"/>
                <w:color w:val="000000"/>
                <w:szCs w:val="18"/>
                <w:vertAlign w:val="subscript"/>
                <w:lang w:val="en-US"/>
              </w:rPr>
              <w:t>cr</w:t>
            </w:r>
            <w:proofErr w:type="spellEnd"/>
            <w:r w:rsidR="00BC5DC1">
              <w:rPr>
                <w:rFonts w:asciiTheme="minorHAnsi" w:eastAsia="MS PGothic" w:hAnsiTheme="minorHAnsi"/>
                <w:color w:val="000000"/>
                <w:szCs w:val="18"/>
                <w:lang w:val="en-US"/>
              </w:rPr>
              <w:t xml:space="preserve">(D) and </w:t>
            </w:r>
            <w:r w:rsidR="00BC5DC1" w:rsidRPr="002F6C5D">
              <w:rPr>
                <w:rFonts w:asciiTheme="minorHAnsi" w:eastAsia="MS PGothic" w:hAnsiTheme="minorHAnsi"/>
                <w:i/>
                <w:color w:val="000000"/>
                <w:szCs w:val="18"/>
                <w:lang w:val="en-US"/>
              </w:rPr>
              <w:sym w:font="Symbol" w:char="F072"/>
            </w:r>
            <w:proofErr w:type="spellStart"/>
            <w:r w:rsidR="00BC5DC1" w:rsidRPr="002F6C5D">
              <w:rPr>
                <w:rFonts w:asciiTheme="minorHAnsi" w:eastAsia="MS PGothic" w:hAnsiTheme="minorHAnsi"/>
                <w:color w:val="000000"/>
                <w:szCs w:val="18"/>
                <w:vertAlign w:val="subscript"/>
                <w:lang w:val="en-US"/>
              </w:rPr>
              <w:t>cr</w:t>
            </w:r>
            <w:proofErr w:type="spellEnd"/>
            <w:r w:rsidR="00BC5DC1">
              <w:rPr>
                <w:rFonts w:asciiTheme="minorHAnsi" w:eastAsia="MS PGothic" w:hAnsiTheme="minorHAnsi"/>
                <w:color w:val="000000"/>
                <w:szCs w:val="18"/>
                <w:lang w:val="en-US"/>
              </w:rPr>
              <w:t>(DL)</w:t>
            </w:r>
            <w:r w:rsidR="00BC5DC1">
              <w:rPr>
                <w:rFonts w:asciiTheme="minorHAnsi" w:hAnsiTheme="minorHAnsi"/>
                <w:lang w:val="en-US"/>
              </w:rPr>
              <w:t xml:space="preserve"> </w:t>
            </w:r>
            <w:r w:rsidR="005D287A">
              <w:rPr>
                <w:rFonts w:asciiTheme="minorHAnsi" w:hAnsiTheme="minorHAnsi"/>
                <w:lang w:val="en-US"/>
              </w:rPr>
              <w:t>(</w:t>
            </w:r>
            <w:r w:rsidR="00BC5DC1">
              <w:rPr>
                <w:rFonts w:asciiTheme="minorHAnsi" w:hAnsiTheme="minorHAnsi"/>
                <w:lang w:val="en-US"/>
              </w:rPr>
              <w:t xml:space="preserve">in </w:t>
            </w:r>
            <w:r w:rsidR="005D287A">
              <w:rPr>
                <w:rFonts w:asciiTheme="minorHAnsi" w:hAnsiTheme="minorHAnsi"/>
                <w:lang w:val="en-US"/>
              </w:rPr>
              <w:t xml:space="preserve">arbitrary units) </w:t>
            </w:r>
            <w:r>
              <w:rPr>
                <w:rFonts w:asciiTheme="minorHAnsi" w:hAnsiTheme="minorHAnsi"/>
                <w:lang w:val="en-US"/>
              </w:rPr>
              <w:t xml:space="preserve">of D and DL </w:t>
            </w:r>
            <w:proofErr w:type="spellStart"/>
            <w:r>
              <w:rPr>
                <w:rFonts w:asciiTheme="minorHAnsi" w:hAnsiTheme="minorHAnsi"/>
                <w:lang w:val="en-US"/>
              </w:rPr>
              <w:t>mandelic</w:t>
            </w:r>
            <w:proofErr w:type="spellEnd"/>
            <w:r>
              <w:rPr>
                <w:rFonts w:asciiTheme="minorHAnsi" w:hAnsiTheme="minorHAnsi"/>
                <w:lang w:val="en-US"/>
              </w:rPr>
              <w:t xml:space="preserve"> acid in the </w:t>
            </w:r>
            <w:r w:rsidR="005D287A">
              <w:rPr>
                <w:rFonts w:asciiTheme="minorHAnsi" w:hAnsiTheme="minorHAnsi"/>
                <w:lang w:val="en-US"/>
              </w:rPr>
              <w:t>D-</w:t>
            </w:r>
            <w:proofErr w:type="spellStart"/>
            <w:r w:rsidR="005D287A">
              <w:rPr>
                <w:rFonts w:asciiTheme="minorHAnsi" w:hAnsiTheme="minorHAnsi"/>
                <w:lang w:val="en-US"/>
              </w:rPr>
              <w:t>Mandelic</w:t>
            </w:r>
            <w:proofErr w:type="spellEnd"/>
            <w:r w:rsidR="005D287A">
              <w:rPr>
                <w:rFonts w:asciiTheme="minorHAnsi" w:hAnsiTheme="minorHAnsi"/>
                <w:lang w:val="en-US"/>
              </w:rPr>
              <w:t xml:space="preserve"> acid c</w:t>
            </w:r>
            <w:r>
              <w:rPr>
                <w:rFonts w:asciiTheme="minorHAnsi" w:hAnsiTheme="minorHAnsi"/>
                <w:lang w:val="en-US"/>
              </w:rPr>
              <w:t>rystallizer during the separation process</w:t>
            </w:r>
            <w:r w:rsidR="00CF3B13">
              <w:rPr>
                <w:rFonts w:asciiTheme="minorHAnsi" w:hAnsiTheme="minorHAnsi"/>
                <w:lang w:val="en-US"/>
              </w:rPr>
              <w:t xml:space="preserve"> determined from in situ Raman spectroscopy</w:t>
            </w:r>
            <w:r>
              <w:rPr>
                <w:rFonts w:asciiTheme="minorHAnsi" w:hAnsiTheme="minorHAnsi"/>
                <w:lang w:val="en-US"/>
              </w:rPr>
              <w:t>.</w:t>
            </w:r>
            <w:r w:rsidR="003B34DA">
              <w:rPr>
                <w:rFonts w:asciiTheme="minorHAnsi" w:hAnsiTheme="minorHAnsi"/>
                <w:lang w:val="en-US"/>
              </w:rPr>
              <w:t xml:space="preserve"> </w:t>
            </w:r>
          </w:p>
        </w:tc>
      </w:tr>
    </w:tbl>
    <w:p w14:paraId="606660A0" w14:textId="77777777" w:rsidR="00CF3B13" w:rsidRDefault="00435C9D" w:rsidP="00F42E96">
      <w:pPr>
        <w:snapToGrid w:val="0"/>
        <w:spacing w:before="6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2872FF">
        <w:rPr>
          <w:rFonts w:asciiTheme="minorHAnsi" w:eastAsia="MS PGothic" w:hAnsiTheme="minorHAnsi"/>
          <w:color w:val="000000"/>
          <w:sz w:val="22"/>
          <w:szCs w:val="22"/>
          <w:lang w:val="en-US"/>
        </w:rPr>
        <w:t xml:space="preserve">ypical </w:t>
      </w:r>
      <w:r>
        <w:rPr>
          <w:rFonts w:asciiTheme="minorHAnsi" w:eastAsia="MS PGothic" w:hAnsiTheme="minorHAnsi"/>
          <w:color w:val="000000"/>
          <w:sz w:val="22"/>
          <w:szCs w:val="22"/>
          <w:lang w:val="en-US"/>
        </w:rPr>
        <w:t xml:space="preserve">results </w:t>
      </w:r>
      <w:r w:rsidR="002872FF">
        <w:rPr>
          <w:rFonts w:asciiTheme="minorHAnsi" w:eastAsia="MS PGothic" w:hAnsiTheme="minorHAnsi"/>
          <w:color w:val="000000"/>
          <w:sz w:val="22"/>
          <w:szCs w:val="22"/>
          <w:lang w:val="en-US"/>
        </w:rPr>
        <w:t xml:space="preserve">in figure 2 </w:t>
      </w:r>
      <w:r>
        <w:rPr>
          <w:rFonts w:asciiTheme="minorHAnsi" w:eastAsia="MS PGothic" w:hAnsiTheme="minorHAnsi"/>
          <w:color w:val="000000"/>
          <w:sz w:val="22"/>
          <w:szCs w:val="22"/>
          <w:lang w:val="en-US"/>
        </w:rPr>
        <w:t>show</w:t>
      </w:r>
      <w:r w:rsidR="009930F7">
        <w:rPr>
          <w:rFonts w:asciiTheme="minorHAnsi" w:eastAsia="MS PGothic" w:hAnsiTheme="minorHAnsi"/>
          <w:color w:val="000000"/>
          <w:sz w:val="22"/>
          <w:szCs w:val="22"/>
          <w:lang w:val="en-US"/>
        </w:rPr>
        <w:t xml:space="preserve"> an increase in the suspension density </w:t>
      </w:r>
      <w:r w:rsidR="002436E8">
        <w:rPr>
          <w:rFonts w:asciiTheme="minorHAnsi" w:eastAsia="MS PGothic" w:hAnsiTheme="minorHAnsi"/>
          <w:color w:val="000000"/>
          <w:sz w:val="22"/>
          <w:szCs w:val="22"/>
          <w:lang w:val="en-US"/>
        </w:rPr>
        <w:t>of D-</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 (blue line figure 2)</w:t>
      </w:r>
      <w:r w:rsidR="009930F7">
        <w:rPr>
          <w:rFonts w:asciiTheme="minorHAnsi" w:eastAsia="MS PGothic" w:hAnsiTheme="minorHAnsi"/>
          <w:color w:val="000000"/>
          <w:sz w:val="22"/>
          <w:szCs w:val="22"/>
          <w:lang w:val="en-US"/>
        </w:rPr>
        <w:t xml:space="preserve">. </w:t>
      </w:r>
      <w:r w:rsidR="002436E8">
        <w:rPr>
          <w:rFonts w:asciiTheme="minorHAnsi" w:eastAsia="MS PGothic" w:hAnsiTheme="minorHAnsi"/>
          <w:color w:val="000000"/>
          <w:sz w:val="22"/>
          <w:szCs w:val="22"/>
          <w:lang w:val="en-US"/>
        </w:rPr>
        <w:t>The presence of DL-</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 crystals was not detected </w:t>
      </w:r>
      <w:r>
        <w:rPr>
          <w:rFonts w:asciiTheme="minorHAnsi" w:eastAsia="MS PGothic" w:hAnsiTheme="minorHAnsi"/>
          <w:color w:val="000000"/>
          <w:sz w:val="22"/>
          <w:szCs w:val="22"/>
          <w:lang w:val="en-US"/>
        </w:rPr>
        <w:t xml:space="preserve">in the D crystallizer </w:t>
      </w:r>
      <w:r w:rsidR="002436E8">
        <w:rPr>
          <w:rFonts w:asciiTheme="minorHAnsi" w:eastAsia="MS PGothic" w:hAnsiTheme="minorHAnsi"/>
          <w:color w:val="000000"/>
          <w:sz w:val="22"/>
          <w:szCs w:val="22"/>
          <w:lang w:val="en-US"/>
        </w:rPr>
        <w:t>throughout the entire experiment (red line figure 2) indicating that the supersaturation towards this compound in the D</w:t>
      </w:r>
      <w:r>
        <w:rPr>
          <w:rFonts w:asciiTheme="minorHAnsi" w:eastAsia="MS PGothic" w:hAnsiTheme="minorHAnsi"/>
          <w:color w:val="000000"/>
          <w:sz w:val="22"/>
          <w:szCs w:val="22"/>
          <w:lang w:val="en-US"/>
        </w:rPr>
        <w:t xml:space="preserve"> </w:t>
      </w:r>
      <w:r w:rsidR="002436E8">
        <w:rPr>
          <w:rFonts w:asciiTheme="minorHAnsi" w:eastAsia="MS PGothic" w:hAnsiTheme="minorHAnsi"/>
          <w:color w:val="000000"/>
          <w:sz w:val="22"/>
          <w:szCs w:val="22"/>
          <w:lang w:val="en-US"/>
        </w:rPr>
        <w:t>acid crystallizer was sufficiently lowered by the crystallization of DL-</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 in the DL</w:t>
      </w:r>
      <w:r>
        <w:rPr>
          <w:rFonts w:asciiTheme="minorHAnsi" w:eastAsia="MS PGothic" w:hAnsiTheme="minorHAnsi"/>
          <w:color w:val="000000"/>
          <w:sz w:val="22"/>
          <w:szCs w:val="22"/>
          <w:lang w:val="en-US"/>
        </w:rPr>
        <w:t xml:space="preserve"> </w:t>
      </w:r>
      <w:r w:rsidR="002436E8">
        <w:rPr>
          <w:rFonts w:asciiTheme="minorHAnsi" w:eastAsia="MS PGothic" w:hAnsiTheme="minorHAnsi"/>
          <w:color w:val="000000"/>
          <w:sz w:val="22"/>
          <w:szCs w:val="22"/>
          <w:lang w:val="en-US"/>
        </w:rPr>
        <w:t xml:space="preserve">crystallizer. Eventually, </w:t>
      </w:r>
      <w:r w:rsidR="009930F7">
        <w:rPr>
          <w:rFonts w:asciiTheme="minorHAnsi" w:eastAsia="MS PGothic" w:hAnsiTheme="minorHAnsi"/>
          <w:color w:val="000000"/>
          <w:sz w:val="22"/>
          <w:szCs w:val="22"/>
          <w:lang w:val="en-US"/>
        </w:rPr>
        <w:t>nucleation of D</w:t>
      </w:r>
      <w:r w:rsidR="002436E8">
        <w:rPr>
          <w:rFonts w:asciiTheme="minorHAnsi" w:eastAsia="MS PGothic" w:hAnsiTheme="minorHAnsi"/>
          <w:color w:val="000000"/>
          <w:sz w:val="22"/>
          <w:szCs w:val="22"/>
          <w:lang w:val="en-US"/>
        </w:rPr>
        <w:t>-</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w:t>
      </w:r>
      <w:r w:rsidR="009930F7">
        <w:rPr>
          <w:rFonts w:asciiTheme="minorHAnsi" w:eastAsia="MS PGothic" w:hAnsiTheme="minorHAnsi"/>
          <w:color w:val="000000"/>
          <w:sz w:val="22"/>
          <w:szCs w:val="22"/>
          <w:lang w:val="en-US"/>
        </w:rPr>
        <w:t xml:space="preserve"> in the DL crystallizer </w:t>
      </w:r>
      <w:r w:rsidR="007546AC">
        <w:rPr>
          <w:rFonts w:asciiTheme="minorHAnsi" w:eastAsia="MS PGothic" w:hAnsiTheme="minorHAnsi"/>
          <w:color w:val="000000"/>
          <w:sz w:val="22"/>
          <w:szCs w:val="22"/>
          <w:lang w:val="en-US"/>
        </w:rPr>
        <w:t>occurred</w:t>
      </w:r>
      <w:r w:rsidR="002436E8">
        <w:rPr>
          <w:rFonts w:asciiTheme="minorHAnsi" w:eastAsia="MS PGothic" w:hAnsiTheme="minorHAnsi"/>
          <w:color w:val="000000"/>
          <w:sz w:val="22"/>
          <w:szCs w:val="22"/>
          <w:lang w:val="en-US"/>
        </w:rPr>
        <w:t xml:space="preserve"> and</w:t>
      </w:r>
      <w:r w:rsidR="009930F7">
        <w:rPr>
          <w:rFonts w:asciiTheme="minorHAnsi" w:eastAsia="MS PGothic" w:hAnsiTheme="minorHAnsi"/>
          <w:color w:val="000000"/>
          <w:sz w:val="22"/>
          <w:szCs w:val="22"/>
          <w:lang w:val="en-US"/>
        </w:rPr>
        <w:t xml:space="preserve"> the </w:t>
      </w:r>
      <w:r>
        <w:rPr>
          <w:rFonts w:asciiTheme="minorHAnsi" w:eastAsia="MS PGothic" w:hAnsiTheme="minorHAnsi"/>
          <w:color w:val="000000"/>
          <w:sz w:val="22"/>
          <w:szCs w:val="22"/>
          <w:lang w:val="en-US"/>
        </w:rPr>
        <w:t xml:space="preserve">D </w:t>
      </w:r>
      <w:r w:rsidR="009930F7">
        <w:rPr>
          <w:rFonts w:asciiTheme="minorHAnsi" w:eastAsia="MS PGothic" w:hAnsiTheme="minorHAnsi"/>
          <w:color w:val="000000"/>
          <w:sz w:val="22"/>
          <w:szCs w:val="22"/>
          <w:lang w:val="en-US"/>
        </w:rPr>
        <w:t xml:space="preserve">concentration in the Feed </w:t>
      </w:r>
      <w:r>
        <w:rPr>
          <w:rFonts w:asciiTheme="minorHAnsi" w:eastAsia="MS PGothic" w:hAnsiTheme="minorHAnsi"/>
          <w:color w:val="000000"/>
          <w:sz w:val="22"/>
          <w:szCs w:val="22"/>
          <w:lang w:val="en-US"/>
        </w:rPr>
        <w:t xml:space="preserve">to </w:t>
      </w:r>
      <w:r w:rsidR="009930F7">
        <w:rPr>
          <w:rFonts w:asciiTheme="minorHAnsi" w:eastAsia="MS PGothic" w:hAnsiTheme="minorHAnsi"/>
          <w:color w:val="000000"/>
          <w:sz w:val="22"/>
          <w:szCs w:val="22"/>
          <w:lang w:val="en-US"/>
        </w:rPr>
        <w:t xml:space="preserve">the D </w:t>
      </w:r>
      <w:r w:rsidR="002436E8">
        <w:rPr>
          <w:rFonts w:asciiTheme="minorHAnsi" w:eastAsia="MS PGothic" w:hAnsiTheme="minorHAnsi"/>
          <w:color w:val="000000"/>
          <w:sz w:val="22"/>
          <w:szCs w:val="22"/>
          <w:lang w:val="en-US"/>
        </w:rPr>
        <w:t xml:space="preserve">crystallizer </w:t>
      </w:r>
      <w:r w:rsidR="009930F7">
        <w:rPr>
          <w:rFonts w:asciiTheme="minorHAnsi" w:eastAsia="MS PGothic" w:hAnsiTheme="minorHAnsi"/>
          <w:color w:val="000000"/>
          <w:sz w:val="22"/>
          <w:szCs w:val="22"/>
          <w:lang w:val="en-US"/>
        </w:rPr>
        <w:t>decrease</w:t>
      </w:r>
      <w:r w:rsidR="002436E8">
        <w:rPr>
          <w:rFonts w:asciiTheme="minorHAnsi" w:eastAsia="MS PGothic" w:hAnsiTheme="minorHAnsi"/>
          <w:color w:val="000000"/>
          <w:sz w:val="22"/>
          <w:szCs w:val="22"/>
          <w:lang w:val="en-US"/>
        </w:rPr>
        <w:t>d</w:t>
      </w:r>
      <w:r w:rsidR="009930F7">
        <w:rPr>
          <w:rFonts w:asciiTheme="minorHAnsi" w:eastAsia="MS PGothic" w:hAnsiTheme="minorHAnsi"/>
          <w:color w:val="000000"/>
          <w:sz w:val="22"/>
          <w:szCs w:val="22"/>
          <w:lang w:val="en-US"/>
        </w:rPr>
        <w:t xml:space="preserve">, lowering the </w:t>
      </w:r>
      <w:r w:rsidR="002436E8">
        <w:rPr>
          <w:rFonts w:asciiTheme="minorHAnsi" w:eastAsia="MS PGothic" w:hAnsiTheme="minorHAnsi"/>
          <w:color w:val="000000"/>
          <w:sz w:val="22"/>
          <w:szCs w:val="22"/>
          <w:lang w:val="en-US"/>
        </w:rPr>
        <w:t>increase of the D-</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 suspension density </w:t>
      </w:r>
      <w:r w:rsidR="009930F7">
        <w:rPr>
          <w:rFonts w:asciiTheme="minorHAnsi" w:eastAsia="MS PGothic" w:hAnsiTheme="minorHAnsi"/>
          <w:color w:val="000000"/>
          <w:sz w:val="22"/>
          <w:szCs w:val="22"/>
          <w:lang w:val="en-US"/>
        </w:rPr>
        <w:t>in the D crystallizer</w:t>
      </w:r>
      <w:r w:rsidR="007546AC">
        <w:rPr>
          <w:rFonts w:asciiTheme="minorHAnsi" w:eastAsia="MS PGothic" w:hAnsiTheme="minorHAnsi"/>
          <w:color w:val="000000"/>
          <w:sz w:val="22"/>
          <w:szCs w:val="22"/>
          <w:lang w:val="en-US"/>
        </w:rPr>
        <w:t>.</w:t>
      </w:r>
    </w:p>
    <w:p w14:paraId="5295D6A8" w14:textId="77777777" w:rsidR="00704BDF" w:rsidRPr="008D0BEB" w:rsidRDefault="00704BDF" w:rsidP="00F42E96">
      <w:pPr>
        <w:snapToGrid w:val="0"/>
        <w:spacing w:before="60" w:after="6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958C086" w14:textId="77777777" w:rsidR="00704BDF" w:rsidRPr="008D0BEB" w:rsidRDefault="003B34D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00EA0DAC">
        <w:rPr>
          <w:rFonts w:asciiTheme="minorHAnsi" w:eastAsia="MS PGothic" w:hAnsiTheme="minorHAnsi"/>
          <w:color w:val="000000"/>
          <w:sz w:val="22"/>
          <w:szCs w:val="22"/>
          <w:lang w:val="en-US"/>
        </w:rPr>
        <w:t xml:space="preserve">he </w:t>
      </w:r>
      <w:r w:rsidR="002436E8">
        <w:rPr>
          <w:rFonts w:asciiTheme="minorHAnsi" w:eastAsia="MS PGothic" w:hAnsiTheme="minorHAnsi"/>
          <w:color w:val="000000"/>
          <w:sz w:val="22"/>
          <w:szCs w:val="22"/>
          <w:lang w:val="en-US"/>
        </w:rPr>
        <w:t xml:space="preserve">sequential </w:t>
      </w:r>
      <w:r w:rsidR="00463EDC">
        <w:rPr>
          <w:rFonts w:asciiTheme="minorHAnsi" w:eastAsia="MS PGothic" w:hAnsiTheme="minorHAnsi"/>
          <w:color w:val="000000"/>
          <w:sz w:val="22"/>
          <w:szCs w:val="22"/>
          <w:lang w:val="en-US"/>
        </w:rPr>
        <w:t xml:space="preserve">crystallization </w:t>
      </w:r>
      <w:r w:rsidR="002436E8">
        <w:rPr>
          <w:rFonts w:asciiTheme="minorHAnsi" w:eastAsia="MS PGothic" w:hAnsiTheme="minorHAnsi"/>
          <w:color w:val="000000"/>
          <w:sz w:val="22"/>
          <w:szCs w:val="22"/>
          <w:lang w:val="en-US"/>
        </w:rPr>
        <w:t>of DL- and D-</w:t>
      </w:r>
      <w:proofErr w:type="spellStart"/>
      <w:r w:rsidR="002436E8">
        <w:rPr>
          <w:rFonts w:asciiTheme="minorHAnsi" w:eastAsia="MS PGothic" w:hAnsiTheme="minorHAnsi"/>
          <w:color w:val="000000"/>
          <w:sz w:val="22"/>
          <w:szCs w:val="22"/>
          <w:lang w:val="en-US"/>
        </w:rPr>
        <w:t>Mandelic</w:t>
      </w:r>
      <w:proofErr w:type="spellEnd"/>
      <w:r w:rsidR="002436E8">
        <w:rPr>
          <w:rFonts w:asciiTheme="minorHAnsi" w:eastAsia="MS PGothic" w:hAnsiTheme="minorHAnsi"/>
          <w:color w:val="000000"/>
          <w:sz w:val="22"/>
          <w:szCs w:val="22"/>
          <w:lang w:val="en-US"/>
        </w:rPr>
        <w:t xml:space="preserve"> acid </w:t>
      </w:r>
      <w:r w:rsidR="00EA0DAC">
        <w:rPr>
          <w:rFonts w:asciiTheme="minorHAnsi" w:eastAsia="MS PGothic" w:hAnsiTheme="minorHAnsi"/>
          <w:color w:val="000000"/>
          <w:sz w:val="22"/>
          <w:szCs w:val="22"/>
          <w:lang w:val="en-US"/>
        </w:rPr>
        <w:t xml:space="preserve">allows for a robust process </w:t>
      </w:r>
      <w:r>
        <w:rPr>
          <w:rFonts w:asciiTheme="minorHAnsi" w:eastAsia="MS PGothic" w:hAnsiTheme="minorHAnsi"/>
          <w:color w:val="000000"/>
          <w:sz w:val="22"/>
          <w:szCs w:val="22"/>
          <w:lang w:val="en-US"/>
        </w:rPr>
        <w:t xml:space="preserve">that results in a fast and stable chiral </w:t>
      </w:r>
      <w:r w:rsidR="000E117C">
        <w:rPr>
          <w:rFonts w:asciiTheme="minorHAnsi" w:eastAsia="MS PGothic" w:hAnsiTheme="minorHAnsi"/>
          <w:color w:val="000000"/>
          <w:sz w:val="22"/>
          <w:szCs w:val="22"/>
          <w:lang w:val="en-US"/>
        </w:rPr>
        <w:t>separat</w:t>
      </w:r>
      <w:r>
        <w:rPr>
          <w:rFonts w:asciiTheme="minorHAnsi" w:eastAsia="MS PGothic" w:hAnsiTheme="minorHAnsi"/>
          <w:color w:val="000000"/>
          <w:sz w:val="22"/>
          <w:szCs w:val="22"/>
          <w:lang w:val="en-US"/>
        </w:rPr>
        <w:t>ion</w:t>
      </w:r>
      <w:r w:rsidR="000E117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of </w:t>
      </w:r>
      <w:proofErr w:type="spellStart"/>
      <w:r>
        <w:rPr>
          <w:rFonts w:asciiTheme="minorHAnsi" w:eastAsia="MS PGothic" w:hAnsiTheme="minorHAnsi"/>
          <w:color w:val="000000"/>
          <w:sz w:val="22"/>
          <w:szCs w:val="22"/>
          <w:lang w:val="en-US"/>
        </w:rPr>
        <w:t>mandelic</w:t>
      </w:r>
      <w:proofErr w:type="spellEnd"/>
      <w:r>
        <w:rPr>
          <w:rFonts w:asciiTheme="minorHAnsi" w:eastAsia="MS PGothic" w:hAnsiTheme="minorHAnsi"/>
          <w:color w:val="000000"/>
          <w:sz w:val="22"/>
          <w:szCs w:val="22"/>
          <w:lang w:val="en-US"/>
        </w:rPr>
        <w:t xml:space="preserve"> acid</w:t>
      </w:r>
      <w:r w:rsidR="000E117C">
        <w:rPr>
          <w:rFonts w:asciiTheme="minorHAnsi" w:eastAsia="MS PGothic" w:hAnsiTheme="minorHAnsi"/>
          <w:color w:val="000000"/>
          <w:sz w:val="22"/>
          <w:szCs w:val="22"/>
          <w:lang w:val="en-US"/>
        </w:rPr>
        <w:t xml:space="preserve"> at the eutectic. </w:t>
      </w:r>
      <w:r>
        <w:rPr>
          <w:rFonts w:asciiTheme="minorHAnsi" w:eastAsia="MS PGothic" w:hAnsiTheme="minorHAnsi"/>
          <w:color w:val="000000"/>
          <w:sz w:val="22"/>
          <w:szCs w:val="22"/>
          <w:lang w:val="en-US"/>
        </w:rPr>
        <w:t xml:space="preserve">In addition, we show </w:t>
      </w:r>
      <w:r w:rsidR="000E117C">
        <w:rPr>
          <w:rFonts w:asciiTheme="minorHAnsi" w:eastAsia="MS PGothic" w:hAnsiTheme="minorHAnsi"/>
          <w:color w:val="000000"/>
          <w:sz w:val="22"/>
          <w:szCs w:val="22"/>
          <w:lang w:val="en-US"/>
        </w:rPr>
        <w:t xml:space="preserve">that Raman spectroscopy can be used to monitor the purity </w:t>
      </w:r>
      <w:r w:rsidR="002436E8">
        <w:rPr>
          <w:rFonts w:asciiTheme="minorHAnsi" w:eastAsia="MS PGothic" w:hAnsiTheme="minorHAnsi"/>
          <w:color w:val="000000"/>
          <w:sz w:val="22"/>
          <w:szCs w:val="22"/>
          <w:lang w:val="en-US"/>
        </w:rPr>
        <w:t xml:space="preserve">and </w:t>
      </w:r>
      <w:r>
        <w:rPr>
          <w:rFonts w:asciiTheme="minorHAnsi" w:eastAsia="MS PGothic" w:hAnsiTheme="minorHAnsi"/>
          <w:color w:val="000000"/>
          <w:sz w:val="22"/>
          <w:szCs w:val="22"/>
          <w:lang w:val="en-US"/>
        </w:rPr>
        <w:t>suspension densities</w:t>
      </w:r>
      <w:r w:rsidR="000E117C">
        <w:rPr>
          <w:rFonts w:asciiTheme="minorHAnsi" w:eastAsia="MS PGothic" w:hAnsiTheme="minorHAnsi"/>
          <w:color w:val="000000"/>
          <w:sz w:val="22"/>
          <w:szCs w:val="22"/>
          <w:lang w:val="en-US"/>
        </w:rPr>
        <w:t xml:space="preserve"> of the desired and undesired products. </w:t>
      </w:r>
      <w:r w:rsidR="00435C9D">
        <w:rPr>
          <w:rFonts w:asciiTheme="minorHAnsi" w:eastAsia="MS PGothic" w:hAnsiTheme="minorHAnsi"/>
          <w:color w:val="000000"/>
          <w:sz w:val="22"/>
          <w:szCs w:val="22"/>
          <w:lang w:val="en-US"/>
        </w:rPr>
        <w:t>This process will also be applied to conglomerate forming systems with and without racemizing agents.</w:t>
      </w:r>
    </w:p>
    <w:p w14:paraId="3CDEB82F" w14:textId="77777777" w:rsidR="00964A73" w:rsidRPr="00314CE7" w:rsidRDefault="00964A73" w:rsidP="002C47F3">
      <w:pPr>
        <w:snapToGrid w:val="0"/>
        <w:spacing w:before="240" w:line="300" w:lineRule="auto"/>
        <w:rPr>
          <w:rFonts w:asciiTheme="minorHAnsi" w:eastAsia="MS PGothic" w:hAnsiTheme="minorHAnsi"/>
          <w:b/>
          <w:bCs/>
          <w:color w:val="000000"/>
          <w:sz w:val="20"/>
          <w:lang w:val="en-US"/>
        </w:rPr>
      </w:pPr>
      <w:r w:rsidRPr="00314CE7">
        <w:rPr>
          <w:rFonts w:asciiTheme="minorHAnsi" w:eastAsia="MS PGothic" w:hAnsiTheme="minorHAnsi"/>
          <w:b/>
          <w:bCs/>
          <w:color w:val="000000"/>
          <w:sz w:val="20"/>
          <w:lang w:val="en-US"/>
        </w:rPr>
        <w:t>References</w:t>
      </w:r>
    </w:p>
    <w:p w14:paraId="474CC54E" w14:textId="77777777" w:rsidR="00F22BD8" w:rsidRDefault="00F22BD8" w:rsidP="00F42E96">
      <w:pPr>
        <w:pStyle w:val="EndNoteBibliography"/>
        <w:spacing w:after="120"/>
        <w:ind w:left="720" w:hanging="720"/>
        <w:rPr>
          <w:rFonts w:asciiTheme="minorHAnsi" w:hAnsiTheme="minorHAnsi"/>
          <w:sz w:val="20"/>
        </w:rPr>
      </w:pPr>
      <w:r>
        <w:rPr>
          <w:rFonts w:asciiTheme="minorHAnsi" w:hAnsiTheme="minorHAnsi"/>
          <w:sz w:val="20"/>
        </w:rPr>
        <w:t>[</w:t>
      </w:r>
      <w:r>
        <w:rPr>
          <w:rFonts w:asciiTheme="minorHAnsi" w:hAnsiTheme="minorHAnsi"/>
          <w:sz w:val="20"/>
        </w:rPr>
        <w:fldChar w:fldCharType="begin"/>
      </w:r>
      <w:r>
        <w:rPr>
          <w:rFonts w:asciiTheme="minorHAnsi" w:hAnsiTheme="minorHAnsi"/>
          <w:sz w:val="20"/>
        </w:rPr>
        <w:instrText xml:space="preserve"> ADDIN EN.REFLIST </w:instrText>
      </w:r>
      <w:r>
        <w:rPr>
          <w:rFonts w:asciiTheme="minorHAnsi" w:hAnsiTheme="minorHAnsi"/>
          <w:sz w:val="20"/>
        </w:rPr>
        <w:fldChar w:fldCharType="separate"/>
      </w:r>
      <w:r>
        <w:t>1]</w:t>
      </w:r>
      <w:r w:rsidRPr="00F22BD8">
        <w:tab/>
        <w:t xml:space="preserve">Gou, L., et al., </w:t>
      </w:r>
      <w:r w:rsidRPr="00F22BD8">
        <w:rPr>
          <w:i/>
        </w:rPr>
        <w:t>A hybrid process for chiral separation of compound-forming systems.</w:t>
      </w:r>
      <w:r w:rsidRPr="00F22BD8">
        <w:t xml:space="preserve"> Chirality, 2011. </w:t>
      </w:r>
      <w:r w:rsidRPr="00F22BD8">
        <w:rPr>
          <w:b/>
        </w:rPr>
        <w:t>23</w:t>
      </w:r>
      <w:r w:rsidRPr="00F22BD8">
        <w:t>(2): p. 118-27.</w:t>
      </w:r>
      <w:r>
        <w:rPr>
          <w:rFonts w:asciiTheme="minorHAnsi" w:hAnsiTheme="minorHAnsi"/>
          <w:sz w:val="20"/>
        </w:rPr>
        <w:fldChar w:fldCharType="end"/>
      </w:r>
    </w:p>
    <w:p w14:paraId="673A2031" w14:textId="77777777" w:rsidR="00CF783D" w:rsidRDefault="00964A73" w:rsidP="002177C7">
      <w:pPr>
        <w:ind w:left="720" w:hanging="720"/>
        <w:rPr>
          <w:rFonts w:asciiTheme="minorHAnsi" w:hAnsiTheme="minorHAnsi"/>
          <w:sz w:val="20"/>
        </w:rPr>
      </w:pPr>
      <w:r w:rsidRPr="00964A73">
        <w:rPr>
          <w:rFonts w:asciiTheme="minorHAnsi" w:hAnsiTheme="minorHAnsi"/>
          <w:noProof/>
          <w:sz w:val="20"/>
          <w:lang w:eastAsia="en-GB"/>
        </w:rPr>
        <w:drawing>
          <wp:anchor distT="0" distB="0" distL="114300" distR="114300" simplePos="0" relativeHeight="251658240" behindDoc="0" locked="0" layoutInCell="1" allowOverlap="0" wp14:anchorId="7275AC65" wp14:editId="276389FE">
            <wp:simplePos x="0" y="0"/>
            <wp:positionH relativeFrom="column">
              <wp:posOffset>-137160</wp:posOffset>
            </wp:positionH>
            <wp:positionV relativeFrom="line">
              <wp:posOffset>96520</wp:posOffset>
            </wp:positionV>
            <wp:extent cx="506095" cy="335280"/>
            <wp:effectExtent l="0" t="0" r="825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095" cy="335280"/>
                    </a:xfrm>
                    <a:prstGeom prst="rect">
                      <a:avLst/>
                    </a:prstGeom>
                    <a:noFill/>
                  </pic:spPr>
                </pic:pic>
              </a:graphicData>
            </a:graphic>
            <wp14:sizeRelH relativeFrom="page">
              <wp14:pctWidth>0</wp14:pctWidth>
            </wp14:sizeRelH>
            <wp14:sizeRelV relativeFrom="page">
              <wp14:pctHeight>0</wp14:pctHeight>
            </wp14:sizeRelV>
          </wp:anchor>
        </w:drawing>
      </w:r>
      <w:r w:rsidRPr="00964A73">
        <w:rPr>
          <w:rFonts w:asciiTheme="minorHAnsi" w:hAnsiTheme="minorHAnsi"/>
          <w:sz w:val="20"/>
        </w:rPr>
        <w:t xml:space="preserve">This research has received funding as part of the CORE project (October 2016 – September 2020) from the European Union’s Horizon 2020 research and innovation programme under the Marie </w:t>
      </w:r>
      <w:proofErr w:type="spellStart"/>
      <w:r w:rsidRPr="00964A73">
        <w:rPr>
          <w:rFonts w:asciiTheme="minorHAnsi" w:hAnsiTheme="minorHAnsi"/>
          <w:sz w:val="20"/>
        </w:rPr>
        <w:t>Sklodowska</w:t>
      </w:r>
      <w:proofErr w:type="spellEnd"/>
      <w:r w:rsidRPr="00964A73">
        <w:rPr>
          <w:rFonts w:asciiTheme="minorHAnsi" w:hAnsiTheme="minorHAnsi"/>
          <w:sz w:val="20"/>
        </w:rPr>
        <w:t>-Curie grant agreement No 722456 CORE ITN</w:t>
      </w:r>
    </w:p>
    <w:sectPr w:rsidR="00CF783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73350" w14:textId="77777777" w:rsidR="00570578" w:rsidRDefault="00570578" w:rsidP="004F5E36">
      <w:r>
        <w:separator/>
      </w:r>
    </w:p>
  </w:endnote>
  <w:endnote w:type="continuationSeparator" w:id="0">
    <w:p w14:paraId="4E12E9BC" w14:textId="77777777" w:rsidR="00570578" w:rsidRDefault="005705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F744" w14:textId="77777777" w:rsidR="00570578" w:rsidRDefault="00570578" w:rsidP="004F5E36">
      <w:r>
        <w:separator/>
      </w:r>
    </w:p>
  </w:footnote>
  <w:footnote w:type="continuationSeparator" w:id="0">
    <w:p w14:paraId="6B9926B0" w14:textId="77777777" w:rsidR="00570578" w:rsidRDefault="0057057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5A0D" w14:textId="77777777" w:rsidR="004D1162" w:rsidRDefault="00594E9F">
    <w:pPr>
      <w:pStyle w:val="Intestazione"/>
    </w:pPr>
    <w:r>
      <w:rPr>
        <w:noProof/>
        <w:lang w:eastAsia="en-GB"/>
      </w:rPr>
      <mc:AlternateContent>
        <mc:Choice Requires="wps">
          <w:drawing>
            <wp:anchor distT="0" distB="0" distL="114300" distR="114300" simplePos="0" relativeHeight="251666432" behindDoc="0" locked="0" layoutInCell="1" allowOverlap="1" wp14:anchorId="30A0B0E5" wp14:editId="1FAF07A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6FF351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18C45514" wp14:editId="3F008C79">
          <wp:simplePos x="0" y="0"/>
          <wp:positionH relativeFrom="column">
            <wp:posOffset>28575</wp:posOffset>
          </wp:positionH>
          <wp:positionV relativeFrom="paragraph">
            <wp:posOffset>-208915</wp:posOffset>
          </wp:positionV>
          <wp:extent cx="1104900" cy="914153"/>
          <wp:effectExtent l="0" t="0" r="0" b="635"/>
          <wp:wrapNone/>
          <wp:docPr id="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5CE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1319DE3E" wp14:editId="626FB3A8">
          <wp:simplePos x="0" y="0"/>
          <wp:positionH relativeFrom="column">
            <wp:posOffset>142875</wp:posOffset>
          </wp:positionH>
          <wp:positionV relativeFrom="paragraph">
            <wp:posOffset>-144780</wp:posOffset>
          </wp:positionV>
          <wp:extent cx="1104900" cy="914153"/>
          <wp:effectExtent l="0" t="0" r="0" b="635"/>
          <wp:wrapNone/>
          <wp:docPr id="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ECD40F7" w14:textId="77777777" w:rsidR="00704BDF" w:rsidRDefault="00704BDF">
    <w:pPr>
      <w:pStyle w:val="Intestazione"/>
    </w:pPr>
  </w:p>
  <w:p w14:paraId="23423A45" w14:textId="77777777" w:rsidR="00704BDF" w:rsidRDefault="00704BDF">
    <w:pPr>
      <w:pStyle w:val="Intestazione"/>
    </w:pPr>
    <w:r>
      <w:rPr>
        <w:noProof/>
        <w:lang w:eastAsia="en-GB"/>
      </w:rPr>
      <mc:AlternateContent>
        <mc:Choice Requires="wps">
          <w:drawing>
            <wp:anchor distT="0" distB="0" distL="114300" distR="114300" simplePos="0" relativeHeight="251660288" behindDoc="0" locked="0" layoutInCell="1" allowOverlap="1" wp14:anchorId="724C2AA4" wp14:editId="6F0CC405">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96A06A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avxr903pvszpez25spxz069fdx5axwa5da&quot;&gt;My EndNote Library&lt;record-ids&gt;&lt;item&gt;39&lt;/item&gt;&lt;/record-ids&gt;&lt;/item&gt;&lt;/Libraries&gt;"/>
  </w:docVars>
  <w:rsids>
    <w:rsidRoot w:val="000E414A"/>
    <w:rsid w:val="000027C0"/>
    <w:rsid w:val="000117CB"/>
    <w:rsid w:val="00020100"/>
    <w:rsid w:val="0003148D"/>
    <w:rsid w:val="00062A9A"/>
    <w:rsid w:val="000A03B2"/>
    <w:rsid w:val="000D34BE"/>
    <w:rsid w:val="000E117C"/>
    <w:rsid w:val="000E36F1"/>
    <w:rsid w:val="000E3A73"/>
    <w:rsid w:val="000E414A"/>
    <w:rsid w:val="00124275"/>
    <w:rsid w:val="0013121F"/>
    <w:rsid w:val="00131F8F"/>
    <w:rsid w:val="00134DE4"/>
    <w:rsid w:val="00150E59"/>
    <w:rsid w:val="00184AD6"/>
    <w:rsid w:val="001B65C1"/>
    <w:rsid w:val="001C26F8"/>
    <w:rsid w:val="001C684B"/>
    <w:rsid w:val="001D53FC"/>
    <w:rsid w:val="001F2EC7"/>
    <w:rsid w:val="002065DB"/>
    <w:rsid w:val="00211812"/>
    <w:rsid w:val="00216FE3"/>
    <w:rsid w:val="002177C7"/>
    <w:rsid w:val="002436E8"/>
    <w:rsid w:val="002447EF"/>
    <w:rsid w:val="00251550"/>
    <w:rsid w:val="0027221A"/>
    <w:rsid w:val="00275B61"/>
    <w:rsid w:val="002872FF"/>
    <w:rsid w:val="002A2DBE"/>
    <w:rsid w:val="002C0251"/>
    <w:rsid w:val="002C47F3"/>
    <w:rsid w:val="002D1F12"/>
    <w:rsid w:val="002D606E"/>
    <w:rsid w:val="002F3308"/>
    <w:rsid w:val="003009B7"/>
    <w:rsid w:val="00302A5A"/>
    <w:rsid w:val="0030469C"/>
    <w:rsid w:val="0031236D"/>
    <w:rsid w:val="00314CE7"/>
    <w:rsid w:val="003723D4"/>
    <w:rsid w:val="003A7D1C"/>
    <w:rsid w:val="003B34DA"/>
    <w:rsid w:val="003F7FE5"/>
    <w:rsid w:val="00406D0D"/>
    <w:rsid w:val="0041292F"/>
    <w:rsid w:val="00435C9D"/>
    <w:rsid w:val="0046164A"/>
    <w:rsid w:val="00462DCD"/>
    <w:rsid w:val="00463EDC"/>
    <w:rsid w:val="004734D0"/>
    <w:rsid w:val="004D1162"/>
    <w:rsid w:val="004E4DD6"/>
    <w:rsid w:val="004F5E36"/>
    <w:rsid w:val="005119A5"/>
    <w:rsid w:val="00512E32"/>
    <w:rsid w:val="005278B7"/>
    <w:rsid w:val="005346C8"/>
    <w:rsid w:val="005459F7"/>
    <w:rsid w:val="00570578"/>
    <w:rsid w:val="00594E9F"/>
    <w:rsid w:val="005B177B"/>
    <w:rsid w:val="005B61E6"/>
    <w:rsid w:val="005B639E"/>
    <w:rsid w:val="005C77E1"/>
    <w:rsid w:val="005D287A"/>
    <w:rsid w:val="005D6A2F"/>
    <w:rsid w:val="005E1A82"/>
    <w:rsid w:val="005F0A28"/>
    <w:rsid w:val="005F0E5E"/>
    <w:rsid w:val="00620DEE"/>
    <w:rsid w:val="00625639"/>
    <w:rsid w:val="0064184D"/>
    <w:rsid w:val="00660ACD"/>
    <w:rsid w:val="00660E3E"/>
    <w:rsid w:val="00662E74"/>
    <w:rsid w:val="00671E08"/>
    <w:rsid w:val="00681A55"/>
    <w:rsid w:val="006A58D2"/>
    <w:rsid w:val="006C5579"/>
    <w:rsid w:val="00704BDF"/>
    <w:rsid w:val="00736B13"/>
    <w:rsid w:val="007447F3"/>
    <w:rsid w:val="007546AC"/>
    <w:rsid w:val="00764BAC"/>
    <w:rsid w:val="007661C8"/>
    <w:rsid w:val="00766A16"/>
    <w:rsid w:val="0078037D"/>
    <w:rsid w:val="007D52CD"/>
    <w:rsid w:val="007F4653"/>
    <w:rsid w:val="00813288"/>
    <w:rsid w:val="008168FC"/>
    <w:rsid w:val="00827E2A"/>
    <w:rsid w:val="008479A2"/>
    <w:rsid w:val="0086300F"/>
    <w:rsid w:val="0087637F"/>
    <w:rsid w:val="008A1512"/>
    <w:rsid w:val="008A66BE"/>
    <w:rsid w:val="008D0BEB"/>
    <w:rsid w:val="008E566E"/>
    <w:rsid w:val="00901EB6"/>
    <w:rsid w:val="00907B97"/>
    <w:rsid w:val="009222B5"/>
    <w:rsid w:val="009450CE"/>
    <w:rsid w:val="00945281"/>
    <w:rsid w:val="0095164B"/>
    <w:rsid w:val="00964A73"/>
    <w:rsid w:val="00971F36"/>
    <w:rsid w:val="00992FB6"/>
    <w:rsid w:val="009930F7"/>
    <w:rsid w:val="00996483"/>
    <w:rsid w:val="009E788A"/>
    <w:rsid w:val="00A14D47"/>
    <w:rsid w:val="00A1763D"/>
    <w:rsid w:val="00A17CEC"/>
    <w:rsid w:val="00A27EF0"/>
    <w:rsid w:val="00A37A82"/>
    <w:rsid w:val="00A71BAC"/>
    <w:rsid w:val="00A76EFC"/>
    <w:rsid w:val="00A9626B"/>
    <w:rsid w:val="00A97F29"/>
    <w:rsid w:val="00AB0964"/>
    <w:rsid w:val="00AE377D"/>
    <w:rsid w:val="00B05E41"/>
    <w:rsid w:val="00B2534A"/>
    <w:rsid w:val="00B61DBF"/>
    <w:rsid w:val="00B7350E"/>
    <w:rsid w:val="00B83E54"/>
    <w:rsid w:val="00B94958"/>
    <w:rsid w:val="00BA4BB3"/>
    <w:rsid w:val="00BC30C9"/>
    <w:rsid w:val="00BC5DC1"/>
    <w:rsid w:val="00BE3E58"/>
    <w:rsid w:val="00C01616"/>
    <w:rsid w:val="00C0162B"/>
    <w:rsid w:val="00C15D6C"/>
    <w:rsid w:val="00C2375F"/>
    <w:rsid w:val="00C307F8"/>
    <w:rsid w:val="00C335F4"/>
    <w:rsid w:val="00C345B1"/>
    <w:rsid w:val="00C40142"/>
    <w:rsid w:val="00C57182"/>
    <w:rsid w:val="00C655FD"/>
    <w:rsid w:val="00C867B1"/>
    <w:rsid w:val="00C94434"/>
    <w:rsid w:val="00CA1C95"/>
    <w:rsid w:val="00CA5A9C"/>
    <w:rsid w:val="00CD5FE2"/>
    <w:rsid w:val="00CF3B13"/>
    <w:rsid w:val="00CF783D"/>
    <w:rsid w:val="00D02B4C"/>
    <w:rsid w:val="00D11380"/>
    <w:rsid w:val="00D63095"/>
    <w:rsid w:val="00D84576"/>
    <w:rsid w:val="00DA683E"/>
    <w:rsid w:val="00DB044F"/>
    <w:rsid w:val="00DC2D56"/>
    <w:rsid w:val="00DD16AA"/>
    <w:rsid w:val="00DE0019"/>
    <w:rsid w:val="00DE264A"/>
    <w:rsid w:val="00E041E7"/>
    <w:rsid w:val="00E23CA1"/>
    <w:rsid w:val="00E409A8"/>
    <w:rsid w:val="00E54544"/>
    <w:rsid w:val="00E7209D"/>
    <w:rsid w:val="00EA0DAC"/>
    <w:rsid w:val="00EA50E1"/>
    <w:rsid w:val="00EC187C"/>
    <w:rsid w:val="00EE0131"/>
    <w:rsid w:val="00F100ED"/>
    <w:rsid w:val="00F22BD8"/>
    <w:rsid w:val="00F2427D"/>
    <w:rsid w:val="00F30C64"/>
    <w:rsid w:val="00F30EFC"/>
    <w:rsid w:val="00F42E96"/>
    <w:rsid w:val="00F513F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AC6A2"/>
  <w15:docId w15:val="{9DA861E5-2145-418B-B08E-6DFAD5E9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B83E54"/>
    <w:rPr>
      <w:color w:val="0000FF" w:themeColor="hyperlink"/>
      <w:u w:val="single"/>
    </w:rPr>
  </w:style>
  <w:style w:type="paragraph" w:customStyle="1" w:styleId="EndNoteBibliographyTitle">
    <w:name w:val="EndNote Bibliography Title"/>
    <w:basedOn w:val="Normale"/>
    <w:link w:val="EndNoteBibliographyTitleChar"/>
    <w:rsid w:val="00CF783D"/>
    <w:pPr>
      <w:jc w:val="center"/>
    </w:pPr>
    <w:rPr>
      <w:rFonts w:cs="Arial"/>
      <w:noProof/>
      <w:lang w:val="en-US"/>
    </w:rPr>
  </w:style>
  <w:style w:type="character" w:customStyle="1" w:styleId="EndNoteBibliographyTitleChar">
    <w:name w:val="EndNote Bibliography Title Char"/>
    <w:basedOn w:val="Carpredefinitoparagrafo"/>
    <w:link w:val="EndNoteBibliographyTitle"/>
    <w:rsid w:val="00CF783D"/>
    <w:rPr>
      <w:rFonts w:ascii="Arial" w:eastAsia="Times New Roman" w:hAnsi="Arial" w:cs="Arial"/>
      <w:noProof/>
      <w:sz w:val="18"/>
      <w:szCs w:val="20"/>
      <w:lang w:val="en-US"/>
    </w:rPr>
  </w:style>
  <w:style w:type="paragraph" w:customStyle="1" w:styleId="EndNoteBibliography">
    <w:name w:val="EndNote Bibliography"/>
    <w:basedOn w:val="Normale"/>
    <w:link w:val="EndNoteBibliographyChar"/>
    <w:rsid w:val="00CF783D"/>
    <w:pPr>
      <w:spacing w:line="240" w:lineRule="auto"/>
    </w:pPr>
    <w:rPr>
      <w:rFonts w:cs="Arial"/>
      <w:noProof/>
      <w:lang w:val="en-US"/>
    </w:rPr>
  </w:style>
  <w:style w:type="character" w:customStyle="1" w:styleId="EndNoteBibliographyChar">
    <w:name w:val="EndNote Bibliography Char"/>
    <w:basedOn w:val="Carpredefinitoparagrafo"/>
    <w:link w:val="EndNoteBibliography"/>
    <w:rsid w:val="00CF783D"/>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9197">
      <w:bodyDiv w:val="1"/>
      <w:marLeft w:val="0"/>
      <w:marRight w:val="0"/>
      <w:marTop w:val="0"/>
      <w:marBottom w:val="0"/>
      <w:divBdr>
        <w:top w:val="none" w:sz="0" w:space="0" w:color="auto"/>
        <w:left w:val="none" w:sz="0" w:space="0" w:color="auto"/>
        <w:bottom w:val="none" w:sz="0" w:space="0" w:color="auto"/>
        <w:right w:val="none" w:sz="0" w:space="0" w:color="auto"/>
      </w:divBdr>
    </w:div>
    <w:div w:id="16242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5E2A-121F-4359-9A06-9FE89DFB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5947</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cp:revision>
  <cp:lastPrinted>2015-05-12T18:31:00Z</cp:lastPrinted>
  <dcterms:created xsi:type="dcterms:W3CDTF">2019-01-14T12:09:00Z</dcterms:created>
  <dcterms:modified xsi:type="dcterms:W3CDTF">2019-08-23T07:38:00Z</dcterms:modified>
</cp:coreProperties>
</file>