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32B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EE1B50E" w14:textId="1C04674E" w:rsidR="00704BDF" w:rsidRPr="00DE0019" w:rsidRDefault="00E30A9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Numerical </w:t>
      </w:r>
      <w:r w:rsidR="009C77C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Modelling of Emulsion Preparation Through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CFD</w:t>
      </w:r>
      <w:r w:rsidR="009C77C3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33EBDAF7" w14:textId="610DFB9A" w:rsidR="00DE0019" w:rsidRPr="00DE0019" w:rsidRDefault="00E30A9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Guido Lupieri</w:t>
      </w:r>
      <w:r w:rsidR="00704BDF" w:rsidRPr="00ED1B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ED1B14" w:rsidRPr="00ED1B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Adam </w:t>
      </w:r>
      <w:r w:rsidR="00556F4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J.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Kowalski</w:t>
      </w:r>
      <w:r w:rsidRPr="00605F1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and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Jo J.M. Janssen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</w:p>
    <w:p w14:paraId="366ECD33" w14:textId="53D86413" w:rsidR="005317CE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B05B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Unilever R&amp;D, Port Sunlight Laboratory, Quarry Road East, Bebington, Wirral CH63 3JW, UK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7A3BF963" w14:textId="78B442AD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26304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Unilever Research and Development, Olivier van Noortlaan 120, 1330 AC Vlaardingen, The Nederlands</w:t>
      </w:r>
    </w:p>
    <w:p w14:paraId="69DB4BFD" w14:textId="1E336D81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D1B14">
        <w:rPr>
          <w:rFonts w:asciiTheme="minorHAnsi" w:eastAsia="MS PGothic" w:hAnsiTheme="minorHAnsi"/>
          <w:bCs/>
          <w:i/>
          <w:iCs/>
          <w:sz w:val="20"/>
          <w:lang w:val="en-US"/>
        </w:rPr>
        <w:t>Guido.Lupieri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D1B14">
        <w:rPr>
          <w:rFonts w:asciiTheme="minorHAnsi" w:eastAsia="MS PGothic" w:hAnsiTheme="minorHAnsi"/>
          <w:bCs/>
          <w:i/>
          <w:iCs/>
          <w:sz w:val="20"/>
          <w:lang w:val="en-US"/>
        </w:rPr>
        <w:t>unilever.com</w:t>
      </w:r>
    </w:p>
    <w:p w14:paraId="1CFF210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2A29D2E" w14:textId="0227450A" w:rsidR="00704BDF" w:rsidRPr="00EC66CC" w:rsidRDefault="007D308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ED1B14">
        <w:rPr>
          <w:rFonts w:asciiTheme="minorHAnsi" w:hAnsiTheme="minorHAnsi"/>
        </w:rPr>
        <w:t>igh shear m</w:t>
      </w:r>
      <w:r w:rsidR="00AB05BC">
        <w:rPr>
          <w:rFonts w:asciiTheme="minorHAnsi" w:hAnsiTheme="minorHAnsi"/>
        </w:rPr>
        <w:t xml:space="preserve">ixing and </w:t>
      </w:r>
      <w:r w:rsidR="00031225">
        <w:rPr>
          <w:rFonts w:asciiTheme="minorHAnsi" w:hAnsiTheme="minorHAnsi"/>
        </w:rPr>
        <w:t>e</w:t>
      </w:r>
      <w:r w:rsidR="00190248">
        <w:rPr>
          <w:rFonts w:asciiTheme="minorHAnsi" w:hAnsiTheme="minorHAnsi"/>
        </w:rPr>
        <w:t>mulsification</w:t>
      </w:r>
      <w:r w:rsidR="00C947A0">
        <w:rPr>
          <w:rFonts w:asciiTheme="minorHAnsi" w:hAnsiTheme="minorHAnsi"/>
        </w:rPr>
        <w:t xml:space="preserve"> processes </w:t>
      </w:r>
      <w:r>
        <w:rPr>
          <w:rFonts w:asciiTheme="minorHAnsi" w:hAnsiTheme="minorHAnsi"/>
        </w:rPr>
        <w:t xml:space="preserve">in </w:t>
      </w:r>
      <w:r w:rsidR="00A23366">
        <w:rPr>
          <w:rFonts w:asciiTheme="minorHAnsi" w:hAnsiTheme="minorHAnsi"/>
        </w:rPr>
        <w:t>high phase volume products</w:t>
      </w:r>
    </w:p>
    <w:p w14:paraId="6633D8CA" w14:textId="454E517B" w:rsidR="00AB05BC" w:rsidRDefault="00AB05BC" w:rsidP="00AB05B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190248">
        <w:rPr>
          <w:rFonts w:asciiTheme="minorHAnsi" w:hAnsiTheme="minorHAnsi"/>
        </w:rPr>
        <w:t>xperimental model</w:t>
      </w:r>
      <w:r w:rsidR="00003431">
        <w:rPr>
          <w:rFonts w:asciiTheme="minorHAnsi" w:hAnsiTheme="minorHAnsi"/>
        </w:rPr>
        <w:t>s</w:t>
      </w:r>
      <w:r w:rsidR="00190248">
        <w:rPr>
          <w:rFonts w:asciiTheme="minorHAnsi" w:hAnsiTheme="minorHAnsi"/>
        </w:rPr>
        <w:t xml:space="preserve"> </w:t>
      </w:r>
      <w:r w:rsidR="00965772">
        <w:rPr>
          <w:rFonts w:asciiTheme="minorHAnsi" w:hAnsiTheme="minorHAnsi"/>
        </w:rPr>
        <w:t>for</w:t>
      </w:r>
      <w:r w:rsidR="00190248">
        <w:rPr>
          <w:rFonts w:asciiTheme="minorHAnsi" w:hAnsiTheme="minorHAnsi"/>
        </w:rPr>
        <w:t xml:space="preserve"> numerical </w:t>
      </w:r>
      <w:r w:rsidR="00965772">
        <w:rPr>
          <w:rFonts w:asciiTheme="minorHAnsi" w:hAnsiTheme="minorHAnsi"/>
        </w:rPr>
        <w:t>applications</w:t>
      </w:r>
    </w:p>
    <w:p w14:paraId="1474C587" w14:textId="0DC51087" w:rsidR="00704BDF" w:rsidRPr="00AB05BC" w:rsidRDefault="00190248" w:rsidP="00AB05B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B05BC">
        <w:rPr>
          <w:rFonts w:asciiTheme="minorHAnsi" w:hAnsiTheme="minorHAnsi"/>
        </w:rPr>
        <w:t xml:space="preserve">Population </w:t>
      </w:r>
      <w:r w:rsidR="00ED1B14">
        <w:rPr>
          <w:rFonts w:asciiTheme="minorHAnsi" w:hAnsiTheme="minorHAnsi"/>
        </w:rPr>
        <w:t>b</w:t>
      </w:r>
      <w:r w:rsidRPr="00AB05BC">
        <w:rPr>
          <w:rFonts w:asciiTheme="minorHAnsi" w:hAnsiTheme="minorHAnsi"/>
        </w:rPr>
        <w:t>alance</w:t>
      </w:r>
      <w:r w:rsidR="00704BDF" w:rsidRPr="00AB05BC">
        <w:rPr>
          <w:rFonts w:asciiTheme="minorHAnsi" w:hAnsiTheme="minorHAnsi"/>
        </w:rPr>
        <w:t xml:space="preserve"> </w:t>
      </w:r>
      <w:r w:rsidR="00AB05BC">
        <w:rPr>
          <w:rFonts w:asciiTheme="minorHAnsi" w:hAnsiTheme="minorHAnsi"/>
        </w:rPr>
        <w:t>and instability</w:t>
      </w:r>
    </w:p>
    <w:p w14:paraId="5ECA8F4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BE687D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D3EAA4D" w14:textId="128BDF12" w:rsidR="00B177DC" w:rsidRDefault="00ED1B14" w:rsidP="00B177DC">
      <w:pPr>
        <w:tabs>
          <w:tab w:val="clear" w:pos="7100"/>
        </w:tabs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val="en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23CDB">
        <w:rPr>
          <w:rFonts w:asciiTheme="minorHAnsi" w:eastAsia="MS PGothic" w:hAnsiTheme="minorHAnsi"/>
          <w:color w:val="000000"/>
          <w:sz w:val="22"/>
          <w:szCs w:val="22"/>
          <w:lang w:val="en-US"/>
        </w:rPr>
        <w:t>xperiment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23C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numerical modelling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considered crucial steps to control production in modern industrial processes since ensure the best quality of the product and the repeatability at the desired scale.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ideas apply also to 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study of </w:t>
      </w:r>
      <w:r w:rsidR="00A23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preparation, when 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suited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models of emulsification, viscosity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oil droplet distribution and size have been obtained in experimental sessions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of the authors </w:t>
      </w:r>
      <w:r w:rsidR="00B248CD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B248CD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from existing 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computing 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>libraries</w:t>
      </w:r>
      <w:r w:rsidR="00A921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21AE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A921AE">
        <w:rPr>
          <w:rFonts w:asciiTheme="minorHAnsi" w:eastAsia="MS PGothic" w:hAnsiTheme="minorHAnsi"/>
          <w:color w:val="000000"/>
          <w:sz w:val="22"/>
          <w:szCs w:val="22"/>
          <w:lang w:val="en-US"/>
        </w:rPr>
        <w:t>2]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05F1B" w:rsidRP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5F1B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>3]</w:t>
      </w:r>
      <w:r w:rsidR="00B248CD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346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concerns the modelling through C</w:t>
      </w:r>
      <w:r w:rsidR="00750D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omputational 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750D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luid 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750D3B">
        <w:rPr>
          <w:rFonts w:asciiTheme="minorHAnsi" w:eastAsia="MS PGothic" w:hAnsiTheme="minorHAnsi"/>
          <w:color w:val="000000"/>
          <w:sz w:val="22"/>
          <w:szCs w:val="22"/>
          <w:lang w:val="en-US"/>
        </w:rPr>
        <w:t>ynamics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instruments and scales of a 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complex 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mixing process necessary to 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prepare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23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phase volume emulsions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s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tandard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5F1B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05F1B">
        <w:rPr>
          <w:rFonts w:asciiTheme="minorHAnsi" w:eastAsia="MS PGothic" w:hAnsiTheme="minorHAnsi"/>
          <w:color w:val="000000"/>
          <w:sz w:val="22"/>
          <w:szCs w:val="22"/>
          <w:lang w:val="en-US"/>
        </w:rPr>
        <w:t>4]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rotating </w:t>
      </w:r>
      <w:r w:rsidR="00B24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geome</w:t>
      </w:r>
      <w:r w:rsidR="00965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try.</w:t>
      </w:r>
      <w:r w:rsidR="005731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final goal is to control some of the most important properties of the emulsion like creaminess</w:t>
      </w:r>
      <w:r w:rsidR="00581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taste</w:t>
      </w:r>
      <w:r w:rsidR="005731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5F5BA56" w14:textId="3A59B48D" w:rsidR="00C867B1" w:rsidRPr="008D0BEB" w:rsidRDefault="00C867B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EFA6BC7" w14:textId="5A4D23D2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581DA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Computing m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ethods</w:t>
      </w:r>
    </w:p>
    <w:p w14:paraId="613CCDF0" w14:textId="6540881B" w:rsidR="009C37C2" w:rsidRPr="009B6D40" w:rsidRDefault="00965772" w:rsidP="00704BDF">
      <w:pPr>
        <w:snapToGri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B6D4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problem</w:t>
      </w:r>
      <w:r w:rsidR="00581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considers and simplifies the geometry of Figure 1 (a)</w:t>
      </w:r>
      <w:r w:rsidR="004E30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</w:t>
      </w:r>
      <w:r w:rsidR="004E308D">
        <w:rPr>
          <w:rFonts w:asciiTheme="minorHAnsi" w:hAnsiTheme="minorHAnsi" w:cstheme="minorHAnsi"/>
          <w:color w:val="000000"/>
          <w:sz w:val="22"/>
          <w:szCs w:val="22"/>
        </w:rPr>
        <w:t>computing domain discretized with polyhedral cells as in Figure 1 (b)</w:t>
      </w:r>
      <w:r w:rsidR="004E30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</w:t>
      </w:r>
      <w:r w:rsidR="006240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9B6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multiphase segregated flow </w:t>
      </w:r>
      <w:r w:rsidR="004E30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reproduces </w:t>
      </w:r>
      <w:r w:rsidR="00A23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</w:t>
      </w:r>
      <w:r w:rsidR="009B6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oil droplet. </w:t>
      </w:r>
      <w:r w:rsidR="000034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Finite Volume approach is </w:t>
      </w:r>
      <w:r w:rsidR="006240E5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assum</w:t>
      </w:r>
      <w:r w:rsidR="00003431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to resolve a set of differential equation</w:t>
      </w:r>
      <w:r w:rsidR="009B6D4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034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6D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mass </w:t>
      </w:r>
      <w:r w:rsidR="009C37C2" w:rsidRPr="009C37C2">
        <w:rPr>
          <w:rFonts w:asciiTheme="minorHAnsi" w:hAnsiTheme="minorHAnsi" w:cstheme="minorHAnsi"/>
          <w:color w:val="000000"/>
          <w:sz w:val="22"/>
          <w:szCs w:val="22"/>
        </w:rPr>
        <w:t>transpor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9C37C2" w:rsidRPr="009C37C2">
        <w:rPr>
          <w:rFonts w:asciiTheme="minorHAnsi" w:hAnsiTheme="minorHAnsi" w:cstheme="minorHAnsi"/>
          <w:color w:val="000000"/>
          <w:sz w:val="22"/>
          <w:szCs w:val="22"/>
        </w:rPr>
        <w:t xml:space="preserve">, momentum </w:t>
      </w:r>
      <w:r w:rsidR="00015DE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9C37C2" w:rsidRPr="009C37C2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015DE6">
        <w:rPr>
          <w:rFonts w:asciiTheme="minorHAnsi" w:hAnsiTheme="minorHAnsi" w:cstheme="minorHAnsi"/>
          <w:color w:val="000000"/>
          <w:sz w:val="22"/>
          <w:szCs w:val="22"/>
        </w:rPr>
        <w:t xml:space="preserve">eventually </w:t>
      </w:r>
      <w:r w:rsidR="009C37C2" w:rsidRPr="009C37C2">
        <w:rPr>
          <w:rFonts w:asciiTheme="minorHAnsi" w:hAnsiTheme="minorHAnsi" w:cstheme="minorHAnsi"/>
          <w:color w:val="000000"/>
          <w:sz w:val="22"/>
          <w:szCs w:val="22"/>
        </w:rPr>
        <w:t>energy</w:t>
      </w:r>
      <w:r w:rsidR="00015DE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9C37C2" w:rsidRPr="009C37C2">
        <w:rPr>
          <w:rFonts w:asciiTheme="minorHAnsi" w:hAnsiTheme="minorHAnsi" w:cstheme="minorHAnsi"/>
          <w:color w:val="000000"/>
          <w:sz w:val="22"/>
          <w:szCs w:val="22"/>
        </w:rPr>
        <w:t xml:space="preserve"> of each phase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>. A</w:t>
      </w:r>
      <w:r w:rsidR="009C37C2" w:rsidRPr="009C37C2">
        <w:rPr>
          <w:rFonts w:asciiTheme="minorHAnsi" w:hAnsiTheme="minorHAnsi" w:cstheme="minorHAnsi"/>
          <w:color w:val="000000"/>
          <w:sz w:val="22"/>
          <w:szCs w:val="22"/>
        </w:rPr>
        <w:t>ll the phases share a common pressure field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 xml:space="preserve"> while for each </w:t>
      </w:r>
      <w:r w:rsidR="006240E5">
        <w:rPr>
          <w:rFonts w:asciiTheme="minorHAnsi" w:hAnsiTheme="minorHAnsi" w:cstheme="minorHAnsi"/>
          <w:color w:val="000000"/>
          <w:sz w:val="22"/>
          <w:szCs w:val="22"/>
        </w:rPr>
        <w:t xml:space="preserve">one 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>is defined a volume fraction according to VOF (Volume of Fluid) approach [</w:t>
      </w:r>
      <w:r w:rsidR="00A921A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 xml:space="preserve">]. Interaction between phases is also </w:t>
      </w:r>
      <w:r w:rsidR="00C3493B">
        <w:rPr>
          <w:rFonts w:asciiTheme="minorHAnsi" w:hAnsiTheme="minorHAnsi" w:cstheme="minorHAnsi"/>
          <w:color w:val="000000"/>
          <w:sz w:val="22"/>
          <w:szCs w:val="22"/>
        </w:rPr>
        <w:t xml:space="preserve">assumed with models for drag force and droplet length scale, 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>S-gamma</w:t>
      </w:r>
      <w:r w:rsidR="00FF5B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5B0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F5B0F">
        <w:rPr>
          <w:rFonts w:asciiTheme="minorHAnsi" w:eastAsia="MS PGothic" w:hAnsiTheme="minorHAnsi"/>
          <w:color w:val="000000"/>
          <w:sz w:val="22"/>
          <w:szCs w:val="22"/>
          <w:lang w:val="en-US"/>
        </w:rPr>
        <w:t>2]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 xml:space="preserve"> particle breakage and coalescence</w:t>
      </w:r>
      <w:r w:rsidR="00C3493B">
        <w:rPr>
          <w:rFonts w:asciiTheme="minorHAnsi" w:hAnsiTheme="minorHAnsi" w:cstheme="minorHAnsi"/>
          <w:color w:val="000000"/>
          <w:sz w:val="22"/>
          <w:szCs w:val="22"/>
        </w:rPr>
        <w:t xml:space="preserve"> is a</w:t>
      </w:r>
      <w:r w:rsidR="00FC5620">
        <w:rPr>
          <w:rFonts w:asciiTheme="minorHAnsi" w:hAnsiTheme="minorHAnsi" w:cstheme="minorHAnsi"/>
          <w:color w:val="000000"/>
          <w:sz w:val="22"/>
          <w:szCs w:val="22"/>
        </w:rPr>
        <w:t>dopted</w:t>
      </w:r>
      <w:r w:rsidR="00C3493B">
        <w:rPr>
          <w:rFonts w:asciiTheme="minorHAnsi" w:hAnsiTheme="minorHAnsi" w:cstheme="minorHAnsi"/>
          <w:color w:val="000000"/>
          <w:sz w:val="22"/>
          <w:szCs w:val="22"/>
        </w:rPr>
        <w:t xml:space="preserve">, the flow is considered and modelled in turbulent regime. </w:t>
      </w:r>
      <w:r w:rsidR="009B6D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40E5">
        <w:rPr>
          <w:rFonts w:asciiTheme="minorHAnsi" w:hAnsiTheme="minorHAnsi" w:cstheme="minorHAnsi"/>
          <w:color w:val="000000"/>
          <w:sz w:val="22"/>
          <w:szCs w:val="22"/>
        </w:rPr>
        <w:t xml:space="preserve">A constitutive equation for viscosity is obtained from a Cross model modified according to the results in </w:t>
      </w:r>
      <w:r w:rsidR="006240E5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240E5">
        <w:rPr>
          <w:rFonts w:asciiTheme="minorHAnsi" w:eastAsia="MS PGothic" w:hAnsiTheme="minorHAnsi"/>
          <w:color w:val="000000"/>
          <w:sz w:val="22"/>
          <w:szCs w:val="22"/>
          <w:lang w:val="en-US"/>
        </w:rPr>
        <w:t>1]</w:t>
      </w:r>
      <w:r w:rsidR="006240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C8514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4E3E053" w14:textId="6A21D49D" w:rsidR="00704BDF" w:rsidRPr="008D0BEB" w:rsidRDefault="0096577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the results</w:t>
      </w:r>
      <w:r w:rsidR="00A921A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21A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oil droplet size at the outlet of the mixer is compared with the measures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921AE">
        <w:rPr>
          <w:rFonts w:asciiTheme="minorHAnsi" w:eastAsia="MS PGothic" w:hAnsiTheme="minorHAnsi"/>
          <w:color w:val="000000"/>
          <w:sz w:val="22"/>
          <w:szCs w:val="22"/>
        </w:rPr>
        <w:t xml:space="preserve"> An interesting feature of this flow is the possible development of instabilities in the small gap between the rotor and the cone mill walls as shown in Figure 1 (</w:t>
      </w:r>
      <w:r w:rsidR="00D51368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A921AE">
        <w:rPr>
          <w:rFonts w:asciiTheme="minorHAnsi" w:eastAsia="MS PGothic" w:hAnsiTheme="minorHAnsi"/>
          <w:color w:val="000000"/>
          <w:sz w:val="22"/>
          <w:szCs w:val="22"/>
        </w:rPr>
        <w:t>).</w:t>
      </w:r>
    </w:p>
    <w:p w14:paraId="35219277" w14:textId="1CE5F9D6" w:rsidR="00704BDF" w:rsidRDefault="00C36BD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64F93458" wp14:editId="091245FC">
            <wp:extent cx="1663700" cy="261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color w:val="000000"/>
        </w:rPr>
        <w:t>(a)</w:t>
      </w:r>
      <w:r>
        <w:rPr>
          <w:noProof/>
        </w:rPr>
        <w:drawing>
          <wp:inline distT="0" distB="0" distL="0" distR="0" wp14:anchorId="2E60DBFA" wp14:editId="56DE9E17">
            <wp:extent cx="2159000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8" r="30807"/>
                    <a:stretch/>
                  </pic:blipFill>
                  <pic:spPr bwMode="auto">
                    <a:xfrm>
                      <a:off x="0" y="0"/>
                      <a:ext cx="2159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color w:val="000000"/>
        </w:rPr>
        <w:t>(b)</w:t>
      </w:r>
    </w:p>
    <w:p w14:paraId="3DAE5A70" w14:textId="7C3D540D" w:rsidR="00C36BD7" w:rsidRPr="00DE0019" w:rsidRDefault="00C36BD7" w:rsidP="00C36BD7">
      <w:pPr>
        <w:snapToGrid w:val="0"/>
        <w:spacing w:before="240"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4E66D5E2" wp14:editId="271DF712">
            <wp:extent cx="4178300" cy="212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lVelocity_instabiliti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color w:val="000000"/>
        </w:rPr>
        <w:t xml:space="preserve"> (c)</w:t>
      </w:r>
    </w:p>
    <w:p w14:paraId="63FCAF8D" w14:textId="36DC653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A06FE9">
        <w:rPr>
          <w:rFonts w:asciiTheme="minorHAnsi" w:hAnsiTheme="minorHAnsi"/>
          <w:lang w:val="en-US"/>
        </w:rPr>
        <w:t>IKA cone mill from</w:t>
      </w:r>
      <w:r w:rsidR="000B2CA4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[</w:t>
      </w:r>
      <w:r w:rsidR="000B2CA4">
        <w:rPr>
          <w:rFonts w:asciiTheme="minorHAnsi" w:eastAsia="MS PGothic" w:hAnsiTheme="minorHAnsi"/>
          <w:color w:val="000000"/>
          <w:szCs w:val="18"/>
          <w:lang w:val="en-US"/>
        </w:rPr>
        <w:t>4</w:t>
      </w:r>
      <w:r w:rsidR="000B2CA4" w:rsidRPr="00DE0019">
        <w:rPr>
          <w:rFonts w:asciiTheme="minorHAnsi" w:eastAsia="MS PGothic" w:hAnsiTheme="minorHAnsi"/>
          <w:color w:val="000000"/>
          <w:szCs w:val="18"/>
          <w:lang w:val="en-US"/>
        </w:rPr>
        <w:t>]</w:t>
      </w:r>
      <w:r w:rsidR="000B2CA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A06FE9">
        <w:rPr>
          <w:rFonts w:asciiTheme="minorHAnsi" w:hAnsiTheme="minorHAnsi"/>
          <w:lang w:val="en-US"/>
        </w:rPr>
        <w:t xml:space="preserve">on (a). A sketch of the computing domain on (b). </w:t>
      </w:r>
      <w:r w:rsidR="000B2CA4">
        <w:rPr>
          <w:rFonts w:asciiTheme="minorHAnsi" w:hAnsiTheme="minorHAnsi"/>
          <w:lang w:val="en-US"/>
        </w:rPr>
        <w:t>Instability patterns of oil droplet patterns on (c).</w:t>
      </w:r>
    </w:p>
    <w:p w14:paraId="6FE7A9A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25639DE5" w14:textId="4BB9DD9C" w:rsidR="00704BDF" w:rsidRPr="008D0BEB" w:rsidRDefault="00463B9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By varying the rotation speed of the</w:t>
      </w:r>
      <w:r w:rsidR="007B6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mixer,</w:t>
      </w:r>
      <w:r w:rsidR="007B6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17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some </w:t>
      </w:r>
      <w:r w:rsidR="007B6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 simulations ha</w:t>
      </w:r>
      <w:r w:rsidR="006E2E24">
        <w:rPr>
          <w:rFonts w:asciiTheme="minorHAnsi" w:eastAsia="MS PGothic" w:hAnsiTheme="minorHAnsi"/>
          <w:color w:val="000000"/>
          <w:sz w:val="22"/>
          <w:szCs w:val="22"/>
          <w:lang w:val="en-US"/>
        </w:rPr>
        <w:t>ve</w:t>
      </w:r>
      <w:r w:rsidR="007B6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conducted vs experiments in order to validate the approach and provide an affordable instrument for further analysis on in-house production processes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9AD1F59" w14:textId="596DAF45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3B8CC789" w14:textId="1896C954" w:rsidR="005346C8" w:rsidRPr="00B248CD" w:rsidRDefault="00E1003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A.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Dubbelboer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Jo J.M. Janssen, H. Hoogland, E. Zondervan, J. Meuldijk</w:t>
      </w:r>
      <w:r w:rsidR="00FC5620">
        <w:rPr>
          <w:rFonts w:asciiTheme="minorHAnsi" w:hAnsiTheme="minorHAnsi"/>
          <w:color w:val="000000"/>
        </w:rPr>
        <w:t xml:space="preserve"> (2016)</w:t>
      </w:r>
      <w:r>
        <w:rPr>
          <w:rFonts w:asciiTheme="minorHAnsi" w:hAnsiTheme="minorHAnsi"/>
          <w:color w:val="000000"/>
        </w:rPr>
        <w:t>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Chemical Engineering Science, </w:t>
      </w:r>
      <w:r w:rsidR="00A81B56">
        <w:rPr>
          <w:rFonts w:asciiTheme="minorHAnsi" w:hAnsiTheme="minorHAnsi"/>
          <w:color w:val="000000"/>
        </w:rPr>
        <w:t xml:space="preserve">148, </w:t>
      </w:r>
      <w:r>
        <w:rPr>
          <w:rFonts w:asciiTheme="minorHAnsi" w:hAnsiTheme="minorHAnsi"/>
          <w:color w:val="000000"/>
        </w:rPr>
        <w:t>pp. 32-43.</w:t>
      </w:r>
    </w:p>
    <w:p w14:paraId="22CFAEA2" w14:textId="3284CE6A" w:rsidR="00704BDF" w:rsidRPr="00FC5620" w:rsidRDefault="00FC5620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Style w:val="citation"/>
          <w:rFonts w:asciiTheme="minorHAnsi" w:eastAsia="SimSun" w:hAnsiTheme="minorHAnsi"/>
          <w:sz w:val="22"/>
          <w:szCs w:val="22"/>
          <w:lang w:eastAsia="zh-CN"/>
        </w:rPr>
      </w:pPr>
      <w:r>
        <w:rPr>
          <w:rStyle w:val="citation"/>
          <w:rFonts w:asciiTheme="minorHAnsi" w:hAnsiTheme="minorHAnsi" w:cstheme="minorHAnsi"/>
          <w:color w:val="000000"/>
        </w:rPr>
        <w:t xml:space="preserve">S. </w:t>
      </w:r>
      <w:r w:rsidRPr="00FC5620">
        <w:rPr>
          <w:rStyle w:val="citation"/>
          <w:rFonts w:asciiTheme="minorHAnsi" w:hAnsiTheme="minorHAnsi" w:cstheme="minorHAnsi"/>
          <w:color w:val="000000"/>
        </w:rPr>
        <w:t xml:space="preserve">Lo and </w:t>
      </w:r>
      <w:r>
        <w:rPr>
          <w:rStyle w:val="citation"/>
          <w:rFonts w:asciiTheme="minorHAnsi" w:hAnsiTheme="minorHAnsi" w:cstheme="minorHAnsi"/>
          <w:color w:val="000000"/>
        </w:rPr>
        <w:t xml:space="preserve">D. </w:t>
      </w:r>
      <w:r w:rsidRPr="00FC5620">
        <w:rPr>
          <w:rStyle w:val="citation"/>
          <w:rFonts w:asciiTheme="minorHAnsi" w:hAnsiTheme="minorHAnsi" w:cstheme="minorHAnsi"/>
          <w:color w:val="000000"/>
        </w:rPr>
        <w:t>Zhang</w:t>
      </w:r>
      <w:r>
        <w:rPr>
          <w:rStyle w:val="citation"/>
          <w:rFonts w:asciiTheme="minorHAnsi" w:hAnsiTheme="minorHAnsi" w:cstheme="minorHAnsi"/>
          <w:color w:val="000000"/>
        </w:rPr>
        <w:t xml:space="preserve"> (</w:t>
      </w:r>
      <w:r w:rsidRPr="00FC5620">
        <w:rPr>
          <w:rStyle w:val="citation"/>
          <w:rFonts w:asciiTheme="minorHAnsi" w:hAnsiTheme="minorHAnsi" w:cstheme="minorHAnsi"/>
          <w:color w:val="000000"/>
        </w:rPr>
        <w:t>2009</w:t>
      </w:r>
      <w:r>
        <w:rPr>
          <w:rStyle w:val="citation"/>
          <w:rFonts w:asciiTheme="minorHAnsi" w:hAnsiTheme="minorHAnsi" w:cstheme="minorHAnsi"/>
          <w:color w:val="000000"/>
        </w:rPr>
        <w:t>)</w:t>
      </w:r>
      <w:r w:rsidRPr="00FC5620">
        <w:rPr>
          <w:rStyle w:val="citation"/>
          <w:rFonts w:asciiTheme="minorHAnsi" w:hAnsiTheme="minorHAnsi" w:cstheme="minorHAnsi"/>
          <w:color w:val="000000"/>
        </w:rPr>
        <w:t>. Modelling of Break-up and Coalescence in Bubbly Two-Phase Flows</w:t>
      </w:r>
      <w:r>
        <w:rPr>
          <w:rStyle w:val="citation"/>
          <w:rFonts w:asciiTheme="minorHAnsi" w:hAnsiTheme="minorHAnsi" w:cstheme="minorHAnsi"/>
          <w:color w:val="000000"/>
        </w:rPr>
        <w:t>.</w:t>
      </w:r>
      <w:r w:rsidRPr="00FC5620">
        <w:rPr>
          <w:rStyle w:val="citation"/>
          <w:rFonts w:asciiTheme="minorHAnsi" w:hAnsiTheme="minorHAnsi" w:cstheme="minorHAnsi"/>
          <w:color w:val="000000"/>
        </w:rPr>
        <w:t xml:space="preserve"> J. Comp. Multiphase Flows, 1, pp. 23</w:t>
      </w:r>
      <w:r>
        <w:rPr>
          <w:rStyle w:val="citation"/>
          <w:rFonts w:asciiTheme="minorHAnsi" w:hAnsiTheme="minorHAnsi" w:cstheme="minorHAnsi"/>
          <w:color w:val="000000"/>
        </w:rPr>
        <w:t>-</w:t>
      </w:r>
      <w:r w:rsidRPr="00FC5620">
        <w:rPr>
          <w:rStyle w:val="citation"/>
          <w:rFonts w:asciiTheme="minorHAnsi" w:hAnsiTheme="minorHAnsi" w:cstheme="minorHAnsi"/>
          <w:color w:val="000000"/>
        </w:rPr>
        <w:t>38.</w:t>
      </w:r>
    </w:p>
    <w:p w14:paraId="3CEACA42" w14:textId="3D283A33" w:rsidR="00FC5620" w:rsidRPr="00345EF2" w:rsidRDefault="00A921A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21AE">
        <w:rPr>
          <w:rFonts w:asciiTheme="minorHAnsi" w:hAnsiTheme="minorHAnsi" w:cstheme="minorHAnsi"/>
          <w:color w:val="000000"/>
        </w:rPr>
        <w:t>C.W.</w:t>
      </w:r>
      <w:r>
        <w:rPr>
          <w:rFonts w:asciiTheme="minorHAnsi" w:hAnsiTheme="minorHAnsi" w:cstheme="minorHAnsi"/>
          <w:color w:val="000000"/>
        </w:rPr>
        <w:t xml:space="preserve"> Hirt</w:t>
      </w:r>
      <w:r w:rsidRPr="00A921AE">
        <w:rPr>
          <w:rFonts w:asciiTheme="minorHAnsi" w:hAnsiTheme="minorHAnsi" w:cstheme="minorHAnsi"/>
          <w:color w:val="000000"/>
        </w:rPr>
        <w:t xml:space="preserve"> and B.D.</w:t>
      </w:r>
      <w:r>
        <w:rPr>
          <w:rFonts w:asciiTheme="minorHAnsi" w:hAnsiTheme="minorHAnsi" w:cstheme="minorHAnsi"/>
          <w:color w:val="000000"/>
        </w:rPr>
        <w:t xml:space="preserve"> Nichols</w:t>
      </w:r>
      <w:r w:rsidRPr="00A921AE">
        <w:rPr>
          <w:rFonts w:asciiTheme="minorHAnsi" w:hAnsiTheme="minorHAnsi" w:cstheme="minorHAnsi"/>
          <w:color w:val="000000"/>
        </w:rPr>
        <w:t xml:space="preserve"> (1981)</w:t>
      </w:r>
      <w:r>
        <w:rPr>
          <w:rFonts w:asciiTheme="minorHAnsi" w:hAnsiTheme="minorHAnsi" w:cstheme="minorHAnsi"/>
          <w:color w:val="000000"/>
        </w:rPr>
        <w:t>.</w:t>
      </w:r>
      <w:r w:rsidRPr="00A921AE">
        <w:rPr>
          <w:rFonts w:asciiTheme="minorHAnsi" w:hAnsiTheme="minorHAnsi" w:cstheme="minorHAnsi"/>
          <w:color w:val="000000"/>
        </w:rPr>
        <w:t xml:space="preserve"> Volume of Fluid (VOF) Method for the Dynamics of Free Boundaries. Journal of Computational Physics, 39, 201-225.</w:t>
      </w:r>
    </w:p>
    <w:p w14:paraId="4B4D8726" w14:textId="6BF4915C" w:rsidR="00345EF2" w:rsidRPr="0057310D" w:rsidRDefault="00345EF2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 w:cstheme="minorHAnsi"/>
          <w:lang w:eastAsia="zh-CN"/>
        </w:rPr>
      </w:pPr>
      <w:r w:rsidRPr="0057310D">
        <w:rPr>
          <w:rFonts w:asciiTheme="minorHAnsi" w:eastAsia="SimSun" w:hAnsiTheme="minorHAnsi" w:cstheme="minorHAnsi"/>
          <w:lang w:eastAsia="zh-CN"/>
        </w:rPr>
        <w:t xml:space="preserve">IKA Group. </w:t>
      </w:r>
      <w:r w:rsidR="00A81FB8">
        <w:rPr>
          <w:rFonts w:asciiTheme="minorHAnsi" w:eastAsia="SimSun" w:hAnsiTheme="minorHAnsi" w:cstheme="minorHAnsi"/>
          <w:lang w:eastAsia="zh-CN"/>
        </w:rPr>
        <w:t xml:space="preserve">IKA Process Technology Brochure. </w:t>
      </w:r>
      <w:r w:rsidR="0057310D" w:rsidRPr="0057310D">
        <w:rPr>
          <w:rFonts w:asciiTheme="minorHAnsi" w:eastAsia="SimSun" w:hAnsiTheme="minorHAnsi" w:cstheme="minorHAnsi"/>
          <w:lang w:eastAsia="zh-CN"/>
        </w:rPr>
        <w:t>www.i</w:t>
      </w:r>
      <w:r w:rsidR="00A81FB8">
        <w:rPr>
          <w:rFonts w:asciiTheme="minorHAnsi" w:eastAsia="SimSun" w:hAnsiTheme="minorHAnsi" w:cstheme="minorHAnsi"/>
          <w:lang w:eastAsia="zh-CN"/>
        </w:rPr>
        <w:t>k</w:t>
      </w:r>
      <w:r w:rsidR="0057310D" w:rsidRPr="0057310D">
        <w:rPr>
          <w:rFonts w:asciiTheme="minorHAnsi" w:eastAsia="SimSun" w:hAnsiTheme="minorHAnsi" w:cstheme="minorHAnsi"/>
          <w:lang w:eastAsia="zh-CN"/>
        </w:rPr>
        <w:t>ausa.com</w:t>
      </w:r>
    </w:p>
    <w:p w14:paraId="4EC9B518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B353FC6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CDCB6B6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9786" w14:textId="77777777" w:rsidR="004035DD" w:rsidRDefault="004035DD" w:rsidP="004F5E36">
      <w:r>
        <w:separator/>
      </w:r>
    </w:p>
  </w:endnote>
  <w:endnote w:type="continuationSeparator" w:id="0">
    <w:p w14:paraId="6DA72551" w14:textId="77777777" w:rsidR="004035DD" w:rsidRDefault="004035D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ACA8" w14:textId="77777777" w:rsidR="004035DD" w:rsidRDefault="004035DD" w:rsidP="004F5E36">
      <w:r>
        <w:separator/>
      </w:r>
    </w:p>
  </w:footnote>
  <w:footnote w:type="continuationSeparator" w:id="0">
    <w:p w14:paraId="26559196" w14:textId="77777777" w:rsidR="004035DD" w:rsidRDefault="004035D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55E1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A1AB84" wp14:editId="433DC58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3CF1545" wp14:editId="2A6FDA6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01DA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195457" wp14:editId="06C561A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31D8054" w14:textId="77777777" w:rsidR="00704BDF" w:rsidRDefault="00704BDF">
    <w:pPr>
      <w:pStyle w:val="Intestazione"/>
    </w:pPr>
  </w:p>
  <w:p w14:paraId="2DD1045D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0FC0B" wp14:editId="211215C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3431"/>
    <w:rsid w:val="000117CB"/>
    <w:rsid w:val="00015DE6"/>
    <w:rsid w:val="00031225"/>
    <w:rsid w:val="0003148D"/>
    <w:rsid w:val="000523C2"/>
    <w:rsid w:val="00062A9A"/>
    <w:rsid w:val="00080880"/>
    <w:rsid w:val="000A03B2"/>
    <w:rsid w:val="000B2CA4"/>
    <w:rsid w:val="000D34BE"/>
    <w:rsid w:val="000E36F1"/>
    <w:rsid w:val="000E3A73"/>
    <w:rsid w:val="000E414A"/>
    <w:rsid w:val="00116031"/>
    <w:rsid w:val="0013121F"/>
    <w:rsid w:val="00134DE4"/>
    <w:rsid w:val="00150E59"/>
    <w:rsid w:val="00184AD6"/>
    <w:rsid w:val="001855D0"/>
    <w:rsid w:val="00186799"/>
    <w:rsid w:val="00190248"/>
    <w:rsid w:val="001B65C1"/>
    <w:rsid w:val="001C684B"/>
    <w:rsid w:val="001D53FC"/>
    <w:rsid w:val="001F2EC7"/>
    <w:rsid w:val="002065DB"/>
    <w:rsid w:val="0021643C"/>
    <w:rsid w:val="00234643"/>
    <w:rsid w:val="002447EF"/>
    <w:rsid w:val="00251550"/>
    <w:rsid w:val="0026304A"/>
    <w:rsid w:val="0027221A"/>
    <w:rsid w:val="00275B61"/>
    <w:rsid w:val="002A69D9"/>
    <w:rsid w:val="002D1F12"/>
    <w:rsid w:val="003009B7"/>
    <w:rsid w:val="0030469C"/>
    <w:rsid w:val="00345EF2"/>
    <w:rsid w:val="003723D4"/>
    <w:rsid w:val="003A7D1C"/>
    <w:rsid w:val="004035DD"/>
    <w:rsid w:val="0046164A"/>
    <w:rsid w:val="00462DCD"/>
    <w:rsid w:val="00463B9E"/>
    <w:rsid w:val="004D1162"/>
    <w:rsid w:val="004E308D"/>
    <w:rsid w:val="004E4DD6"/>
    <w:rsid w:val="004F5E36"/>
    <w:rsid w:val="005119A5"/>
    <w:rsid w:val="00523CDB"/>
    <w:rsid w:val="005278B7"/>
    <w:rsid w:val="005317CE"/>
    <w:rsid w:val="005346C8"/>
    <w:rsid w:val="00556F45"/>
    <w:rsid w:val="0057310D"/>
    <w:rsid w:val="00581DA2"/>
    <w:rsid w:val="00594E9F"/>
    <w:rsid w:val="005B61E6"/>
    <w:rsid w:val="005C77E1"/>
    <w:rsid w:val="005D6A2F"/>
    <w:rsid w:val="005E1A82"/>
    <w:rsid w:val="005F0A28"/>
    <w:rsid w:val="005F0E5E"/>
    <w:rsid w:val="00605F1B"/>
    <w:rsid w:val="00620DEE"/>
    <w:rsid w:val="006240E5"/>
    <w:rsid w:val="00625639"/>
    <w:rsid w:val="0064184D"/>
    <w:rsid w:val="00660E3E"/>
    <w:rsid w:val="00662E74"/>
    <w:rsid w:val="0067510F"/>
    <w:rsid w:val="006A58D2"/>
    <w:rsid w:val="006C5579"/>
    <w:rsid w:val="006E2E24"/>
    <w:rsid w:val="00704BDF"/>
    <w:rsid w:val="00736B13"/>
    <w:rsid w:val="007447F3"/>
    <w:rsid w:val="00750D3B"/>
    <w:rsid w:val="007661C8"/>
    <w:rsid w:val="007B6B6E"/>
    <w:rsid w:val="007D3088"/>
    <w:rsid w:val="007D52CD"/>
    <w:rsid w:val="00813288"/>
    <w:rsid w:val="008168FC"/>
    <w:rsid w:val="008479A2"/>
    <w:rsid w:val="0087637F"/>
    <w:rsid w:val="008A1512"/>
    <w:rsid w:val="008D0BEB"/>
    <w:rsid w:val="008E19CB"/>
    <w:rsid w:val="008E566E"/>
    <w:rsid w:val="00901EB6"/>
    <w:rsid w:val="009450CE"/>
    <w:rsid w:val="0095164B"/>
    <w:rsid w:val="00965772"/>
    <w:rsid w:val="00996483"/>
    <w:rsid w:val="009B6D40"/>
    <w:rsid w:val="009C37C2"/>
    <w:rsid w:val="009C77C3"/>
    <w:rsid w:val="009E3B15"/>
    <w:rsid w:val="009E788A"/>
    <w:rsid w:val="00A06FE9"/>
    <w:rsid w:val="00A1763D"/>
    <w:rsid w:val="00A17CEC"/>
    <w:rsid w:val="00A23366"/>
    <w:rsid w:val="00A27EF0"/>
    <w:rsid w:val="00A76EFC"/>
    <w:rsid w:val="00A81B56"/>
    <w:rsid w:val="00A81FB8"/>
    <w:rsid w:val="00A921AE"/>
    <w:rsid w:val="00A94850"/>
    <w:rsid w:val="00A9626B"/>
    <w:rsid w:val="00A97F29"/>
    <w:rsid w:val="00AA71EC"/>
    <w:rsid w:val="00AB05BC"/>
    <w:rsid w:val="00AB0964"/>
    <w:rsid w:val="00AC35D9"/>
    <w:rsid w:val="00AE377D"/>
    <w:rsid w:val="00B177DC"/>
    <w:rsid w:val="00B248CD"/>
    <w:rsid w:val="00B61770"/>
    <w:rsid w:val="00B61DBF"/>
    <w:rsid w:val="00BC30C9"/>
    <w:rsid w:val="00BE3E58"/>
    <w:rsid w:val="00C01616"/>
    <w:rsid w:val="00C0162B"/>
    <w:rsid w:val="00C345B1"/>
    <w:rsid w:val="00C3493B"/>
    <w:rsid w:val="00C36BD7"/>
    <w:rsid w:val="00C40142"/>
    <w:rsid w:val="00C57182"/>
    <w:rsid w:val="00C655FD"/>
    <w:rsid w:val="00C867B1"/>
    <w:rsid w:val="00C94434"/>
    <w:rsid w:val="00C947A0"/>
    <w:rsid w:val="00CA1C95"/>
    <w:rsid w:val="00CA5A9C"/>
    <w:rsid w:val="00CD5FE2"/>
    <w:rsid w:val="00D02B4C"/>
    <w:rsid w:val="00D51368"/>
    <w:rsid w:val="00D84576"/>
    <w:rsid w:val="00D905C6"/>
    <w:rsid w:val="00DE0019"/>
    <w:rsid w:val="00DE264A"/>
    <w:rsid w:val="00E041E7"/>
    <w:rsid w:val="00E1003A"/>
    <w:rsid w:val="00E23CA1"/>
    <w:rsid w:val="00E30A9A"/>
    <w:rsid w:val="00E409A8"/>
    <w:rsid w:val="00E7209D"/>
    <w:rsid w:val="00EA50E1"/>
    <w:rsid w:val="00ED1B14"/>
    <w:rsid w:val="00EE0131"/>
    <w:rsid w:val="00F30C64"/>
    <w:rsid w:val="00F47FFA"/>
    <w:rsid w:val="00FB730C"/>
    <w:rsid w:val="00FC2695"/>
    <w:rsid w:val="00FC3E03"/>
    <w:rsid w:val="00FC5620"/>
    <w:rsid w:val="00FE6A2D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BD95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citation">
    <w:name w:val="citation"/>
    <w:basedOn w:val="Carpredefinitoparagrafo"/>
    <w:rsid w:val="00FC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B104-FE7F-477B-8AAD-4B6C1ACD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44</cp:revision>
  <cp:lastPrinted>2019-01-07T15:30:00Z</cp:lastPrinted>
  <dcterms:created xsi:type="dcterms:W3CDTF">2018-12-14T09:25:00Z</dcterms:created>
  <dcterms:modified xsi:type="dcterms:W3CDTF">2019-08-23T07:36:00Z</dcterms:modified>
</cp:coreProperties>
</file>