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F6C94"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22555597" w14:textId="5A7583E5" w:rsidR="00242EF0" w:rsidRPr="00DD7353" w:rsidRDefault="00242EF0" w:rsidP="00242EF0">
      <w:pPr>
        <w:autoSpaceDE w:val="0"/>
        <w:autoSpaceDN w:val="0"/>
        <w:adjustRightInd w:val="0"/>
        <w:spacing w:after="360" w:line="240" w:lineRule="auto"/>
        <w:jc w:val="center"/>
        <w:rPr>
          <w:rFonts w:asciiTheme="minorHAnsi" w:eastAsia="MS Mincho" w:hAnsiTheme="minorHAnsi" w:cstheme="minorHAnsi"/>
          <w:color w:val="000000"/>
          <w:sz w:val="24"/>
          <w:szCs w:val="24"/>
          <w:lang w:eastAsia="ja-JP"/>
        </w:rPr>
      </w:pPr>
      <w:r w:rsidRPr="00DD7353">
        <w:rPr>
          <w:rFonts w:asciiTheme="minorHAnsi" w:eastAsia="MS PGothic" w:hAnsiTheme="minorHAnsi" w:cstheme="minorHAnsi"/>
          <w:b/>
          <w:bCs/>
          <w:sz w:val="28"/>
          <w:szCs w:val="28"/>
          <w:lang w:val="en-US"/>
        </w:rPr>
        <w:t xml:space="preserve">Development </w:t>
      </w:r>
      <w:r w:rsidR="00DD7353" w:rsidRPr="00DD7353">
        <w:rPr>
          <w:rFonts w:asciiTheme="minorHAnsi" w:eastAsia="MS PGothic" w:hAnsiTheme="minorHAnsi" w:cstheme="minorHAnsi"/>
          <w:b/>
          <w:bCs/>
          <w:sz w:val="28"/>
          <w:szCs w:val="28"/>
          <w:lang w:val="en-US"/>
        </w:rPr>
        <w:t>of an Automated Perfusion Bioreactor ‘</w:t>
      </w:r>
      <w:proofErr w:type="spellStart"/>
      <w:r w:rsidR="00DD7353" w:rsidRPr="00DD7353">
        <w:rPr>
          <w:rFonts w:asciiTheme="minorHAnsi" w:eastAsia="MS PGothic" w:hAnsiTheme="minorHAnsi" w:cstheme="minorHAnsi"/>
          <w:b/>
          <w:bCs/>
          <w:sz w:val="28"/>
          <w:szCs w:val="28"/>
          <w:lang w:val="en-US"/>
        </w:rPr>
        <w:t>Ambr</w:t>
      </w:r>
      <w:proofErr w:type="spellEnd"/>
      <w:r w:rsidR="00DD7353" w:rsidRPr="00DD7353">
        <w:rPr>
          <w:rFonts w:asciiTheme="minorHAnsi" w:eastAsia="MS PGothic" w:hAnsiTheme="minorHAnsi" w:cstheme="minorHAnsi"/>
          <w:b/>
          <w:bCs/>
          <w:sz w:val="28"/>
          <w:szCs w:val="28"/>
          <w:lang w:val="en-US"/>
        </w:rPr>
        <w:t xml:space="preserve">® 250 </w:t>
      </w:r>
      <w:r w:rsidR="00DD7353" w:rsidRPr="00DD7353">
        <w:rPr>
          <w:rFonts w:asciiTheme="minorHAnsi" w:eastAsia="MS PGothic" w:hAnsiTheme="minorHAnsi" w:cstheme="minorHAnsi"/>
          <w:b/>
          <w:bCs/>
          <w:sz w:val="24"/>
          <w:szCs w:val="24"/>
          <w:lang w:val="en-US"/>
        </w:rPr>
        <w:t xml:space="preserve">Perfusion’. </w:t>
      </w:r>
    </w:p>
    <w:p w14:paraId="3EC14404" w14:textId="54E864A9" w:rsidR="003C2483" w:rsidRDefault="00242EF0" w:rsidP="00242EF0">
      <w:pPr>
        <w:tabs>
          <w:tab w:val="clear" w:pos="7100"/>
        </w:tabs>
        <w:autoSpaceDE w:val="0"/>
        <w:autoSpaceDN w:val="0"/>
        <w:adjustRightInd w:val="0"/>
        <w:spacing w:line="240" w:lineRule="auto"/>
        <w:jc w:val="center"/>
        <w:rPr>
          <w:rFonts w:asciiTheme="minorHAnsi" w:eastAsia="MS Mincho" w:hAnsiTheme="minorHAnsi" w:cstheme="minorHAnsi"/>
          <w:color w:val="000000"/>
          <w:sz w:val="24"/>
          <w:szCs w:val="24"/>
          <w:lang w:eastAsia="ja-JP"/>
        </w:rPr>
      </w:pPr>
      <w:r w:rsidRPr="00DD7353">
        <w:rPr>
          <w:rFonts w:asciiTheme="minorHAnsi" w:eastAsia="MS Mincho" w:hAnsiTheme="minorHAnsi" w:cstheme="minorHAnsi"/>
          <w:color w:val="000000"/>
          <w:sz w:val="24"/>
          <w:szCs w:val="24"/>
          <w:u w:val="single"/>
          <w:lang w:eastAsia="ja-JP"/>
        </w:rPr>
        <w:t xml:space="preserve">Barney </w:t>
      </w:r>
      <w:proofErr w:type="gramStart"/>
      <w:r w:rsidRPr="00DD7353">
        <w:rPr>
          <w:rFonts w:asciiTheme="minorHAnsi" w:eastAsia="MS Mincho" w:hAnsiTheme="minorHAnsi" w:cstheme="minorHAnsi"/>
          <w:color w:val="000000"/>
          <w:sz w:val="24"/>
          <w:szCs w:val="24"/>
          <w:u w:val="single"/>
          <w:lang w:eastAsia="ja-JP"/>
        </w:rPr>
        <w:t>Z</w:t>
      </w:r>
      <w:proofErr w:type="spellStart"/>
      <w:r w:rsidRPr="00DD7353">
        <w:rPr>
          <w:rFonts w:asciiTheme="minorHAnsi" w:eastAsia="MS Mincho" w:hAnsiTheme="minorHAnsi" w:cstheme="minorHAnsi"/>
          <w:color w:val="000000"/>
          <w:sz w:val="24"/>
          <w:szCs w:val="24"/>
          <w:u w:val="single"/>
          <w:lang w:eastAsia="ja-JP"/>
        </w:rPr>
        <w:t>oro</w:t>
      </w:r>
      <w:proofErr w:type="spellEnd"/>
      <w:r w:rsidRPr="00DD7353">
        <w:rPr>
          <w:rFonts w:asciiTheme="minorHAnsi" w:eastAsia="MS Mincho" w:hAnsiTheme="minorHAnsi" w:cstheme="minorHAnsi"/>
          <w:color w:val="000000"/>
          <w:sz w:val="24"/>
          <w:szCs w:val="24"/>
          <w:lang w:eastAsia="ja-JP"/>
        </w:rPr>
        <w:t xml:space="preserve">, </w:t>
      </w:r>
      <w:r w:rsidR="003C2483" w:rsidRPr="00DD7353">
        <w:rPr>
          <w:rFonts w:asciiTheme="minorHAnsi" w:eastAsia="MS Mincho" w:hAnsiTheme="minorHAnsi" w:cstheme="minorHAnsi"/>
          <w:color w:val="000000"/>
          <w:sz w:val="24"/>
          <w:szCs w:val="24"/>
          <w:lang w:eastAsia="ja-JP"/>
        </w:rPr>
        <w:t xml:space="preserve"> Asma</w:t>
      </w:r>
      <w:proofErr w:type="gramEnd"/>
      <w:r w:rsidR="003C2483" w:rsidRPr="00DD7353">
        <w:rPr>
          <w:rFonts w:asciiTheme="minorHAnsi" w:eastAsia="MS Mincho" w:hAnsiTheme="minorHAnsi" w:cstheme="minorHAnsi"/>
          <w:color w:val="000000"/>
          <w:sz w:val="24"/>
          <w:szCs w:val="24"/>
          <w:lang w:eastAsia="ja-JP"/>
        </w:rPr>
        <w:t xml:space="preserve"> Ahmad, Alison Rees-</w:t>
      </w:r>
      <w:proofErr w:type="spellStart"/>
      <w:r w:rsidR="003C2483" w:rsidRPr="00DD7353">
        <w:rPr>
          <w:rFonts w:asciiTheme="minorHAnsi" w:eastAsia="MS Mincho" w:hAnsiTheme="minorHAnsi" w:cstheme="minorHAnsi"/>
          <w:color w:val="000000"/>
          <w:sz w:val="24"/>
          <w:szCs w:val="24"/>
          <w:lang w:eastAsia="ja-JP"/>
        </w:rPr>
        <w:t>Manley,</w:t>
      </w:r>
      <w:r w:rsidRPr="00DD7353">
        <w:rPr>
          <w:rFonts w:asciiTheme="minorHAnsi" w:eastAsia="MS Mincho" w:hAnsiTheme="minorHAnsi" w:cstheme="minorHAnsi"/>
          <w:color w:val="000000"/>
          <w:sz w:val="24"/>
          <w:szCs w:val="24"/>
          <w:lang w:eastAsia="ja-JP"/>
        </w:rPr>
        <w:t>To</w:t>
      </w:r>
      <w:r w:rsidR="003C2483" w:rsidRPr="00DD7353">
        <w:rPr>
          <w:rFonts w:asciiTheme="minorHAnsi" w:eastAsia="MS Mincho" w:hAnsiTheme="minorHAnsi" w:cstheme="minorHAnsi"/>
          <w:color w:val="000000"/>
          <w:sz w:val="24"/>
          <w:szCs w:val="24"/>
          <w:lang w:eastAsia="ja-JP"/>
        </w:rPr>
        <w:t>m</w:t>
      </w:r>
      <w:proofErr w:type="spellEnd"/>
      <w:r w:rsidR="003C2483" w:rsidRPr="00DD7353">
        <w:rPr>
          <w:rFonts w:asciiTheme="minorHAnsi" w:eastAsia="MS Mincho" w:hAnsiTheme="minorHAnsi" w:cstheme="minorHAnsi"/>
          <w:color w:val="000000"/>
          <w:sz w:val="24"/>
          <w:szCs w:val="24"/>
          <w:lang w:eastAsia="ja-JP"/>
        </w:rPr>
        <w:t xml:space="preserve"> Jeffery</w:t>
      </w:r>
    </w:p>
    <w:p w14:paraId="726A92C4" w14:textId="77777777" w:rsidR="00DD7353" w:rsidRDefault="00DD7353" w:rsidP="00242EF0">
      <w:pPr>
        <w:tabs>
          <w:tab w:val="clear" w:pos="7100"/>
        </w:tabs>
        <w:autoSpaceDE w:val="0"/>
        <w:autoSpaceDN w:val="0"/>
        <w:adjustRightInd w:val="0"/>
        <w:spacing w:line="240" w:lineRule="auto"/>
        <w:jc w:val="center"/>
        <w:rPr>
          <w:rFonts w:asciiTheme="minorHAnsi" w:eastAsia="MS Mincho" w:hAnsiTheme="minorHAnsi" w:cstheme="minorHAnsi"/>
          <w:color w:val="000000"/>
          <w:sz w:val="24"/>
          <w:szCs w:val="24"/>
          <w:lang w:eastAsia="ja-JP"/>
        </w:rPr>
      </w:pPr>
    </w:p>
    <w:p w14:paraId="7C380B7E" w14:textId="7F3CFAC1" w:rsidR="00DD7353" w:rsidRPr="00DD7353" w:rsidRDefault="00DD7353" w:rsidP="00DD7353">
      <w:pPr>
        <w:tabs>
          <w:tab w:val="clear" w:pos="7100"/>
        </w:tabs>
        <w:spacing w:line="240" w:lineRule="auto"/>
        <w:jc w:val="center"/>
        <w:rPr>
          <w:rFonts w:ascii="Calibri" w:hAnsi="Calibri" w:cs="Calibri"/>
          <w:i/>
          <w:iCs/>
          <w:sz w:val="20"/>
          <w:lang w:val="it-IT" w:eastAsia="it-IT"/>
        </w:rPr>
      </w:pPr>
      <w:proofErr w:type="spellStart"/>
      <w:r w:rsidRPr="00DD7353">
        <w:rPr>
          <w:rFonts w:ascii="Calibri" w:hAnsi="Calibri" w:cs="Calibri"/>
          <w:i/>
          <w:iCs/>
          <w:sz w:val="20"/>
          <w:lang w:val="it-IT" w:eastAsia="it-IT"/>
        </w:rPr>
        <w:t>Sartorius</w:t>
      </w:r>
      <w:proofErr w:type="spellEnd"/>
      <w:r w:rsidRPr="00DD7353">
        <w:rPr>
          <w:rFonts w:ascii="Calibri" w:hAnsi="Calibri" w:cs="Calibri"/>
          <w:i/>
          <w:iCs/>
          <w:sz w:val="20"/>
          <w:lang w:val="it-IT" w:eastAsia="it-IT"/>
        </w:rPr>
        <w:t xml:space="preserve"> </w:t>
      </w:r>
      <w:proofErr w:type="spellStart"/>
      <w:r w:rsidRPr="00DD7353">
        <w:rPr>
          <w:rFonts w:ascii="Calibri" w:hAnsi="Calibri" w:cs="Calibri"/>
          <w:i/>
          <w:iCs/>
          <w:sz w:val="20"/>
          <w:lang w:val="it-IT" w:eastAsia="it-IT"/>
        </w:rPr>
        <w:t>Stedim</w:t>
      </w:r>
      <w:proofErr w:type="spellEnd"/>
      <w:r w:rsidRPr="00DD7353">
        <w:rPr>
          <w:rFonts w:ascii="Calibri" w:hAnsi="Calibri" w:cs="Calibri"/>
          <w:i/>
          <w:iCs/>
          <w:sz w:val="20"/>
          <w:lang w:val="it-IT" w:eastAsia="it-IT"/>
        </w:rPr>
        <w:t xml:space="preserve"> Biotech</w:t>
      </w:r>
      <w:bookmarkStart w:id="0" w:name="_GoBack"/>
      <w:bookmarkEnd w:id="0"/>
    </w:p>
    <w:p w14:paraId="175B3635" w14:textId="77777777" w:rsidR="003C2483" w:rsidRPr="00DD7353" w:rsidRDefault="003C2483" w:rsidP="00242EF0">
      <w:pPr>
        <w:tabs>
          <w:tab w:val="clear" w:pos="7100"/>
        </w:tabs>
        <w:autoSpaceDE w:val="0"/>
        <w:autoSpaceDN w:val="0"/>
        <w:adjustRightInd w:val="0"/>
        <w:spacing w:line="240" w:lineRule="auto"/>
        <w:jc w:val="center"/>
        <w:rPr>
          <w:rFonts w:asciiTheme="minorHAnsi" w:eastAsia="MS Mincho" w:hAnsiTheme="minorHAnsi" w:cstheme="minorHAnsi"/>
          <w:color w:val="000000"/>
          <w:sz w:val="20"/>
          <w:lang w:eastAsia="ja-JP"/>
        </w:rPr>
      </w:pPr>
    </w:p>
    <w:p w14:paraId="213B402F" w14:textId="3768678A" w:rsidR="00242EF0" w:rsidRPr="00DD7353" w:rsidRDefault="00DD7353" w:rsidP="00242EF0">
      <w:pPr>
        <w:tabs>
          <w:tab w:val="clear" w:pos="7100"/>
        </w:tabs>
        <w:autoSpaceDE w:val="0"/>
        <w:autoSpaceDN w:val="0"/>
        <w:adjustRightInd w:val="0"/>
        <w:spacing w:line="240" w:lineRule="auto"/>
        <w:jc w:val="center"/>
        <w:rPr>
          <w:rFonts w:asciiTheme="minorHAnsi" w:eastAsia="MS Mincho" w:hAnsiTheme="minorHAnsi" w:cstheme="minorHAnsi"/>
          <w:color w:val="000000"/>
          <w:sz w:val="20"/>
          <w:lang w:eastAsia="ja-JP"/>
        </w:rPr>
      </w:pPr>
      <w:r w:rsidRPr="00DE0019">
        <w:rPr>
          <w:rFonts w:asciiTheme="minorHAnsi" w:eastAsia="MS PGothic" w:hAnsiTheme="minorHAnsi"/>
          <w:bCs/>
          <w:i/>
          <w:iCs/>
          <w:color w:val="000000"/>
          <w:sz w:val="20"/>
          <w:lang w:val="en-US"/>
        </w:rPr>
        <w:t>*Corresponding author</w:t>
      </w:r>
      <w:r>
        <w:rPr>
          <w:rFonts w:asciiTheme="minorHAnsi" w:eastAsia="MS PGothic" w:hAnsiTheme="minorHAnsi"/>
          <w:bCs/>
          <w:i/>
          <w:iCs/>
          <w:color w:val="000000"/>
          <w:sz w:val="20"/>
          <w:lang w:val="en-US"/>
        </w:rPr>
        <w:t>:</w:t>
      </w:r>
      <w:r w:rsidR="00242EF0" w:rsidRPr="00DD7353">
        <w:rPr>
          <w:rFonts w:asciiTheme="minorHAnsi" w:eastAsia="MS Mincho" w:hAnsiTheme="minorHAnsi" w:cstheme="minorHAnsi"/>
          <w:color w:val="000000"/>
          <w:sz w:val="20"/>
          <w:lang w:eastAsia="ja-JP"/>
        </w:rPr>
        <w:t xml:space="preserve"> </w:t>
      </w:r>
      <w:hyperlink r:id="rId10" w:history="1">
        <w:r w:rsidR="00242EF0" w:rsidRPr="00DD7353">
          <w:rPr>
            <w:rStyle w:val="Collegamentoipertestuale"/>
            <w:rFonts w:asciiTheme="minorHAnsi" w:eastAsia="MS Mincho" w:hAnsiTheme="minorHAnsi" w:cstheme="minorHAnsi"/>
            <w:sz w:val="20"/>
            <w:lang w:eastAsia="ja-JP"/>
          </w:rPr>
          <w:t>barney.zoro@sartorius.com</w:t>
        </w:r>
      </w:hyperlink>
    </w:p>
    <w:p w14:paraId="791A1600" w14:textId="77777777" w:rsidR="00242EF0" w:rsidRPr="00DD7353" w:rsidRDefault="00242EF0" w:rsidP="00242EF0">
      <w:pPr>
        <w:tabs>
          <w:tab w:val="clear" w:pos="7100"/>
        </w:tabs>
        <w:autoSpaceDE w:val="0"/>
        <w:autoSpaceDN w:val="0"/>
        <w:adjustRightInd w:val="0"/>
        <w:spacing w:line="240" w:lineRule="auto"/>
        <w:jc w:val="center"/>
        <w:rPr>
          <w:rFonts w:asciiTheme="minorHAnsi" w:eastAsia="MS Mincho" w:hAnsiTheme="minorHAnsi" w:cstheme="minorHAnsi"/>
          <w:color w:val="000000"/>
          <w:sz w:val="22"/>
          <w:szCs w:val="22"/>
          <w:lang w:eastAsia="ja-JP"/>
        </w:rPr>
      </w:pPr>
    </w:p>
    <w:p w14:paraId="78CAF06A" w14:textId="77777777" w:rsidR="00242EF0" w:rsidRPr="00DD7353" w:rsidRDefault="00242EF0" w:rsidP="00242EF0">
      <w:pPr>
        <w:pStyle w:val="Default"/>
        <w:rPr>
          <w:rFonts w:asciiTheme="minorHAnsi" w:hAnsiTheme="minorHAnsi" w:cstheme="minorHAnsi"/>
          <w:sz w:val="22"/>
          <w:szCs w:val="22"/>
        </w:rPr>
      </w:pPr>
      <w:r w:rsidRPr="00DD7353">
        <w:rPr>
          <w:rFonts w:asciiTheme="minorHAnsi" w:hAnsiTheme="minorHAnsi" w:cstheme="minorHAnsi"/>
          <w:sz w:val="22"/>
          <w:szCs w:val="22"/>
        </w:rPr>
        <w:t xml:space="preserve">In recent years a strong trend towards intensified and continuous biopharmaceutical processing has gathered momentum, enabled by key cell culture technologies such as ATF and TFF. However, small-scale application has been limited to traditional benchtop bioreactor formats that are manually intensive, relatively low throughput and costly to operate. Automated high throughput, single-use, mini bioreactor systems with new capabilities to support perfusion culture, including new </w:t>
      </w:r>
      <w:proofErr w:type="spellStart"/>
      <w:r w:rsidRPr="00DD7353">
        <w:rPr>
          <w:rFonts w:asciiTheme="minorHAnsi" w:hAnsiTheme="minorHAnsi" w:cstheme="minorHAnsi"/>
          <w:sz w:val="22"/>
          <w:szCs w:val="22"/>
        </w:rPr>
        <w:t>ambr</w:t>
      </w:r>
      <w:proofErr w:type="spellEnd"/>
      <w:r w:rsidRPr="00DD7353">
        <w:rPr>
          <w:rFonts w:asciiTheme="minorHAnsi" w:hAnsiTheme="minorHAnsi" w:cstheme="minorHAnsi"/>
          <w:sz w:val="22"/>
          <w:szCs w:val="22"/>
        </w:rPr>
        <w:t xml:space="preserve"> 15 capability and the novel ‘</w:t>
      </w:r>
      <w:proofErr w:type="spellStart"/>
      <w:r w:rsidRPr="00DD7353">
        <w:rPr>
          <w:rFonts w:asciiTheme="minorHAnsi" w:hAnsiTheme="minorHAnsi" w:cstheme="minorHAnsi"/>
          <w:sz w:val="22"/>
          <w:szCs w:val="22"/>
        </w:rPr>
        <w:t>ambr</w:t>
      </w:r>
      <w:proofErr w:type="spellEnd"/>
      <w:r w:rsidRPr="00DD7353">
        <w:rPr>
          <w:rFonts w:asciiTheme="minorHAnsi" w:hAnsiTheme="minorHAnsi" w:cstheme="minorHAnsi"/>
          <w:sz w:val="22"/>
          <w:szCs w:val="22"/>
        </w:rPr>
        <w:t xml:space="preserve"> 250 perfusion’, can facilitate and significantly accelerate an industry wide transition to intensified and continuous perfusion cell culture processes.</w:t>
      </w:r>
    </w:p>
    <w:p w14:paraId="1C75FA70" w14:textId="77777777" w:rsidR="00242EF0" w:rsidRPr="00DD7353" w:rsidRDefault="00242EF0" w:rsidP="00242EF0">
      <w:pPr>
        <w:pStyle w:val="Default"/>
        <w:rPr>
          <w:rFonts w:asciiTheme="minorHAnsi" w:hAnsiTheme="minorHAnsi" w:cstheme="minorHAnsi"/>
          <w:sz w:val="22"/>
          <w:szCs w:val="22"/>
        </w:rPr>
      </w:pPr>
    </w:p>
    <w:p w14:paraId="75154BC3" w14:textId="77777777" w:rsidR="00242EF0" w:rsidRPr="00DD7353" w:rsidRDefault="00242EF0" w:rsidP="00242EF0">
      <w:pPr>
        <w:autoSpaceDE w:val="0"/>
        <w:autoSpaceDN w:val="0"/>
        <w:adjustRightInd w:val="0"/>
        <w:spacing w:line="240" w:lineRule="auto"/>
        <w:rPr>
          <w:rFonts w:asciiTheme="minorHAnsi" w:hAnsiTheme="minorHAnsi" w:cstheme="minorHAnsi"/>
          <w:color w:val="000000"/>
          <w:sz w:val="22"/>
          <w:szCs w:val="22"/>
        </w:rPr>
      </w:pPr>
      <w:r w:rsidRPr="00DD7353">
        <w:rPr>
          <w:rFonts w:asciiTheme="minorHAnsi" w:hAnsiTheme="minorHAnsi" w:cstheme="minorHAnsi"/>
          <w:color w:val="000000"/>
          <w:sz w:val="22"/>
          <w:szCs w:val="22"/>
        </w:rPr>
        <w:t xml:space="preserve">Working in close collaboration with </w:t>
      </w:r>
      <w:proofErr w:type="spellStart"/>
      <w:r w:rsidRPr="00DD7353">
        <w:rPr>
          <w:rFonts w:asciiTheme="minorHAnsi" w:hAnsiTheme="minorHAnsi" w:cstheme="minorHAnsi"/>
          <w:color w:val="000000"/>
          <w:sz w:val="22"/>
          <w:szCs w:val="22"/>
        </w:rPr>
        <w:t>biopharm</w:t>
      </w:r>
      <w:proofErr w:type="spellEnd"/>
      <w:r w:rsidRPr="00DD7353">
        <w:rPr>
          <w:rFonts w:asciiTheme="minorHAnsi" w:hAnsiTheme="minorHAnsi" w:cstheme="minorHAnsi"/>
          <w:color w:val="000000"/>
          <w:sz w:val="22"/>
          <w:szCs w:val="22"/>
        </w:rPr>
        <w:t xml:space="preserve"> industry development partners, the design of the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250 high throughput’ bioreactor system has been modified to include hardware, software and single use components required to operate up to 24 parallel bioreactors with ATF or TFF cell retention modes. Iterative prototype testing with </w:t>
      </w:r>
      <w:proofErr w:type="spellStart"/>
      <w:r w:rsidRPr="00DD7353">
        <w:rPr>
          <w:rFonts w:asciiTheme="minorHAnsi" w:hAnsiTheme="minorHAnsi" w:cstheme="minorHAnsi"/>
          <w:color w:val="000000"/>
          <w:sz w:val="22"/>
          <w:szCs w:val="22"/>
        </w:rPr>
        <w:t>biopharm</w:t>
      </w:r>
      <w:proofErr w:type="spellEnd"/>
      <w:r w:rsidRPr="00DD7353">
        <w:rPr>
          <w:rFonts w:asciiTheme="minorHAnsi" w:hAnsiTheme="minorHAnsi" w:cstheme="minorHAnsi"/>
          <w:color w:val="000000"/>
          <w:sz w:val="22"/>
          <w:szCs w:val="22"/>
        </w:rPr>
        <w:t xml:space="preserve"> industry development partners has resulted in a novel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250 system design, shown to be capable of operating for extended culture durations and supporting high cell densities.</w:t>
      </w:r>
    </w:p>
    <w:p w14:paraId="4D087711" w14:textId="77777777" w:rsidR="00242EF0" w:rsidRPr="00DD7353" w:rsidRDefault="00242EF0" w:rsidP="00242EF0">
      <w:pPr>
        <w:pStyle w:val="Default"/>
        <w:rPr>
          <w:rFonts w:asciiTheme="minorHAnsi" w:hAnsiTheme="minorHAnsi" w:cstheme="minorHAnsi"/>
          <w:sz w:val="22"/>
          <w:szCs w:val="22"/>
        </w:rPr>
      </w:pPr>
    </w:p>
    <w:p w14:paraId="58CCB17F" w14:textId="77777777" w:rsidR="00242EF0" w:rsidRPr="00DD7353" w:rsidRDefault="00242EF0" w:rsidP="00242EF0">
      <w:pPr>
        <w:autoSpaceDE w:val="0"/>
        <w:autoSpaceDN w:val="0"/>
        <w:adjustRightInd w:val="0"/>
        <w:spacing w:line="240" w:lineRule="auto"/>
        <w:rPr>
          <w:rFonts w:asciiTheme="minorHAnsi" w:hAnsiTheme="minorHAnsi" w:cstheme="minorHAnsi"/>
          <w:color w:val="000000"/>
          <w:sz w:val="22"/>
          <w:szCs w:val="22"/>
        </w:rPr>
      </w:pPr>
      <w:r w:rsidRPr="00DD7353">
        <w:rPr>
          <w:rFonts w:asciiTheme="minorHAnsi" w:hAnsiTheme="minorHAnsi" w:cstheme="minorHAnsi"/>
          <w:color w:val="000000"/>
          <w:sz w:val="22"/>
          <w:szCs w:val="22"/>
        </w:rPr>
        <w:t>Technical description and cell culture results presented for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250 perfusion’ outline system capability for intensified cell culture applications. Case studies will be presented on the utility of new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15 system features for perfusion mimic applications, together with a range of industry case studies and novel performance data for the new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250 perfusion’ system. As previously established with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250 for fed-batch processes, ‘</w:t>
      </w:r>
      <w:proofErr w:type="spellStart"/>
      <w:r w:rsidRPr="00DD7353">
        <w:rPr>
          <w:rFonts w:asciiTheme="minorHAnsi" w:hAnsiTheme="minorHAnsi" w:cstheme="minorHAnsi"/>
          <w:color w:val="000000"/>
          <w:sz w:val="22"/>
          <w:szCs w:val="22"/>
        </w:rPr>
        <w:t>ambr</w:t>
      </w:r>
      <w:proofErr w:type="spellEnd"/>
      <w:r w:rsidRPr="00DD7353">
        <w:rPr>
          <w:rFonts w:asciiTheme="minorHAnsi" w:hAnsiTheme="minorHAnsi" w:cstheme="minorHAnsi"/>
          <w:color w:val="000000"/>
          <w:sz w:val="22"/>
          <w:szCs w:val="22"/>
        </w:rPr>
        <w:t xml:space="preserve"> 250 perfusion’ has the potential to provide the </w:t>
      </w:r>
      <w:proofErr w:type="spellStart"/>
      <w:r w:rsidRPr="00DD7353">
        <w:rPr>
          <w:rFonts w:asciiTheme="minorHAnsi" w:hAnsiTheme="minorHAnsi" w:cstheme="minorHAnsi"/>
          <w:color w:val="000000"/>
          <w:sz w:val="22"/>
          <w:szCs w:val="22"/>
        </w:rPr>
        <w:t>biopharm</w:t>
      </w:r>
      <w:proofErr w:type="spellEnd"/>
      <w:r w:rsidRPr="00DD7353">
        <w:rPr>
          <w:rFonts w:asciiTheme="minorHAnsi" w:hAnsiTheme="minorHAnsi" w:cstheme="minorHAnsi"/>
          <w:color w:val="000000"/>
          <w:sz w:val="22"/>
          <w:szCs w:val="22"/>
        </w:rPr>
        <w:t xml:space="preserve"> industry with a step change in perfusion process development capacity, enabling implementation of DoE based approaches for perfusion process optimization and characterization.</w:t>
      </w:r>
    </w:p>
    <w:p w14:paraId="3FC24BAC" w14:textId="77777777" w:rsidR="00242EF0" w:rsidRDefault="00242EF0" w:rsidP="00242EF0">
      <w:pPr>
        <w:pStyle w:val="Default"/>
      </w:pPr>
    </w:p>
    <w:p w14:paraId="1BDDECF6" w14:textId="77777777" w:rsidR="00704BDF" w:rsidRPr="00704BDF" w:rsidRDefault="00704BDF" w:rsidP="00242EF0">
      <w:pPr>
        <w:pStyle w:val="AbstractHeading"/>
        <w:tabs>
          <w:tab w:val="left" w:pos="3547"/>
          <w:tab w:val="center" w:pos="4694"/>
        </w:tabs>
        <w:spacing w:before="240" w:after="0"/>
        <w:ind w:firstLine="357"/>
        <w:rPr>
          <w:rFonts w:asciiTheme="minorHAnsi" w:eastAsia="SimSun" w:hAnsiTheme="minorHAnsi"/>
          <w:sz w:val="22"/>
          <w:szCs w:val="22"/>
          <w:lang w:eastAsia="zh-CN"/>
        </w:rPr>
      </w:pPr>
    </w:p>
    <w:sectPr w:rsidR="00704BDF" w:rsidRPr="00704BD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14D" w14:textId="77777777" w:rsidR="004273EE" w:rsidRDefault="004273EE" w:rsidP="004F5E36">
      <w:r>
        <w:separator/>
      </w:r>
    </w:p>
  </w:endnote>
  <w:endnote w:type="continuationSeparator" w:id="0">
    <w:p w14:paraId="507632E3" w14:textId="77777777" w:rsidR="004273EE" w:rsidRDefault="004273EE"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0A100" w14:textId="77777777" w:rsidR="004273EE" w:rsidRDefault="004273EE" w:rsidP="004F5E36">
      <w:r>
        <w:separator/>
      </w:r>
    </w:p>
  </w:footnote>
  <w:footnote w:type="continuationSeparator" w:id="0">
    <w:p w14:paraId="5283DF0E" w14:textId="77777777" w:rsidR="004273EE" w:rsidRDefault="004273EE"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870C6" w14:textId="77777777" w:rsidR="004D1162" w:rsidRDefault="00594E9F">
    <w:pPr>
      <w:pStyle w:val="Intestazione"/>
    </w:pPr>
    <w:r>
      <w:rPr>
        <w:noProof/>
        <w:lang w:val="it-IT" w:eastAsia="it-IT"/>
      </w:rPr>
      <mc:AlternateContent>
        <mc:Choice Requires="wps">
          <w:drawing>
            <wp:anchor distT="0" distB="0" distL="114300" distR="114300" simplePos="0" relativeHeight="251666432" behindDoc="0" locked="0" layoutInCell="1" allowOverlap="1" wp14:anchorId="393D31C5" wp14:editId="7BAB2FB3">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572ED9C"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it-IT" w:eastAsia="it-IT"/>
      </w:rPr>
      <w:drawing>
        <wp:anchor distT="0" distB="0" distL="114300" distR="114300" simplePos="0" relativeHeight="251662336" behindDoc="0" locked="0" layoutInCell="1" allowOverlap="1" wp14:anchorId="7151DDC3" wp14:editId="6CB565DE">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0E3D" w14:textId="77777777" w:rsidR="00704BDF" w:rsidRPr="004F563B" w:rsidRDefault="00704BDF" w:rsidP="00704BDF">
    <w:pPr>
      <w:ind w:left="-426" w:right="-285"/>
      <w:jc w:val="center"/>
      <w:rPr>
        <w:rFonts w:asciiTheme="minorHAnsi" w:hAnsiTheme="minorHAnsi"/>
        <w:b/>
        <w:i/>
        <w:color w:val="7030A0"/>
        <w:sz w:val="24"/>
        <w:szCs w:val="24"/>
        <w:lang w:val="en-US"/>
      </w:rPr>
    </w:pPr>
    <w:r>
      <w:rPr>
        <w:noProof/>
        <w:lang w:val="it-IT" w:eastAsia="it-IT"/>
      </w:rPr>
      <w:drawing>
        <wp:anchor distT="0" distB="0" distL="114300" distR="114300" simplePos="0" relativeHeight="251659264" behindDoc="0" locked="0" layoutInCell="1" allowOverlap="1" wp14:anchorId="0611E260" wp14:editId="77261F90">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14:paraId="3E962442" w14:textId="77777777" w:rsidR="00704BDF" w:rsidRDefault="00704BDF">
    <w:pPr>
      <w:pStyle w:val="Intestazione"/>
    </w:pPr>
  </w:p>
  <w:p w14:paraId="20F9D99C" w14:textId="77777777" w:rsidR="00704BDF" w:rsidRDefault="00704BDF">
    <w:pPr>
      <w:pStyle w:val="Intestazione"/>
    </w:pPr>
    <w:r>
      <w:rPr>
        <w:noProof/>
        <w:lang w:val="it-IT" w:eastAsia="it-IT"/>
      </w:rPr>
      <mc:AlternateContent>
        <mc:Choice Requires="wps">
          <w:drawing>
            <wp:anchor distT="0" distB="0" distL="114300" distR="114300" simplePos="0" relativeHeight="251660288" behindDoc="0" locked="0" layoutInCell="1" allowOverlap="1" wp14:anchorId="0C95DB57" wp14:editId="6C0C4E2D">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848D808"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tDWujclBo6JqzNgWQIeVPRGyPdKQNrMKsBiKsKXPTf/sGhNslv4Nw/EmUnw3yaNzilIHZzYtIYdqjvo8y9pBA==" w:salt="8sFClCFnh+DxuRmOWfcM7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A03B2"/>
    <w:rsid w:val="000D34BE"/>
    <w:rsid w:val="000E36F1"/>
    <w:rsid w:val="000E3A73"/>
    <w:rsid w:val="000E414A"/>
    <w:rsid w:val="0013121F"/>
    <w:rsid w:val="00134DE4"/>
    <w:rsid w:val="00150E59"/>
    <w:rsid w:val="00184AD6"/>
    <w:rsid w:val="001B65C1"/>
    <w:rsid w:val="001C684B"/>
    <w:rsid w:val="001D53FC"/>
    <w:rsid w:val="001F2EC7"/>
    <w:rsid w:val="002065DB"/>
    <w:rsid w:val="00242EF0"/>
    <w:rsid w:val="002447EF"/>
    <w:rsid w:val="00251550"/>
    <w:rsid w:val="0027221A"/>
    <w:rsid w:val="00275B61"/>
    <w:rsid w:val="002D1F12"/>
    <w:rsid w:val="003009B7"/>
    <w:rsid w:val="0030469C"/>
    <w:rsid w:val="003723D4"/>
    <w:rsid w:val="003A7D1C"/>
    <w:rsid w:val="003C2483"/>
    <w:rsid w:val="004273EE"/>
    <w:rsid w:val="0046164A"/>
    <w:rsid w:val="00462DCD"/>
    <w:rsid w:val="004702C8"/>
    <w:rsid w:val="004D1162"/>
    <w:rsid w:val="004E4DD6"/>
    <w:rsid w:val="004F563B"/>
    <w:rsid w:val="004F5E36"/>
    <w:rsid w:val="005119A5"/>
    <w:rsid w:val="00523C14"/>
    <w:rsid w:val="005278B7"/>
    <w:rsid w:val="005346C8"/>
    <w:rsid w:val="00594E9F"/>
    <w:rsid w:val="005B61E6"/>
    <w:rsid w:val="005C77E1"/>
    <w:rsid w:val="005D6A2F"/>
    <w:rsid w:val="005E1A82"/>
    <w:rsid w:val="005F0A28"/>
    <w:rsid w:val="005F0E5E"/>
    <w:rsid w:val="00620DEE"/>
    <w:rsid w:val="00625639"/>
    <w:rsid w:val="006366F8"/>
    <w:rsid w:val="0064184D"/>
    <w:rsid w:val="00660E3E"/>
    <w:rsid w:val="00662E74"/>
    <w:rsid w:val="006A78E3"/>
    <w:rsid w:val="006B01AC"/>
    <w:rsid w:val="006C5579"/>
    <w:rsid w:val="00704BDF"/>
    <w:rsid w:val="00724517"/>
    <w:rsid w:val="00736B13"/>
    <w:rsid w:val="007447F3"/>
    <w:rsid w:val="007661C8"/>
    <w:rsid w:val="007D52CD"/>
    <w:rsid w:val="00813288"/>
    <w:rsid w:val="008168FC"/>
    <w:rsid w:val="008479A2"/>
    <w:rsid w:val="0087637F"/>
    <w:rsid w:val="008A1512"/>
    <w:rsid w:val="008D0BEB"/>
    <w:rsid w:val="008E566E"/>
    <w:rsid w:val="00901EB6"/>
    <w:rsid w:val="009450CE"/>
    <w:rsid w:val="0095164B"/>
    <w:rsid w:val="00996483"/>
    <w:rsid w:val="009E788A"/>
    <w:rsid w:val="00A1763D"/>
    <w:rsid w:val="00A17CEC"/>
    <w:rsid w:val="00A27EF0"/>
    <w:rsid w:val="00A412B4"/>
    <w:rsid w:val="00A76EFC"/>
    <w:rsid w:val="00A97F29"/>
    <w:rsid w:val="00AB0964"/>
    <w:rsid w:val="00AE377D"/>
    <w:rsid w:val="00B61DBF"/>
    <w:rsid w:val="00BC30C9"/>
    <w:rsid w:val="00BE3E58"/>
    <w:rsid w:val="00C01616"/>
    <w:rsid w:val="00C0162B"/>
    <w:rsid w:val="00C345B1"/>
    <w:rsid w:val="00C40142"/>
    <w:rsid w:val="00C57182"/>
    <w:rsid w:val="00C655FD"/>
    <w:rsid w:val="00C94434"/>
    <w:rsid w:val="00CA1C95"/>
    <w:rsid w:val="00CA5A9C"/>
    <w:rsid w:val="00CC3F4B"/>
    <w:rsid w:val="00CD5FE2"/>
    <w:rsid w:val="00D02B4C"/>
    <w:rsid w:val="00D84576"/>
    <w:rsid w:val="00DD7353"/>
    <w:rsid w:val="00DE0019"/>
    <w:rsid w:val="00DE264A"/>
    <w:rsid w:val="00E041E7"/>
    <w:rsid w:val="00E23CA1"/>
    <w:rsid w:val="00E409A8"/>
    <w:rsid w:val="00E47211"/>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65F72"/>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paragraph" w:customStyle="1" w:styleId="Default">
    <w:name w:val="Default"/>
    <w:rsid w:val="00242EF0"/>
    <w:pPr>
      <w:autoSpaceDE w:val="0"/>
      <w:autoSpaceDN w:val="0"/>
      <w:adjustRightInd w:val="0"/>
      <w:spacing w:after="0" w:line="240" w:lineRule="auto"/>
    </w:pPr>
    <w:rPr>
      <w:rFonts w:ascii="Calibri" w:eastAsia="MS Mincho" w:hAnsi="Calibri" w:cs="Calibri"/>
      <w:color w:val="000000"/>
      <w:sz w:val="24"/>
      <w:szCs w:val="24"/>
      <w:lang w:val="en-GB" w:eastAsia="ja-JP"/>
    </w:rPr>
  </w:style>
  <w:style w:type="character" w:styleId="Collegamentoipertestuale">
    <w:name w:val="Hyperlink"/>
    <w:basedOn w:val="Carpredefinitoparagrafo"/>
    <w:uiPriority w:val="99"/>
    <w:unhideWhenUsed/>
    <w:locked/>
    <w:rsid w:val="00242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9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rney.zoro@sartorius.com"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4684-86A9-4C02-94B6-7E10D14D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318</Words>
  <Characters>1816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6</cp:revision>
  <cp:lastPrinted>2015-05-12T18:31:00Z</cp:lastPrinted>
  <dcterms:created xsi:type="dcterms:W3CDTF">2019-06-18T11:24:00Z</dcterms:created>
  <dcterms:modified xsi:type="dcterms:W3CDTF">2019-08-23T07:29:00Z</dcterms:modified>
</cp:coreProperties>
</file>