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D3CE4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Hlk530732497"/>
      <w:bookmarkEnd w:id="0"/>
    </w:p>
    <w:p w14:paraId="2165A164" w14:textId="3679D925" w:rsidR="00704BDF" w:rsidRPr="00DE0019" w:rsidRDefault="00B62AE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The </w:t>
      </w:r>
      <w:r w:rsidR="00CB78B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Similarity of Power and Flow </w:t>
      </w:r>
      <w:proofErr w:type="gramStart"/>
      <w:r w:rsidR="00CB78B6">
        <w:rPr>
          <w:rFonts w:asciiTheme="minorHAnsi" w:eastAsia="MS PGothic" w:hAnsiTheme="minorHAnsi"/>
          <w:b/>
          <w:bCs/>
          <w:sz w:val="28"/>
          <w:szCs w:val="28"/>
          <w:lang w:val="en-US"/>
        </w:rPr>
        <w:t>In</w:t>
      </w:r>
      <w:proofErr w:type="gramEnd"/>
      <w:r w:rsidR="00CB78B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Batch and Inline Rotor-Stator Mixers.</w:t>
      </w:r>
    </w:p>
    <w:p w14:paraId="52ED3366" w14:textId="57046506" w:rsidR="00DE0019" w:rsidRPr="00E17919" w:rsidRDefault="00601215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r w:rsidRPr="00E179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Thomas</w:t>
      </w:r>
      <w:r w:rsidR="00704BDF" w:rsidRPr="00E179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 w:rsidRPr="00E179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John</w:t>
      </w:r>
      <w:r w:rsidR="00704BDF" w:rsidRPr="00E179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E179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C72764" w:rsidRPr="00E179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Adam J Kowalski</w:t>
      </w:r>
      <w:r w:rsidR="00C72764" w:rsidRPr="00E1791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C72764" w:rsidRPr="00E179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736B13" w:rsidRPr="00E179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="00C92B2B" w:rsidRPr="00E179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Tom L Rodgers</w:t>
      </w:r>
      <w:r w:rsidR="00C92B2B" w:rsidRPr="00E1791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C92B2B" w:rsidRPr="00E179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Claudio P Fonte</w:t>
      </w:r>
      <w:r w:rsidR="00C92B2B" w:rsidRPr="00E1791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C72764" w:rsidRPr="00E179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.</w:t>
      </w:r>
      <w:r w:rsidR="00C92B2B" w:rsidRPr="00E179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</w:p>
    <w:p w14:paraId="70D9A120" w14:textId="6A30C738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E179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1 </w:t>
      </w:r>
      <w:r w:rsidR="002051A0" w:rsidRPr="00E179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University of Manchester, Manchester, M19 2FT</w:t>
      </w:r>
      <w:r w:rsidR="00C052BC" w:rsidRPr="00E179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UK</w:t>
      </w:r>
      <w:r w:rsidRPr="00E179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C052BC" w:rsidRPr="00E179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Unilever R&amp;D, </w:t>
      </w:r>
      <w:proofErr w:type="spellStart"/>
      <w:r w:rsidR="00C052BC" w:rsidRPr="00E179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Wirral</w:t>
      </w:r>
      <w:proofErr w:type="spellEnd"/>
      <w:r w:rsidR="00C052BC" w:rsidRPr="00E179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CH63 3JW, UK</w:t>
      </w:r>
      <w:r w:rsidR="00C052B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</w:p>
    <w:p w14:paraId="680736FE" w14:textId="401926CD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945FAC">
        <w:rPr>
          <w:rFonts w:asciiTheme="minorHAnsi" w:eastAsia="MS PGothic" w:hAnsiTheme="minorHAnsi"/>
          <w:bCs/>
          <w:i/>
          <w:iCs/>
          <w:sz w:val="20"/>
          <w:lang w:val="en-US"/>
        </w:rPr>
        <w:t>thomas.john@manchester.ac.uk</w:t>
      </w:r>
    </w:p>
    <w:p w14:paraId="77D59D8A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909AD38" w14:textId="255F9340" w:rsidR="00704BDF" w:rsidRPr="00EC66CC" w:rsidRDefault="004A665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Inline and batch rotor-stators modelled using CFD.</w:t>
      </w:r>
    </w:p>
    <w:p w14:paraId="6347215F" w14:textId="628A1F6B" w:rsidR="00704BDF" w:rsidRPr="00EC66CC" w:rsidRDefault="004A665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Power and flow numbers investigated for various</w:t>
      </w:r>
      <w:r w:rsidR="007F624D">
        <w:rPr>
          <w:rFonts w:asciiTheme="minorHAnsi" w:hAnsiTheme="minorHAnsi"/>
        </w:rPr>
        <w:t xml:space="preserve"> screen hole sizes</w:t>
      </w:r>
      <w:r>
        <w:rPr>
          <w:rFonts w:asciiTheme="minorHAnsi" w:hAnsiTheme="minorHAnsi"/>
        </w:rPr>
        <w:t>.</w:t>
      </w:r>
      <w:r w:rsidR="00704BDF" w:rsidRPr="00EC66CC">
        <w:rPr>
          <w:rFonts w:asciiTheme="minorHAnsi" w:hAnsiTheme="minorHAnsi"/>
        </w:rPr>
        <w:t xml:space="preserve"> </w:t>
      </w:r>
    </w:p>
    <w:p w14:paraId="3AD82629" w14:textId="4DF56831" w:rsidR="00704BDF" w:rsidRPr="00EC66CC" w:rsidRDefault="004A665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Inline and batch rotor-stators can be characterized using the same model</w:t>
      </w:r>
      <w:r w:rsidR="00704BDF" w:rsidRPr="00EC66CC">
        <w:rPr>
          <w:rFonts w:asciiTheme="minorHAnsi" w:hAnsiTheme="minorHAnsi"/>
        </w:rPr>
        <w:t xml:space="preserve"> </w:t>
      </w:r>
    </w:p>
    <w:p w14:paraId="113CB4E9" w14:textId="25ADBDDF" w:rsidR="00704BDF" w:rsidRPr="00EC66CC" w:rsidRDefault="004A665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correlation is developed to predict the recirculating flow in inline mixers.</w:t>
      </w:r>
    </w:p>
    <w:p w14:paraId="60F50318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32848F41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22787ACB" w14:textId="1E59E864" w:rsidR="00704BDF" w:rsidRPr="00826F70" w:rsidRDefault="008C78A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Rotor-stator mixers are mixing widely used across many industries for emulsification and de</w:t>
      </w:r>
      <w:r w:rsidR="00477BD2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106478">
        <w:rPr>
          <w:rFonts w:asciiTheme="minorHAnsi" w:eastAsia="MS PGothic" w:hAnsiTheme="minorHAnsi"/>
          <w:color w:val="000000"/>
          <w:sz w:val="22"/>
          <w:szCs w:val="22"/>
          <w:lang w:val="en-US"/>
        </w:rPr>
        <w:t>agglomeration which</w:t>
      </w:r>
      <w:r w:rsidR="004F28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operated in batch or </w:t>
      </w:r>
      <w:r w:rsidR="00C5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inline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</w:t>
      </w:r>
      <w:r w:rsidR="004F281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2814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ften</w:t>
      </w:r>
      <w:r w:rsidR="004F281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scaling of rotor-stators involves a change from batch to continuous mode</w:t>
      </w:r>
      <w:r w:rsidR="004F281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so</w:t>
      </w:r>
      <w:r w:rsidR="001064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 is highly desirable to understand how the power and flow characteristics </w:t>
      </w:r>
      <w:r w:rsidR="001B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 between the two modes of operation.</w:t>
      </w:r>
      <w:r w:rsidR="00C775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Power number in </w:t>
      </w:r>
      <w:r w:rsidR="0079534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inline</w:t>
      </w:r>
      <w:r w:rsidR="00C775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mixers</w:t>
      </w:r>
      <w:r w:rsidR="004E27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775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be characterized using the following equation</w:t>
      </w:r>
      <w:r w:rsidR="00DD0A73" w:rsidRPr="00106EE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begin" w:fldLock="1"/>
      </w:r>
      <w:r w:rsidR="00DD0A73" w:rsidRPr="00106EE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>ADDIN CSL_CITATION { "citationItems" : [ { "id" : "ITEM-1", "itemData" : { "DOI" : "10.1016/j.cep.2008.04.002", "ISBN" : "0255-2701", "ISSN" : "02552701", "abstract" : "Rotor-stator devices are increasingly important for process intensification applications but the understanding of their operation and scale-up is poor. Consequently a new expression is presented for the calculation of the delivered power, which consists of three terms. Firstly a term reflecting the power required to rotate the shaft in response to the resistance of the fluid. Secondly a term reflecting the convection of power away from the mixing chamber due to the flow of product. Thirdly, a term reflecting losses. A constant is required for each term and the expression describes the power consumption over the range 5-20 kW with a RMSE of 0.5 kW. \u00a9 2008 Elsevier B.V. All rights reserved.", "author" : [ { "dropping-particle" : "", "family" : "Kowalski", "given" : "Adam J.", "non-dropping-particle" : "", "parse-names" : false, "suffix" : "" } ], "container-title" : "Chemical Engineering and Processing: Process Intensification", "id" : "ITEM-1", "issue" : "1", "issued" : { "date-parts" : [ [ "2009", "1" ] ] }, "page" : "581-585", "title" : "An expression for the power consumption of in-line rotor-stator devices", "type" : "article-journal", "volume" : "48" }, "uris" : [ "http://www.mendeley.com/documents/?uuid=d69f21c5-00a9-4e4f-b051-89b5373d1a12" ] } ], "mendeley" : { "formattedCitation" : "[1]", "plainTextFormattedCitation" : "[1]", "previouslyFormattedCitation" : "[1]" }, "properties" : { "noteIndex" : 1 }, "schema" : "https://github.com/citation-style-language/schema/raw/master/csl-citation.json" }</w:instrText>
      </w:r>
      <w:r w:rsidR="00DD0A73" w:rsidRPr="00106EE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separate"/>
      </w:r>
      <w:r w:rsidR="00DD0A73" w:rsidRPr="00106EE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[1]</w:t>
      </w:r>
      <w:r w:rsidR="00DD0A73" w:rsidRPr="00106EE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end"/>
      </w:r>
      <w:r w:rsidR="00826F7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655"/>
        <w:gridCol w:w="560"/>
      </w:tblGrid>
      <w:tr w:rsidR="00C77567" w14:paraId="34E63A77" w14:textId="77777777" w:rsidTr="00AD5BF7">
        <w:trPr>
          <w:trHeight w:val="20"/>
        </w:trPr>
        <w:tc>
          <w:tcPr>
            <w:tcW w:w="562" w:type="dxa"/>
          </w:tcPr>
          <w:p w14:paraId="0D698546" w14:textId="77777777" w:rsidR="00C77567" w:rsidRDefault="00C77567" w:rsidP="0012579A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vAlign w:val="center"/>
          </w:tcPr>
          <w:p w14:paraId="242A7804" w14:textId="30E8E6BE" w:rsidR="00C77567" w:rsidRDefault="00C77567" w:rsidP="0012579A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Po</m:t>
                </m:r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P</m:t>
                </m:r>
                <m:sSub>
                  <m:sSubPr>
                    <m:ctrlP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Z</m:t>
                    </m:r>
                  </m:sub>
                </m:s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Q</m:t>
                    </m:r>
                  </m:sub>
                </m:sSub>
              </m:oMath>
            </m:oMathPara>
          </w:p>
        </w:tc>
        <w:tc>
          <w:tcPr>
            <w:tcW w:w="560" w:type="dxa"/>
            <w:vAlign w:val="center"/>
          </w:tcPr>
          <w:p w14:paraId="0C4B0407" w14:textId="51AAE513" w:rsidR="00C77567" w:rsidRDefault="001B0C6D" w:rsidP="0012579A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(1)</w:t>
            </w:r>
          </w:p>
        </w:tc>
      </w:tr>
    </w:tbl>
    <w:p w14:paraId="39230883" w14:textId="522A8F14" w:rsidR="00F73294" w:rsidRDefault="00D25805" w:rsidP="00704BDF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However, no such model has been developed or tested for </w:t>
      </w:r>
      <w:r w:rsidR="0079534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batch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mixers. </w:t>
      </w:r>
      <w:r w:rsidR="003736A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 primary aim</w:t>
      </w:r>
      <w:r w:rsidR="00DB0EF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of this study </w:t>
      </w:r>
      <w:r w:rsidR="003736A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was</w:t>
      </w:r>
      <w:r w:rsidR="00DB0EF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to investigate </w:t>
      </w:r>
      <w:r w:rsidR="0001216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how this </w:t>
      </w:r>
      <w:r w:rsidR="006F797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characterization</w:t>
      </w:r>
      <w:r w:rsidR="0001216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differs between the two modes of operation.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700"/>
      </w:tblGrid>
      <w:tr w:rsidR="00810D32" w14:paraId="6E28E9AD" w14:textId="77777777" w:rsidTr="00036B94">
        <w:trPr>
          <w:trHeight w:val="1818"/>
        </w:trPr>
        <w:tc>
          <w:tcPr>
            <w:tcW w:w="4077" w:type="dxa"/>
          </w:tcPr>
          <w:p w14:paraId="4383E4E3" w14:textId="77777777" w:rsidR="00810D32" w:rsidRDefault="00810D32" w:rsidP="00EF1278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i/>
                <w:noProof/>
                <w:color w:val="000000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149D6D6D" wp14:editId="4D89CAA4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87630</wp:posOffset>
                  </wp:positionV>
                  <wp:extent cx="1259205" cy="971550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241" y="21176"/>
                      <wp:lineTo x="21241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0S0-14mil-8000rpm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33" t="17116" r="22296" b="14598"/>
                          <a:stretch/>
                        </pic:blipFill>
                        <pic:spPr bwMode="auto">
                          <a:xfrm>
                            <a:off x="0" y="0"/>
                            <a:ext cx="1259205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00" w:type="dxa"/>
          </w:tcPr>
          <w:p w14:paraId="35F0B3A7" w14:textId="1C821561" w:rsidR="00810D32" w:rsidRDefault="00F363A7" w:rsidP="00EF1278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210FB0">
              <w:rPr>
                <w:rFonts w:asciiTheme="minorHAnsi" w:eastAsia="MS PGothic" w:hAnsiTheme="minorHAnsi"/>
                <w:b/>
                <w:noProof/>
                <w:color w:val="000000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2DBBFE" wp14:editId="053136C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846455</wp:posOffset>
                      </wp:positionV>
                      <wp:extent cx="361950" cy="1403985"/>
                      <wp:effectExtent l="0" t="0" r="0" b="254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55A5A2" w14:textId="77777777" w:rsidR="00F363A7" w:rsidRPr="004374F3" w:rsidRDefault="00F363A7" w:rsidP="00F363A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374F3">
                                    <w:rPr>
                                      <w:rFonts w:asciiTheme="minorHAnsi" w:hAnsiTheme="minorHAnsi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A2DBB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9.35pt;margin-top:66.65pt;width:28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" filled="f" stroked="f">
                      <v:textbox style="mso-fit-shape-to-text:t">
                        <w:txbxContent>
                          <w:p w14:paraId="5F55A5A2" w14:textId="77777777" w:rsidR="00F363A7" w:rsidRPr="004374F3" w:rsidRDefault="00F363A7" w:rsidP="00F363A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374F3">
                              <w:rPr>
                                <w:rFonts w:asciiTheme="minorHAnsi" w:hAnsiTheme="minorHAnsi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0FB0">
              <w:rPr>
                <w:rFonts w:asciiTheme="minorHAnsi" w:eastAsia="MS PGothic" w:hAnsiTheme="minorHAnsi"/>
                <w:b/>
                <w:noProof/>
                <w:color w:val="000000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F993E" wp14:editId="457AF850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865505</wp:posOffset>
                      </wp:positionV>
                      <wp:extent cx="361950" cy="1403985"/>
                      <wp:effectExtent l="0" t="0" r="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95C7E" w14:textId="77777777" w:rsidR="00F363A7" w:rsidRPr="004374F3" w:rsidRDefault="00F363A7" w:rsidP="00F363A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374F3">
                                    <w:rPr>
                                      <w:rFonts w:asciiTheme="minorHAnsi" w:hAnsiTheme="minorHAnsi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0F993E" id="_x0000_s1027" type="#_x0000_t202" style="position:absolute;left:0;text-align:left;margin-left:18.1pt;margin-top:68.15pt;width:28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" filled="f" stroked="f">
                      <v:textbox style="mso-fit-shape-to-text:t">
                        <w:txbxContent>
                          <w:p w14:paraId="02395C7E" w14:textId="77777777" w:rsidR="00F363A7" w:rsidRPr="004374F3" w:rsidRDefault="00F363A7" w:rsidP="00F363A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374F3">
                              <w:rPr>
                                <w:rFonts w:asciiTheme="minorHAnsi" w:hAnsiTheme="minorHAnsi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579A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006FDFCB" wp14:editId="7B7B6C7B">
                  <wp:simplePos x="0" y="0"/>
                  <wp:positionH relativeFrom="column">
                    <wp:posOffset>1778635</wp:posOffset>
                  </wp:positionH>
                  <wp:positionV relativeFrom="paragraph">
                    <wp:posOffset>29845</wp:posOffset>
                  </wp:positionV>
                  <wp:extent cx="790575" cy="1003935"/>
                  <wp:effectExtent l="0" t="0" r="9525" b="5715"/>
                  <wp:wrapThrough wrapText="bothSides">
                    <wp:wrapPolygon edited="0">
                      <wp:start x="0" y="0"/>
                      <wp:lineTo x="0" y="21313"/>
                      <wp:lineTo x="21340" y="21313"/>
                      <wp:lineTo x="21340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atchgeometry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6" t="2328" r="41834" b="4297"/>
                          <a:stretch/>
                        </pic:blipFill>
                        <pic:spPr bwMode="auto">
                          <a:xfrm>
                            <a:off x="0" y="0"/>
                            <a:ext cx="790575" cy="1003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579A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30E9B559" wp14:editId="1B270FE6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77470</wp:posOffset>
                  </wp:positionV>
                  <wp:extent cx="1095375" cy="1076960"/>
                  <wp:effectExtent l="0" t="0" r="9525" b="8890"/>
                  <wp:wrapThrough wrapText="bothSides">
                    <wp:wrapPolygon edited="0">
                      <wp:start x="0" y="0"/>
                      <wp:lineTo x="0" y="21396"/>
                      <wp:lineTo x="21412" y="21396"/>
                      <wp:lineTo x="21412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nlinegeometry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7" t="14084" r="38579" b="12185"/>
                          <a:stretch/>
                        </pic:blipFill>
                        <pic:spPr bwMode="auto">
                          <a:xfrm>
                            <a:off x="0" y="0"/>
                            <a:ext cx="1095375" cy="10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0D32" w14:paraId="39A546E4" w14:textId="77777777" w:rsidTr="00036B94">
        <w:tc>
          <w:tcPr>
            <w:tcW w:w="4077" w:type="dxa"/>
          </w:tcPr>
          <w:p w14:paraId="32999426" w14:textId="202C76FB" w:rsidR="00810D32" w:rsidRPr="000B0AB4" w:rsidRDefault="00810D32" w:rsidP="00127D85">
            <w:pPr>
              <w:snapToGrid w:val="0"/>
              <w:jc w:val="center"/>
              <w:rPr>
                <w:rFonts w:asciiTheme="minorHAnsi" w:eastAsia="MS PGothic" w:hAnsiTheme="minorHAnsi"/>
                <w:i/>
                <w:color w:val="000000"/>
                <w:sz w:val="22"/>
                <w:szCs w:val="22"/>
                <w:lang w:val="en-US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Figure 1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Pr="00DE0019">
              <w:rPr>
                <w:rFonts w:asciiTheme="minorHAnsi" w:hAnsiTheme="minorHAnsi"/>
                <w:lang w:val="en-US"/>
              </w:rPr>
              <w:t xml:space="preserve"> </w:t>
            </w:r>
            <w:r w:rsidR="00127D85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Surfaces across which flow was measured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.</w:t>
            </w:r>
          </w:p>
        </w:tc>
        <w:tc>
          <w:tcPr>
            <w:tcW w:w="4700" w:type="dxa"/>
          </w:tcPr>
          <w:p w14:paraId="48D54AD9" w14:textId="06F458AE" w:rsidR="00810D32" w:rsidRDefault="00810D32" w:rsidP="00F363A7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 xml:space="preserve">Figure </w:t>
            </w:r>
            <w:r w:rsidR="00036B94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2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Pr="00DE0019">
              <w:rPr>
                <w:rFonts w:asciiTheme="minorHAnsi" w:hAnsiTheme="minorHAnsi"/>
                <w:lang w:val="en-US"/>
              </w:rPr>
              <w:t xml:space="preserve"> </w:t>
            </w:r>
            <w:r w:rsidR="00F363A7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CFD geometries for (a) inline and (b) b</w:t>
            </w:r>
            <w:r w:rsidR="00036B94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atch</w:t>
            </w:r>
          </w:p>
        </w:tc>
      </w:tr>
    </w:tbl>
    <w:p w14:paraId="030B90D8" w14:textId="5C3A06C8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DC072CD" w14:textId="65BC291E" w:rsidR="00704BDF" w:rsidRDefault="00D84A64" w:rsidP="004E1CD0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mixer studied was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Silverson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L5M with standard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emulsor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head</w:t>
      </w:r>
      <w:r w:rsidR="009646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</w:t>
      </w:r>
      <w:r w:rsidR="008F29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 and</w:t>
      </w:r>
      <w:r w:rsidR="009646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4064D">
        <w:rPr>
          <w:rFonts w:asciiTheme="minorHAnsi" w:eastAsia="MS PGothic" w:hAnsiTheme="minorHAnsi"/>
          <w:color w:val="000000"/>
          <w:sz w:val="22"/>
          <w:szCs w:val="22"/>
          <w:lang w:val="en-US"/>
        </w:rPr>
        <w:t>Fluent v18.1 was the software used in this study. The standard k-</w:t>
      </w:r>
      <w:r w:rsidR="0004064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ε</w:t>
      </w:r>
      <w:r w:rsidR="000406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turbulence model was utilized along with third order MUSCL discretization schemes for special discretization of momentum and turbulence. Rotation of the rotor was modelled using the multiple reference frame </w:t>
      </w:r>
      <w:r w:rsidR="00FC3622">
        <w:rPr>
          <w:rFonts w:asciiTheme="minorHAnsi" w:eastAsia="MS PGothic" w:hAnsiTheme="minorHAnsi"/>
          <w:color w:val="000000"/>
          <w:sz w:val="22"/>
          <w:szCs w:val="22"/>
          <w:lang w:val="en-US"/>
        </w:rPr>
        <w:t>technique</w:t>
      </w:r>
      <w:r w:rsidR="0004064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86F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27B78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</w:t>
      </w:r>
      <w:r w:rsidR="00B331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rate was measured across the red and purple surfaces shown in Figure 1.</w:t>
      </w:r>
      <w:r w:rsidR="004E1C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Power was measured from the bending moments on the rotor.</w:t>
      </w:r>
      <w:r w:rsidR="00D258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study, using CFD, we were able to change the flow number </w:t>
      </w:r>
      <w:r w:rsidR="001257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batch configuration </w:t>
      </w:r>
      <w:r w:rsidR="00D25805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constricting the base hole of the stator</w:t>
      </w:r>
      <w:r w:rsidR="001257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small increments</w:t>
      </w:r>
      <w:r w:rsidR="00D2580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722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0B01157E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1160626D" w14:textId="1E8A7C22" w:rsidR="004243B0" w:rsidRDefault="00210FB0" w:rsidP="00D25805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210FB0">
        <w:rPr>
          <w:rFonts w:asciiTheme="minorHAnsi" w:eastAsia="MS PGothic" w:hAnsiTheme="minorHAnsi"/>
          <w:b/>
          <w:noProof/>
          <w:color w:val="000000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73A31" wp14:editId="514ECEB6">
                <wp:simplePos x="0" y="0"/>
                <wp:positionH relativeFrom="column">
                  <wp:posOffset>3828415</wp:posOffset>
                </wp:positionH>
                <wp:positionV relativeFrom="paragraph">
                  <wp:posOffset>1337945</wp:posOffset>
                </wp:positionV>
                <wp:extent cx="361950" cy="140398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45D52" w14:textId="178FCBA7" w:rsidR="00210FB0" w:rsidRPr="004374F3" w:rsidRDefault="00210FB0" w:rsidP="00210FB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374F3">
                              <w:rPr>
                                <w:rFonts w:asciiTheme="minorHAnsi" w:hAnsiTheme="minorHAnsi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873A31" id="_x0000_s1028" type="#_x0000_t202" style="position:absolute;left:0;text-align:left;margin-left:301.45pt;margin-top:105.35pt;width:28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" filled="f" stroked="f">
                <v:textbox style="mso-fit-shape-to-text:t">
                  <w:txbxContent>
                    <w:p w14:paraId="18745D52" w14:textId="178FCBA7" w:rsidR="00210FB0" w:rsidRPr="004374F3" w:rsidRDefault="00210FB0" w:rsidP="00210FB0">
                      <w:pPr>
                        <w:rPr>
                          <w:rFonts w:asciiTheme="minorHAnsi" w:hAnsiTheme="minorHAnsi"/>
                        </w:rPr>
                      </w:pPr>
                      <w:r w:rsidRPr="004374F3">
                        <w:rPr>
                          <w:rFonts w:asciiTheme="minorHAnsi" w:hAnsiTheme="minorHAnsi"/>
                        </w:rPr>
                        <w:t>(c)</w:t>
                      </w:r>
                    </w:p>
                  </w:txbxContent>
                </v:textbox>
              </v:shape>
            </w:pict>
          </mc:Fallback>
        </mc:AlternateContent>
      </w:r>
      <w:r w:rsidRPr="00210FB0">
        <w:rPr>
          <w:rFonts w:asciiTheme="minorHAnsi" w:eastAsia="MS PGothic" w:hAnsiTheme="minorHAnsi"/>
          <w:b/>
          <w:noProof/>
          <w:color w:val="000000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C7335" wp14:editId="478E7AFE">
                <wp:simplePos x="0" y="0"/>
                <wp:positionH relativeFrom="column">
                  <wp:posOffset>2247265</wp:posOffset>
                </wp:positionH>
                <wp:positionV relativeFrom="paragraph">
                  <wp:posOffset>1337945</wp:posOffset>
                </wp:positionV>
                <wp:extent cx="361950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9482" w14:textId="1955F14D" w:rsidR="00210FB0" w:rsidRPr="004374F3" w:rsidRDefault="00210FB0" w:rsidP="00210FB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374F3">
                              <w:rPr>
                                <w:rFonts w:asciiTheme="minorHAnsi" w:hAnsiTheme="minorHAnsi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C7335" id="_x0000_s1029" type="#_x0000_t202" style="position:absolute;left:0;text-align:left;margin-left:176.95pt;margin-top:105.35pt;width:28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" filled="f" stroked="f">
                <v:textbox style="mso-fit-shape-to-text:t">
                  <w:txbxContent>
                    <w:p w14:paraId="7A0D9482" w14:textId="1955F14D" w:rsidR="00210FB0" w:rsidRPr="004374F3" w:rsidRDefault="00210FB0" w:rsidP="00210FB0">
                      <w:pPr>
                        <w:rPr>
                          <w:rFonts w:asciiTheme="minorHAnsi" w:hAnsiTheme="minorHAnsi"/>
                        </w:rPr>
                      </w:pPr>
                      <w:r w:rsidRPr="004374F3">
                        <w:rPr>
                          <w:rFonts w:asciiTheme="minorHAnsi" w:hAnsiTheme="minorHAnsi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 w:rsidRPr="00210FB0">
        <w:rPr>
          <w:rFonts w:asciiTheme="minorHAnsi" w:eastAsia="MS PGothic" w:hAnsiTheme="minorHAnsi"/>
          <w:b/>
          <w:noProof/>
          <w:color w:val="000000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0EB70" wp14:editId="320AF245">
                <wp:simplePos x="0" y="0"/>
                <wp:positionH relativeFrom="column">
                  <wp:posOffset>494665</wp:posOffset>
                </wp:positionH>
                <wp:positionV relativeFrom="paragraph">
                  <wp:posOffset>1328420</wp:posOffset>
                </wp:positionV>
                <wp:extent cx="361950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3EBB" w14:textId="1F24A8E4" w:rsidR="00210FB0" w:rsidRDefault="00210FB0">
                            <w: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0EB70" id="_x0000_s1030" type="#_x0000_t202" style="position:absolute;left:0;text-align:left;margin-left:38.95pt;margin-top:104.6pt;width:2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" filled="f" stroked="f">
                <v:textbox style="mso-fit-shape-to-text:t">
                  <w:txbxContent>
                    <w:p w14:paraId="48F13EBB" w14:textId="1F24A8E4" w:rsidR="00210FB0" w:rsidRDefault="00210FB0">
                      <w: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920A4C">
        <w:rPr>
          <w:rFonts w:asciiTheme="minorHAnsi" w:eastAsia="MS PGothic" w:hAnsiTheme="minorHAnsi"/>
          <w:noProof/>
          <w:color w:val="000000"/>
          <w:szCs w:val="18"/>
          <w:lang w:eastAsia="zh-CN"/>
        </w:rPr>
        <w:drawing>
          <wp:inline distT="0" distB="0" distL="0" distR="0" wp14:anchorId="4C8F06C9" wp14:editId="2495B20E">
            <wp:extent cx="1673502" cy="15120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00mm inlinevsbatch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502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A4C">
        <w:rPr>
          <w:rFonts w:asciiTheme="minorHAnsi" w:eastAsia="MS PGothic" w:hAnsiTheme="minorHAnsi"/>
          <w:noProof/>
          <w:color w:val="000000"/>
          <w:szCs w:val="18"/>
          <w:lang w:eastAsia="zh-CN"/>
        </w:rPr>
        <w:drawing>
          <wp:inline distT="0" distB="0" distL="0" distR="0" wp14:anchorId="0A29B5D3" wp14:editId="71987057">
            <wp:extent cx="1673502" cy="151200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59mm inlinevsbatch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502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A4C">
        <w:rPr>
          <w:rFonts w:asciiTheme="minorHAnsi" w:eastAsia="MS PGothic" w:hAnsiTheme="minorHAnsi"/>
          <w:noProof/>
          <w:color w:val="000000"/>
          <w:szCs w:val="18"/>
          <w:lang w:eastAsia="zh-CN"/>
        </w:rPr>
        <w:drawing>
          <wp:inline distT="0" distB="0" distL="0" distR="0" wp14:anchorId="1D5784EB" wp14:editId="7DFD542C">
            <wp:extent cx="1673502" cy="151200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00mm inlinevsbatch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502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E4C12" w14:textId="2ABF6252" w:rsidR="00920A4C" w:rsidRDefault="00A05E70" w:rsidP="00920A4C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 3</w:t>
      </w:r>
      <w:r w:rsidR="00920A4C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920A4C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920A4C" w:rsidRPr="00DE0019">
        <w:rPr>
          <w:rFonts w:asciiTheme="minorHAnsi" w:hAnsiTheme="minorHAnsi"/>
          <w:lang w:val="en-US"/>
        </w:rPr>
        <w:t xml:space="preserve"> </w:t>
      </w:r>
      <w:r w:rsidR="009D1108">
        <w:rPr>
          <w:rFonts w:asciiTheme="minorHAnsi" w:eastAsia="MS PGothic" w:hAnsiTheme="minorHAnsi"/>
          <w:color w:val="000000"/>
          <w:szCs w:val="18"/>
          <w:lang w:val="en-US"/>
        </w:rPr>
        <w:t>Power number vs flow number</w:t>
      </w:r>
      <w:r w:rsidR="00CE292D">
        <w:rPr>
          <w:rFonts w:asciiTheme="minorHAnsi" w:eastAsia="MS PGothic" w:hAnsiTheme="minorHAnsi"/>
          <w:color w:val="000000"/>
          <w:szCs w:val="18"/>
          <w:lang w:val="en-US"/>
        </w:rPr>
        <w:t xml:space="preserve"> for both modes and hole sizes of (a) 1.00 mm, (b) 1.59 mm, and (c) 2.00 mm</w:t>
      </w:r>
      <w:r w:rsidR="009D1108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541DFA84" w14:textId="0BF9B17A" w:rsidR="00F10911" w:rsidRDefault="00F10911" w:rsidP="00F10911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E0489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3 shows the power number as a function of the</w:t>
      </w:r>
      <w:r w:rsidR="000B03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total</w:t>
      </w:r>
      <w:r w:rsidRPr="007E04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 number for the batch and inline simulations with various screen hole sizes. </w:t>
      </w:r>
      <w:r w:rsidR="000B03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can be seen that </w:t>
      </w:r>
      <w:r w:rsidR="0082524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 is no difference between batch and inline RSMs in terms of power characterization.</w:t>
      </w:r>
      <w:r w:rsidR="003177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These results could suggest that with the same flow number, there will be no difference in the droplet size of an emulsified product, something which has also been suggested by </w:t>
      </w:r>
      <w:r w:rsidR="00106E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106EE7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Carillo</w:t>
      </w:r>
      <w:proofErr w:type="spellEnd"/>
      <w:r w:rsidR="00106E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 </w:t>
      </w:r>
      <w:proofErr w:type="spellStart"/>
      <w:r w:rsidR="00106EE7">
        <w:rPr>
          <w:rFonts w:asciiTheme="minorHAnsi" w:eastAsia="MS PGothic" w:hAnsiTheme="minorHAnsi"/>
          <w:color w:val="000000"/>
          <w:sz w:val="22"/>
          <w:szCs w:val="22"/>
          <w:lang w:val="en-US"/>
        </w:rPr>
        <w:t>Hert</w:t>
      </w:r>
      <w:proofErr w:type="spellEnd"/>
      <w:r w:rsidR="004C59EE" w:rsidRPr="00106EE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begin" w:fldLock="1"/>
      </w:r>
      <w:r w:rsidR="00DD0A73" w:rsidRPr="00106EE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>ADDIN CSL_CITATION { "citationItems" : [ { "id" : "ITEM-1", "itemData" : { "author" : [ { "dropping-particle" : "", "family" : "Carrillo De Hert", "given" : "Sergio", "non-dropping-particle" : "", "parse-names" : false, "suffix" : "" } ], "id" : "ITEM-1", "issued" : { "date-parts" : [ [ "2017" ] ] }, "publisher" : "University of Manchester, UK.", "title" : "Drop Size Distribution Analysis of Mechanically Agitated Liquid-Liquid Dispersions", "type" : "thesis" }, "uris" : [ "http://www.mendeley.com/documents/?uuid=8e6429f6-fe33-4be2-8cd4-3c6ffec5df69" ] } ], "mendeley" : { "formattedCitation" : "[2]", "plainTextFormattedCitation" : "[2]", "previouslyFormattedCitation" : "[2]" }, "properties" : { "noteIndex" : 0 }, "schema" : "https://github.com/citation-style-language/schema/raw/master/csl-citation.json" }</w:instrText>
      </w:r>
      <w:r w:rsidR="004C59EE" w:rsidRPr="00106EE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separate"/>
      </w:r>
      <w:r w:rsidR="00DD0A73" w:rsidRPr="00106EE7">
        <w:rPr>
          <w:rFonts w:asciiTheme="minorHAnsi" w:eastAsia="MS PGothic" w:hAnsiTheme="minorHAnsi"/>
          <w:noProof/>
          <w:color w:val="000000"/>
          <w:sz w:val="22"/>
          <w:szCs w:val="22"/>
          <w:vertAlign w:val="superscript"/>
          <w:lang w:val="en-US"/>
        </w:rPr>
        <w:t>[2]</w:t>
      </w:r>
      <w:r w:rsidR="004C59EE" w:rsidRPr="00106EE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end"/>
      </w:r>
      <w:r w:rsidR="004C7FC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8C57E61" w14:textId="57D710E7" w:rsidR="00D611F3" w:rsidRDefault="00C575B7" w:rsidP="00C575B7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eastAsia="zh-CN"/>
        </w:rPr>
        <w:drawing>
          <wp:inline distT="0" distB="0" distL="0" distR="0" wp14:anchorId="70B04881" wp14:editId="7AB3243E">
            <wp:extent cx="2365533" cy="183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qivsnq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533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E4BB0" w14:textId="6263D96F" w:rsidR="00C575B7" w:rsidRDefault="00C575B7" w:rsidP="00C575B7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B056A3">
        <w:rPr>
          <w:rFonts w:asciiTheme="minorHAnsi" w:eastAsia="MS PGothic" w:hAnsiTheme="minorHAnsi"/>
          <w:b/>
          <w:color w:val="000000"/>
          <w:szCs w:val="18"/>
          <w:lang w:val="en-US"/>
        </w:rPr>
        <w:t>4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852983">
        <w:rPr>
          <w:rFonts w:asciiTheme="minorHAnsi" w:eastAsia="MS PGothic" w:hAnsiTheme="minorHAnsi"/>
          <w:color w:val="000000"/>
          <w:szCs w:val="18"/>
          <w:lang w:val="en-US"/>
        </w:rPr>
        <w:t>Total flow number vs imposed flow number</w:t>
      </w:r>
      <w:r w:rsidR="007C6C18">
        <w:rPr>
          <w:rFonts w:asciiTheme="minorHAnsi" w:eastAsia="MS PGothic" w:hAnsiTheme="minorHAnsi"/>
          <w:color w:val="000000"/>
          <w:szCs w:val="18"/>
          <w:lang w:val="en-US"/>
        </w:rPr>
        <w:t xml:space="preserve"> for inline</w:t>
      </w:r>
      <w:r w:rsidR="00852983">
        <w:rPr>
          <w:rFonts w:asciiTheme="minorHAnsi" w:eastAsia="MS PGothic" w:hAnsiTheme="minorHAnsi"/>
          <w:color w:val="000000"/>
          <w:szCs w:val="18"/>
          <w:lang w:val="en-US"/>
        </w:rPr>
        <w:t>. Symbols</w:t>
      </w:r>
      <w:r w:rsidR="007C6C18">
        <w:rPr>
          <w:rFonts w:asciiTheme="minorHAnsi" w:eastAsia="MS PGothic" w:hAnsiTheme="minorHAnsi"/>
          <w:color w:val="000000"/>
          <w:szCs w:val="18"/>
          <w:lang w:val="en-US"/>
        </w:rPr>
        <w:t xml:space="preserve"> - CFD data, lines - </w:t>
      </w:r>
      <w:r w:rsidR="00852983">
        <w:rPr>
          <w:rFonts w:asciiTheme="minorHAnsi" w:eastAsia="MS PGothic" w:hAnsiTheme="minorHAnsi"/>
          <w:color w:val="000000"/>
          <w:szCs w:val="18"/>
          <w:lang w:val="en-US"/>
        </w:rPr>
        <w:t>prediction by Equation 2.</w:t>
      </w:r>
    </w:p>
    <w:p w14:paraId="661A4DC4" w14:textId="191C3366" w:rsidR="00C575B7" w:rsidRPr="00C575B7" w:rsidRDefault="00C575B7" w:rsidP="00C575B7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Figure 4 shows the total flow number as a function of the imposed </w:t>
      </w:r>
      <w:r w:rsidR="00C442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inlet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 number in the inline mixer. Since obtaining the total flow number would usually require CFD or PIV, a correlation was developed in order to predict the total flow number from imposed flow number and the geometry of the mixer using the following equation</w:t>
      </w:r>
      <w:r w:rsidR="00D3364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F07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predicted results are shown in Figure 4.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655"/>
        <w:gridCol w:w="560"/>
      </w:tblGrid>
      <w:tr w:rsidR="0055249F" w14:paraId="0A9DEA69" w14:textId="77777777" w:rsidTr="00965B09">
        <w:trPr>
          <w:trHeight w:val="20"/>
        </w:trPr>
        <w:tc>
          <w:tcPr>
            <w:tcW w:w="562" w:type="dxa"/>
          </w:tcPr>
          <w:p w14:paraId="4495DF00" w14:textId="77777777" w:rsidR="0055249F" w:rsidRDefault="0055249F" w:rsidP="000A6B1A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vAlign w:val="center"/>
          </w:tcPr>
          <w:p w14:paraId="4498CC94" w14:textId="1B6DBFDE" w:rsidR="0055249F" w:rsidRPr="00836F32" w:rsidRDefault="002F580B" w:rsidP="000A6B1A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Qt</m:t>
                    </m:r>
                  </m:sub>
                </m:s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Qi</m:t>
                    </m:r>
                  </m:sub>
                </m:s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+0.33</m:t>
                </m:r>
                <m:sSup>
                  <m:sSup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S PGothic" w:hAnsi="Cambria Math"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MS PGothic" w:hAnsi="Cambria Math"/>
                                <w:i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MS PGothic" w:hAnsi="Cambria Math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m:t>Area holes</m:t>
                            </m:r>
                          </m:num>
                          <m:den>
                            <m:r>
                              <w:rPr>
                                <w:rFonts w:ascii="Cambria Math" w:eastAsia="MS PGothic" w:hAnsi="Cambria Math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m:t>Rotor diamete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MS PGothic" w:hAnsi="Cambria Math"/>
                                    <w:i/>
                                    <w:color w:val="000000"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S PGothic" w:hAnsi="Cambria Math"/>
                                    <w:color w:val="000000"/>
                                    <w:sz w:val="22"/>
                                    <w:szCs w:val="22"/>
                                    <w:lang w:val="en-US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S PGothic" w:hAnsi="Cambria Math"/>
                                    <w:color w:val="000000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[0.51-</m:t>
                </m:r>
                <m:sSub>
                  <m:sSubPr>
                    <m:ctrlP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Qi</m:t>
                    </m:r>
                  </m:sub>
                </m:s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]</m:t>
                </m:r>
              </m:oMath>
            </m:oMathPara>
          </w:p>
        </w:tc>
        <w:tc>
          <w:tcPr>
            <w:tcW w:w="560" w:type="dxa"/>
            <w:vAlign w:val="center"/>
          </w:tcPr>
          <w:p w14:paraId="34ED31D8" w14:textId="4870530C" w:rsidR="0055249F" w:rsidRDefault="001B0C6D" w:rsidP="00852983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(</w:t>
            </w:r>
            <w:r w:rsidR="00852983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)</w:t>
            </w:r>
          </w:p>
        </w:tc>
      </w:tr>
    </w:tbl>
    <w:p w14:paraId="5B45563E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E0A61EB" w14:textId="55B9A769" w:rsidR="00704BDF" w:rsidRPr="008D0BEB" w:rsidRDefault="003970D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182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atch and inline rotor stators share the same characterization of agitation power. We have developed a correlation which enables the prediction of the total flow number from the imposed </w:t>
      </w:r>
      <w:r w:rsidR="00704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inlet </w:t>
      </w:r>
      <w:r w:rsidR="00182AE2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 number for inline rotor stators.</w:t>
      </w:r>
      <w:r w:rsidR="00704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predicts how much flow recirculates back into the holes of the screen, and provides us with the true flow number that matches the batch data.</w:t>
      </w:r>
    </w:p>
    <w:p w14:paraId="3F5B1C3C" w14:textId="31B03FDD"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6DA5C834" w14:textId="020AB30E" w:rsidR="00F95814" w:rsidRPr="00F95814" w:rsidRDefault="00F95814" w:rsidP="00F95814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bCs/>
          <w:color w:val="000000"/>
          <w:sz w:val="20"/>
          <w:lang w:val="en-US" w:eastAsia="zh-CN"/>
        </w:rPr>
      </w:pPr>
      <w:bookmarkStart w:id="1" w:name="_GoBack"/>
      <w:r>
        <w:rPr>
          <w:rFonts w:asciiTheme="minorHAnsi" w:eastAsia="SimSun" w:hAnsiTheme="minorHAnsi"/>
          <w:bCs/>
          <w:color w:val="000000"/>
          <w:sz w:val="20"/>
          <w:lang w:val="en-US" w:eastAsia="zh-CN"/>
        </w:rPr>
        <w:t xml:space="preserve">[1]   </w:t>
      </w:r>
      <w:r w:rsidRPr="00F95814">
        <w:rPr>
          <w:rFonts w:asciiTheme="minorHAnsi" w:eastAsia="SimSun" w:hAnsiTheme="minorHAnsi"/>
          <w:bCs/>
          <w:color w:val="000000"/>
          <w:sz w:val="20"/>
          <w:lang w:val="en-US" w:eastAsia="zh-CN"/>
        </w:rPr>
        <w:t xml:space="preserve">A.J. Kowalski, </w:t>
      </w:r>
      <w:r>
        <w:rPr>
          <w:rFonts w:asciiTheme="minorHAnsi" w:eastAsia="SimSun" w:hAnsiTheme="minorHAnsi"/>
          <w:bCs/>
          <w:color w:val="000000"/>
          <w:sz w:val="20"/>
          <w:lang w:val="en-US" w:eastAsia="zh-CN"/>
        </w:rPr>
        <w:t>Chem. Eng. Process:</w:t>
      </w:r>
      <w:r w:rsidRPr="00F95814">
        <w:rPr>
          <w:rFonts w:asciiTheme="minorHAnsi" w:eastAsia="SimSun" w:hAnsiTheme="minorHAnsi"/>
          <w:bCs/>
          <w:color w:val="000000"/>
          <w:sz w:val="20"/>
          <w:lang w:val="en-US" w:eastAsia="zh-CN"/>
        </w:rPr>
        <w:t xml:space="preserve"> Proce</w:t>
      </w:r>
      <w:r>
        <w:rPr>
          <w:rFonts w:asciiTheme="minorHAnsi" w:eastAsia="SimSun" w:hAnsiTheme="minorHAnsi"/>
          <w:bCs/>
          <w:color w:val="000000"/>
          <w:sz w:val="20"/>
          <w:lang w:val="en-US" w:eastAsia="zh-CN"/>
        </w:rPr>
        <w:t xml:space="preserve">ss </w:t>
      </w:r>
      <w:proofErr w:type="spellStart"/>
      <w:r>
        <w:rPr>
          <w:rFonts w:asciiTheme="minorHAnsi" w:eastAsia="SimSun" w:hAnsiTheme="minorHAnsi"/>
          <w:bCs/>
          <w:color w:val="000000"/>
          <w:sz w:val="20"/>
          <w:lang w:val="en-US" w:eastAsia="zh-CN"/>
        </w:rPr>
        <w:t>Intensif</w:t>
      </w:r>
      <w:proofErr w:type="spellEnd"/>
      <w:r>
        <w:rPr>
          <w:rFonts w:asciiTheme="minorHAnsi" w:eastAsia="SimSun" w:hAnsiTheme="minorHAnsi"/>
          <w:bCs/>
          <w:color w:val="000000"/>
          <w:sz w:val="20"/>
          <w:lang w:val="en-US" w:eastAsia="zh-CN"/>
        </w:rPr>
        <w:t>. 48 (2009) 581–585.</w:t>
      </w:r>
    </w:p>
    <w:p w14:paraId="6EF1F12F" w14:textId="4BB08455" w:rsidR="00704BDF" w:rsidRPr="00CB78B6" w:rsidRDefault="00F95814" w:rsidP="00CB78B6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bCs/>
          <w:color w:val="000000"/>
          <w:sz w:val="20"/>
          <w:lang w:val="en-US" w:eastAsia="zh-CN"/>
        </w:rPr>
      </w:pPr>
      <w:r>
        <w:rPr>
          <w:rFonts w:asciiTheme="minorHAnsi" w:eastAsia="SimSun" w:hAnsiTheme="minorHAnsi"/>
          <w:bCs/>
          <w:color w:val="000000"/>
          <w:sz w:val="20"/>
          <w:lang w:val="en-US" w:eastAsia="zh-CN"/>
        </w:rPr>
        <w:t>[2</w:t>
      </w:r>
      <w:proofErr w:type="gramStart"/>
      <w:r>
        <w:rPr>
          <w:rFonts w:asciiTheme="minorHAnsi" w:eastAsia="SimSun" w:hAnsiTheme="minorHAnsi"/>
          <w:bCs/>
          <w:color w:val="000000"/>
          <w:sz w:val="20"/>
          <w:lang w:val="en-US" w:eastAsia="zh-CN"/>
        </w:rPr>
        <w:t xml:space="preserve">]  </w:t>
      </w:r>
      <w:r w:rsidRPr="00F95814">
        <w:rPr>
          <w:rFonts w:asciiTheme="minorHAnsi" w:eastAsia="SimSun" w:hAnsiTheme="minorHAnsi"/>
          <w:bCs/>
          <w:color w:val="000000"/>
          <w:sz w:val="20"/>
          <w:lang w:val="en-US" w:eastAsia="zh-CN"/>
        </w:rPr>
        <w:t>S</w:t>
      </w:r>
      <w:r>
        <w:rPr>
          <w:rFonts w:asciiTheme="minorHAnsi" w:eastAsia="SimSun" w:hAnsiTheme="minorHAnsi"/>
          <w:bCs/>
          <w:color w:val="000000"/>
          <w:sz w:val="20"/>
          <w:lang w:val="en-US" w:eastAsia="zh-CN"/>
        </w:rPr>
        <w:t>.</w:t>
      </w:r>
      <w:proofErr w:type="gramEnd"/>
      <w:r>
        <w:rPr>
          <w:rFonts w:asciiTheme="minorHAnsi" w:eastAsia="SimSun" w:hAnsiTheme="minorHAnsi"/>
          <w:bCs/>
          <w:color w:val="000000"/>
          <w:sz w:val="20"/>
          <w:lang w:val="en-US" w:eastAsia="zh-CN"/>
        </w:rPr>
        <w:t xml:space="preserve"> Carrillo De </w:t>
      </w:r>
      <w:proofErr w:type="spellStart"/>
      <w:r w:rsidRPr="00F95814">
        <w:rPr>
          <w:rFonts w:asciiTheme="minorHAnsi" w:eastAsia="SimSun" w:hAnsiTheme="minorHAnsi"/>
          <w:bCs/>
          <w:color w:val="000000"/>
          <w:sz w:val="20"/>
          <w:lang w:val="en-US" w:eastAsia="zh-CN"/>
        </w:rPr>
        <w:t>Hert</w:t>
      </w:r>
      <w:proofErr w:type="spellEnd"/>
      <w:r w:rsidRPr="00F95814">
        <w:rPr>
          <w:rFonts w:asciiTheme="minorHAnsi" w:eastAsia="SimSun" w:hAnsiTheme="minorHAnsi"/>
          <w:bCs/>
          <w:color w:val="000000"/>
          <w:sz w:val="20"/>
          <w:lang w:val="en-US" w:eastAsia="zh-CN"/>
        </w:rPr>
        <w:t>, Drop Size Distribution Analysis of Mechanically Agitated Liquid-Liquid Dispersions, University of Manchester, UK., 2017.</w:t>
      </w:r>
      <w:bookmarkEnd w:id="1"/>
    </w:p>
    <w:sectPr w:rsidR="00704BDF" w:rsidRPr="00CB78B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C8039" w14:textId="77777777" w:rsidR="002F580B" w:rsidRDefault="002F580B" w:rsidP="004F5E36">
      <w:r>
        <w:separator/>
      </w:r>
    </w:p>
  </w:endnote>
  <w:endnote w:type="continuationSeparator" w:id="0">
    <w:p w14:paraId="07767A24" w14:textId="77777777" w:rsidR="002F580B" w:rsidRDefault="002F580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84B16" w14:textId="77777777" w:rsidR="002F580B" w:rsidRDefault="002F580B" w:rsidP="004F5E36">
      <w:r>
        <w:separator/>
      </w:r>
    </w:p>
  </w:footnote>
  <w:footnote w:type="continuationSeparator" w:id="0">
    <w:p w14:paraId="5AB94E34" w14:textId="77777777" w:rsidR="002F580B" w:rsidRDefault="002F580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3DC11" w14:textId="77777777" w:rsidR="004D1162" w:rsidRDefault="00594E9F">
    <w:pPr>
      <w:pStyle w:val="Intestazion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FBB1F8" wp14:editId="1DE7538F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972A69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zh-CN"/>
      </w:rPr>
      <w:drawing>
        <wp:anchor distT="0" distB="0" distL="114300" distR="114300" simplePos="0" relativeHeight="251662336" behindDoc="0" locked="0" layoutInCell="1" allowOverlap="1" wp14:anchorId="4E7D4DF8" wp14:editId="382505B3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F3D58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7F587F5D" wp14:editId="011AFCB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3AB14218" w14:textId="77777777" w:rsidR="00704BDF" w:rsidRDefault="00704BDF">
    <w:pPr>
      <w:pStyle w:val="Intestazione"/>
    </w:pPr>
  </w:p>
  <w:p w14:paraId="3D41667D" w14:textId="77777777" w:rsidR="00704BDF" w:rsidRDefault="00704BDF">
    <w:pPr>
      <w:pStyle w:val="Intestazion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5E8C25" wp14:editId="5D3324B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79835B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12164"/>
    <w:rsid w:val="0003148D"/>
    <w:rsid w:val="00033B7E"/>
    <w:rsid w:val="00036B94"/>
    <w:rsid w:val="0004064D"/>
    <w:rsid w:val="00043AE8"/>
    <w:rsid w:val="00062A9A"/>
    <w:rsid w:val="000A03B2"/>
    <w:rsid w:val="000A6B1A"/>
    <w:rsid w:val="000B03AA"/>
    <w:rsid w:val="000B0AB4"/>
    <w:rsid w:val="000D34BE"/>
    <w:rsid w:val="000E36F1"/>
    <w:rsid w:val="000E3A73"/>
    <w:rsid w:val="000E414A"/>
    <w:rsid w:val="000F65AD"/>
    <w:rsid w:val="00105475"/>
    <w:rsid w:val="00106478"/>
    <w:rsid w:val="00106EE7"/>
    <w:rsid w:val="0012579A"/>
    <w:rsid w:val="00127D85"/>
    <w:rsid w:val="0013121F"/>
    <w:rsid w:val="00134DE4"/>
    <w:rsid w:val="001457E0"/>
    <w:rsid w:val="00150E59"/>
    <w:rsid w:val="00154644"/>
    <w:rsid w:val="0015713F"/>
    <w:rsid w:val="00160B80"/>
    <w:rsid w:val="00182AE2"/>
    <w:rsid w:val="00184AD6"/>
    <w:rsid w:val="001B0C6D"/>
    <w:rsid w:val="001B5723"/>
    <w:rsid w:val="001B65C1"/>
    <w:rsid w:val="001C684B"/>
    <w:rsid w:val="001D5296"/>
    <w:rsid w:val="001D53FC"/>
    <w:rsid w:val="001F2EC7"/>
    <w:rsid w:val="001F31CB"/>
    <w:rsid w:val="001F533C"/>
    <w:rsid w:val="002051A0"/>
    <w:rsid w:val="002065DB"/>
    <w:rsid w:val="00210FB0"/>
    <w:rsid w:val="002447EF"/>
    <w:rsid w:val="00251550"/>
    <w:rsid w:val="00261802"/>
    <w:rsid w:val="0027221A"/>
    <w:rsid w:val="00275590"/>
    <w:rsid w:val="00275B61"/>
    <w:rsid w:val="00292DF3"/>
    <w:rsid w:val="002B48D1"/>
    <w:rsid w:val="002D13F0"/>
    <w:rsid w:val="002D1F12"/>
    <w:rsid w:val="002F580B"/>
    <w:rsid w:val="003009B7"/>
    <w:rsid w:val="00302516"/>
    <w:rsid w:val="0030469C"/>
    <w:rsid w:val="003177BB"/>
    <w:rsid w:val="00317E2C"/>
    <w:rsid w:val="00344F93"/>
    <w:rsid w:val="0035204A"/>
    <w:rsid w:val="00353BC9"/>
    <w:rsid w:val="00370CC5"/>
    <w:rsid w:val="003723D4"/>
    <w:rsid w:val="003736AD"/>
    <w:rsid w:val="00380123"/>
    <w:rsid w:val="00387D80"/>
    <w:rsid w:val="003970D3"/>
    <w:rsid w:val="003A780B"/>
    <w:rsid w:val="003A7D1C"/>
    <w:rsid w:val="003E3D43"/>
    <w:rsid w:val="004243B0"/>
    <w:rsid w:val="004374F3"/>
    <w:rsid w:val="0046164A"/>
    <w:rsid w:val="00462DCD"/>
    <w:rsid w:val="00477BD2"/>
    <w:rsid w:val="004A665D"/>
    <w:rsid w:val="004C59EE"/>
    <w:rsid w:val="004C7FCA"/>
    <w:rsid w:val="004D1162"/>
    <w:rsid w:val="004D6A6F"/>
    <w:rsid w:val="004E1CD0"/>
    <w:rsid w:val="004E2730"/>
    <w:rsid w:val="004E498C"/>
    <w:rsid w:val="004E4DD6"/>
    <w:rsid w:val="004F2814"/>
    <w:rsid w:val="004F5E36"/>
    <w:rsid w:val="00511396"/>
    <w:rsid w:val="005119A5"/>
    <w:rsid w:val="005278B7"/>
    <w:rsid w:val="005346C8"/>
    <w:rsid w:val="0055249F"/>
    <w:rsid w:val="00557C24"/>
    <w:rsid w:val="00594E9F"/>
    <w:rsid w:val="005B61E6"/>
    <w:rsid w:val="005C77E1"/>
    <w:rsid w:val="005D6A2F"/>
    <w:rsid w:val="005E1A82"/>
    <w:rsid w:val="005F0A28"/>
    <w:rsid w:val="005F0E5E"/>
    <w:rsid w:val="00601215"/>
    <w:rsid w:val="00604042"/>
    <w:rsid w:val="006166E1"/>
    <w:rsid w:val="00620DEE"/>
    <w:rsid w:val="00625639"/>
    <w:rsid w:val="0064184D"/>
    <w:rsid w:val="00644D93"/>
    <w:rsid w:val="00660E3E"/>
    <w:rsid w:val="00662D44"/>
    <w:rsid w:val="00662E74"/>
    <w:rsid w:val="00672263"/>
    <w:rsid w:val="00686F1C"/>
    <w:rsid w:val="00697630"/>
    <w:rsid w:val="006A29C4"/>
    <w:rsid w:val="006C5579"/>
    <w:rsid w:val="006F7970"/>
    <w:rsid w:val="00704BDF"/>
    <w:rsid w:val="00704F46"/>
    <w:rsid w:val="0072114F"/>
    <w:rsid w:val="00736B13"/>
    <w:rsid w:val="007447F3"/>
    <w:rsid w:val="007570BE"/>
    <w:rsid w:val="007661C8"/>
    <w:rsid w:val="00795341"/>
    <w:rsid w:val="007C6C18"/>
    <w:rsid w:val="007D52CD"/>
    <w:rsid w:val="007E0489"/>
    <w:rsid w:val="007F0721"/>
    <w:rsid w:val="007F624D"/>
    <w:rsid w:val="00810D32"/>
    <w:rsid w:val="00813288"/>
    <w:rsid w:val="008168FC"/>
    <w:rsid w:val="00823387"/>
    <w:rsid w:val="00825248"/>
    <w:rsid w:val="00826F70"/>
    <w:rsid w:val="00836F32"/>
    <w:rsid w:val="0083796F"/>
    <w:rsid w:val="00841629"/>
    <w:rsid w:val="008479A2"/>
    <w:rsid w:val="00852983"/>
    <w:rsid w:val="0087637F"/>
    <w:rsid w:val="008A1512"/>
    <w:rsid w:val="008A7702"/>
    <w:rsid w:val="008B52BA"/>
    <w:rsid w:val="008C78A1"/>
    <w:rsid w:val="008D0BEB"/>
    <w:rsid w:val="008E283F"/>
    <w:rsid w:val="008E566E"/>
    <w:rsid w:val="008F2913"/>
    <w:rsid w:val="008F564C"/>
    <w:rsid w:val="00901EB6"/>
    <w:rsid w:val="00920A4C"/>
    <w:rsid w:val="009239F1"/>
    <w:rsid w:val="009421CC"/>
    <w:rsid w:val="009450CE"/>
    <w:rsid w:val="00945FAC"/>
    <w:rsid w:val="0095164B"/>
    <w:rsid w:val="00956B0A"/>
    <w:rsid w:val="0096464A"/>
    <w:rsid w:val="00996483"/>
    <w:rsid w:val="009D1108"/>
    <w:rsid w:val="009E788A"/>
    <w:rsid w:val="009F35AF"/>
    <w:rsid w:val="00A05E70"/>
    <w:rsid w:val="00A13E15"/>
    <w:rsid w:val="00A1763D"/>
    <w:rsid w:val="00A17CEC"/>
    <w:rsid w:val="00A222F5"/>
    <w:rsid w:val="00A27EF0"/>
    <w:rsid w:val="00A7577E"/>
    <w:rsid w:val="00A76EFC"/>
    <w:rsid w:val="00A9626B"/>
    <w:rsid w:val="00A97F29"/>
    <w:rsid w:val="00AB0964"/>
    <w:rsid w:val="00AB128E"/>
    <w:rsid w:val="00AB4BEA"/>
    <w:rsid w:val="00AB6992"/>
    <w:rsid w:val="00AD5BF7"/>
    <w:rsid w:val="00AE377D"/>
    <w:rsid w:val="00B01D38"/>
    <w:rsid w:val="00B056A3"/>
    <w:rsid w:val="00B27B78"/>
    <w:rsid w:val="00B331F9"/>
    <w:rsid w:val="00B61DBF"/>
    <w:rsid w:val="00B62AE7"/>
    <w:rsid w:val="00BC30C9"/>
    <w:rsid w:val="00BE3E58"/>
    <w:rsid w:val="00C01616"/>
    <w:rsid w:val="00C0162B"/>
    <w:rsid w:val="00C052BC"/>
    <w:rsid w:val="00C15075"/>
    <w:rsid w:val="00C15530"/>
    <w:rsid w:val="00C345B1"/>
    <w:rsid w:val="00C40142"/>
    <w:rsid w:val="00C44216"/>
    <w:rsid w:val="00C56793"/>
    <w:rsid w:val="00C57182"/>
    <w:rsid w:val="00C575B7"/>
    <w:rsid w:val="00C655FD"/>
    <w:rsid w:val="00C71D35"/>
    <w:rsid w:val="00C72764"/>
    <w:rsid w:val="00C77567"/>
    <w:rsid w:val="00C81778"/>
    <w:rsid w:val="00C92B2B"/>
    <w:rsid w:val="00C94434"/>
    <w:rsid w:val="00CA1C95"/>
    <w:rsid w:val="00CA5A9C"/>
    <w:rsid w:val="00CB78B6"/>
    <w:rsid w:val="00CD5FE2"/>
    <w:rsid w:val="00CD6489"/>
    <w:rsid w:val="00CE292D"/>
    <w:rsid w:val="00D02B4C"/>
    <w:rsid w:val="00D157B4"/>
    <w:rsid w:val="00D25805"/>
    <w:rsid w:val="00D33640"/>
    <w:rsid w:val="00D611F3"/>
    <w:rsid w:val="00D84576"/>
    <w:rsid w:val="00D84A64"/>
    <w:rsid w:val="00DB0EF6"/>
    <w:rsid w:val="00DD0A73"/>
    <w:rsid w:val="00DE0019"/>
    <w:rsid w:val="00DE264A"/>
    <w:rsid w:val="00E041E7"/>
    <w:rsid w:val="00E10FFB"/>
    <w:rsid w:val="00E17919"/>
    <w:rsid w:val="00E23CA1"/>
    <w:rsid w:val="00E409A8"/>
    <w:rsid w:val="00E7209D"/>
    <w:rsid w:val="00E91775"/>
    <w:rsid w:val="00EA06A7"/>
    <w:rsid w:val="00EA50E1"/>
    <w:rsid w:val="00EC303C"/>
    <w:rsid w:val="00EE0131"/>
    <w:rsid w:val="00EF07EC"/>
    <w:rsid w:val="00EF1278"/>
    <w:rsid w:val="00F10911"/>
    <w:rsid w:val="00F30C64"/>
    <w:rsid w:val="00F363A7"/>
    <w:rsid w:val="00F402CA"/>
    <w:rsid w:val="00F413DB"/>
    <w:rsid w:val="00F73294"/>
    <w:rsid w:val="00F95814"/>
    <w:rsid w:val="00FB730C"/>
    <w:rsid w:val="00FC2695"/>
    <w:rsid w:val="00FC3622"/>
    <w:rsid w:val="00FC3E03"/>
    <w:rsid w:val="00FE027A"/>
    <w:rsid w:val="00FE0D16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6C3E"/>
  <w15:docId w15:val="{C897FB60-6A0D-4FAD-A2DD-6BFC4911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stosegnaposto">
    <w:name w:val="Placeholder Text"/>
    <w:basedOn w:val="Carpredefinitoparagrafo"/>
    <w:uiPriority w:val="99"/>
    <w:semiHidden/>
    <w:locked/>
    <w:rsid w:val="00C775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21C72-BC40-4A1C-B15B-5BF96283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3</cp:revision>
  <cp:lastPrinted>2019-01-14T10:00:00Z</cp:lastPrinted>
  <dcterms:created xsi:type="dcterms:W3CDTF">2019-01-14T10:10:00Z</dcterms:created>
  <dcterms:modified xsi:type="dcterms:W3CDTF">2019-08-23T07:17:00Z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b334aa99-ba8c-356d-9990-0de96ba4d3ef</vt:lpwstr>
  </property>
  <property fmtid="{D5CDD505-2E9C-101B-9397-08002B2CF9AE}" pid="4" name="Mendeley Citation Style_1">
    <vt:lpwstr>http://www.zotero.org/styles/clinical-immunology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http://www.zotero.org/styles/clinical-immunology</vt:lpwstr>
  </property>
  <property fmtid="{D5CDD505-2E9C-101B-9397-08002B2CF9AE}" pid="16" name="Mendeley Recent Style Name 5_1">
    <vt:lpwstr>Clinical Immunology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