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4E556" w14:textId="77777777" w:rsidR="000A03B2" w:rsidRPr="00DC12AF" w:rsidRDefault="000A03B2" w:rsidP="00704BDF">
      <w:pPr>
        <w:pStyle w:val="CETAuthors"/>
        <w:tabs>
          <w:tab w:val="clear" w:pos="7100"/>
          <w:tab w:val="right" w:pos="9070"/>
        </w:tabs>
        <w:rPr>
          <w:lang w:val="en-US"/>
        </w:rPr>
        <w:sectPr w:rsidR="000A03B2" w:rsidRPr="00DC12AF"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422EFE7E" w14:textId="5C9976F4" w:rsidR="00704BDF" w:rsidRPr="00DC12AF" w:rsidRDefault="0007249F"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A</w:t>
      </w:r>
      <w:r w:rsidR="00E95D07" w:rsidRPr="00DC12AF">
        <w:rPr>
          <w:rFonts w:asciiTheme="minorHAnsi" w:eastAsia="MS PGothic" w:hAnsiTheme="minorHAnsi"/>
          <w:b/>
          <w:bCs/>
          <w:sz w:val="28"/>
          <w:szCs w:val="28"/>
          <w:lang w:val="en-US"/>
        </w:rPr>
        <w:t>nae</w:t>
      </w:r>
      <w:r w:rsidR="00070C6B" w:rsidRPr="00DC12AF">
        <w:rPr>
          <w:rFonts w:asciiTheme="minorHAnsi" w:eastAsia="MS PGothic" w:hAnsiTheme="minorHAnsi"/>
          <w:b/>
          <w:bCs/>
          <w:sz w:val="28"/>
          <w:szCs w:val="28"/>
          <w:lang w:val="en-US"/>
        </w:rPr>
        <w:t xml:space="preserve">robic </w:t>
      </w:r>
      <w:r w:rsidR="00BB5848" w:rsidRPr="00DC12AF">
        <w:rPr>
          <w:rFonts w:asciiTheme="minorHAnsi" w:eastAsia="MS PGothic" w:hAnsiTheme="minorHAnsi"/>
          <w:b/>
          <w:bCs/>
          <w:sz w:val="28"/>
          <w:szCs w:val="28"/>
          <w:lang w:val="en-US"/>
        </w:rPr>
        <w:t>Co-Digestio</w:t>
      </w:r>
      <w:r w:rsidR="00BB5848">
        <w:rPr>
          <w:rFonts w:asciiTheme="minorHAnsi" w:eastAsia="MS PGothic" w:hAnsiTheme="minorHAnsi"/>
          <w:b/>
          <w:bCs/>
          <w:sz w:val="28"/>
          <w:szCs w:val="28"/>
          <w:lang w:val="en-US"/>
        </w:rPr>
        <w:t xml:space="preserve">n of Industrial </w:t>
      </w:r>
      <w:r w:rsidR="00BB5848" w:rsidRPr="00DC12AF">
        <w:rPr>
          <w:rFonts w:asciiTheme="minorHAnsi" w:eastAsia="MS PGothic" w:hAnsiTheme="minorHAnsi"/>
          <w:b/>
          <w:bCs/>
          <w:sz w:val="28"/>
          <w:szCs w:val="28"/>
          <w:lang w:val="en-US"/>
        </w:rPr>
        <w:t xml:space="preserve">Wastewater </w:t>
      </w:r>
      <w:r w:rsidR="00BB5848">
        <w:rPr>
          <w:rFonts w:asciiTheme="minorHAnsi" w:eastAsia="MS PGothic" w:hAnsiTheme="minorHAnsi"/>
          <w:b/>
          <w:bCs/>
          <w:sz w:val="28"/>
          <w:szCs w:val="28"/>
          <w:lang w:val="en-US"/>
        </w:rPr>
        <w:t>w</w:t>
      </w:r>
      <w:bookmarkStart w:id="0" w:name="_GoBack"/>
      <w:bookmarkEnd w:id="0"/>
      <w:r w:rsidR="00BB5848">
        <w:rPr>
          <w:rFonts w:asciiTheme="minorHAnsi" w:eastAsia="MS PGothic" w:hAnsiTheme="minorHAnsi"/>
          <w:b/>
          <w:bCs/>
          <w:sz w:val="28"/>
          <w:szCs w:val="28"/>
          <w:lang w:val="en-US"/>
        </w:rPr>
        <w:t>ith Municipal Sludge.</w:t>
      </w:r>
    </w:p>
    <w:p w14:paraId="1FE5F0FB" w14:textId="77777777" w:rsidR="00DE0019" w:rsidRPr="00DC12AF" w:rsidRDefault="0008769C" w:rsidP="00704BDF">
      <w:pPr>
        <w:snapToGrid w:val="0"/>
        <w:spacing w:after="120"/>
        <w:jc w:val="center"/>
        <w:rPr>
          <w:rFonts w:eastAsia="SimSun"/>
          <w:lang w:val="en-US" w:eastAsia="zh-CN"/>
        </w:rPr>
      </w:pPr>
      <w:r w:rsidRPr="00DC12AF">
        <w:rPr>
          <w:rFonts w:asciiTheme="minorHAnsi" w:eastAsia="SimSun" w:hAnsiTheme="minorHAnsi"/>
          <w:sz w:val="24"/>
          <w:szCs w:val="24"/>
          <w:u w:val="single"/>
          <w:lang w:val="en-US" w:eastAsia="zh-CN"/>
        </w:rPr>
        <w:t>Maggie Chetty</w:t>
      </w:r>
      <w:r w:rsidR="00704BDF" w:rsidRPr="00DC12AF">
        <w:rPr>
          <w:rFonts w:asciiTheme="minorHAnsi" w:eastAsia="SimSun" w:hAnsiTheme="minorHAnsi"/>
          <w:sz w:val="24"/>
          <w:szCs w:val="24"/>
          <w:u w:val="single"/>
          <w:vertAlign w:val="superscript"/>
          <w:lang w:val="en-US" w:eastAsia="zh-CN"/>
        </w:rPr>
        <w:t>1</w:t>
      </w:r>
      <w:r w:rsidRPr="00DC12AF">
        <w:rPr>
          <w:rFonts w:asciiTheme="minorHAnsi" w:eastAsia="SimSun" w:hAnsiTheme="minorHAnsi"/>
          <w:sz w:val="24"/>
          <w:szCs w:val="24"/>
          <w:lang w:val="en-US" w:eastAsia="zh-CN"/>
        </w:rPr>
        <w:t>,</w:t>
      </w:r>
      <w:r w:rsidR="00736B13" w:rsidRPr="00DC12AF">
        <w:rPr>
          <w:rFonts w:asciiTheme="minorHAnsi" w:eastAsia="SimSun" w:hAnsiTheme="minorHAnsi"/>
          <w:sz w:val="24"/>
          <w:szCs w:val="24"/>
          <w:lang w:val="en-US" w:eastAsia="zh-CN"/>
        </w:rPr>
        <w:t xml:space="preserve"> </w:t>
      </w:r>
      <w:r w:rsidRPr="00DC12AF">
        <w:rPr>
          <w:rFonts w:asciiTheme="minorHAnsi" w:eastAsia="SimSun" w:hAnsiTheme="minorHAnsi"/>
          <w:sz w:val="24"/>
          <w:szCs w:val="24"/>
          <w:lang w:val="en-US" w:eastAsia="zh-CN"/>
        </w:rPr>
        <w:t>Jeremiah</w:t>
      </w:r>
      <w:r w:rsidR="00704BDF" w:rsidRPr="00DC12AF">
        <w:rPr>
          <w:rFonts w:asciiTheme="minorHAnsi" w:eastAsia="SimSun" w:hAnsiTheme="minorHAnsi"/>
          <w:sz w:val="24"/>
          <w:szCs w:val="24"/>
          <w:lang w:val="en-US" w:eastAsia="zh-CN"/>
        </w:rPr>
        <w:t xml:space="preserve"> </w:t>
      </w:r>
      <w:r w:rsidRPr="00DC12AF">
        <w:rPr>
          <w:rFonts w:asciiTheme="minorHAnsi" w:eastAsia="SimSun" w:hAnsiTheme="minorHAnsi"/>
          <w:sz w:val="24"/>
          <w:szCs w:val="24"/>
          <w:lang w:val="en-US" w:eastAsia="zh-CN"/>
        </w:rPr>
        <w:t>Adedeji</w:t>
      </w:r>
      <w:r w:rsidR="00704BDF" w:rsidRPr="00DC12AF">
        <w:rPr>
          <w:rFonts w:eastAsia="SimSun"/>
          <w:vertAlign w:val="superscript"/>
          <w:lang w:val="en-US" w:eastAsia="zh-CN"/>
        </w:rPr>
        <w:t>2</w:t>
      </w:r>
      <w:r w:rsidR="00DE0019" w:rsidRPr="00DC12AF">
        <w:rPr>
          <w:rFonts w:eastAsia="SimSun"/>
          <w:lang w:val="en-US" w:eastAsia="zh-CN"/>
        </w:rPr>
        <w:t xml:space="preserve"> </w:t>
      </w:r>
    </w:p>
    <w:p w14:paraId="535A926B" w14:textId="77777777" w:rsidR="00704BDF" w:rsidRPr="00DC12AF" w:rsidRDefault="00704BDF" w:rsidP="00704BDF">
      <w:pPr>
        <w:snapToGrid w:val="0"/>
        <w:spacing w:after="120"/>
        <w:jc w:val="center"/>
        <w:rPr>
          <w:rFonts w:asciiTheme="minorHAnsi" w:eastAsia="MS PGothic" w:hAnsiTheme="minorHAnsi"/>
          <w:i/>
          <w:iCs/>
          <w:sz w:val="20"/>
          <w:lang w:val="en-US"/>
        </w:rPr>
      </w:pPr>
      <w:r w:rsidRPr="00581924">
        <w:rPr>
          <w:rFonts w:eastAsia="MS PGothic"/>
          <w:i/>
          <w:iCs/>
          <w:sz w:val="20"/>
          <w:vertAlign w:val="superscript"/>
          <w:lang w:val="en-US"/>
        </w:rPr>
        <w:t>1</w:t>
      </w:r>
      <w:r w:rsidR="0008769C" w:rsidRPr="00581924">
        <w:rPr>
          <w:rFonts w:eastAsia="MS PGothic"/>
          <w:i/>
          <w:iCs/>
          <w:sz w:val="20"/>
          <w:vertAlign w:val="superscript"/>
          <w:lang w:val="en-US"/>
        </w:rPr>
        <w:t>,2</w:t>
      </w:r>
      <w:r w:rsidR="0008769C" w:rsidRPr="00DC12AF">
        <w:rPr>
          <w:rFonts w:asciiTheme="minorHAnsi" w:eastAsia="MS PGothic" w:hAnsiTheme="minorHAnsi"/>
          <w:i/>
          <w:iCs/>
          <w:sz w:val="20"/>
          <w:lang w:val="en-US"/>
        </w:rPr>
        <w:t xml:space="preserve"> Department of Chemical Engineering, Durban University of Technology, Steve Biko Campus, Durban , South Africa</w:t>
      </w:r>
    </w:p>
    <w:p w14:paraId="54AFE66A" w14:textId="77777777" w:rsidR="00704BDF" w:rsidRPr="00DC12AF" w:rsidRDefault="00704BDF" w:rsidP="00704BDF">
      <w:pPr>
        <w:snapToGrid w:val="0"/>
        <w:jc w:val="center"/>
        <w:rPr>
          <w:rFonts w:asciiTheme="minorHAnsi" w:eastAsia="MS PGothic" w:hAnsiTheme="minorHAnsi"/>
          <w:bCs/>
          <w:i/>
          <w:iCs/>
          <w:sz w:val="20"/>
          <w:lang w:val="en-US"/>
        </w:rPr>
      </w:pPr>
      <w:r w:rsidRPr="00DC12AF">
        <w:rPr>
          <w:rFonts w:asciiTheme="minorHAnsi" w:eastAsia="MS PGothic" w:hAnsiTheme="minorHAnsi"/>
          <w:bCs/>
          <w:i/>
          <w:iCs/>
          <w:sz w:val="20"/>
          <w:lang w:val="en-US"/>
        </w:rPr>
        <w:t>*Corresponding author</w:t>
      </w:r>
      <w:r w:rsidRPr="00DC12AF">
        <w:rPr>
          <w:rFonts w:asciiTheme="minorHAnsi" w:eastAsia="MS PGothic" w:hAnsiTheme="minorHAnsi"/>
          <w:bCs/>
          <w:i/>
          <w:iCs/>
          <w:sz w:val="20"/>
          <w:lang w:val="en-US" w:eastAsia="ko-KR"/>
        </w:rPr>
        <w:t>:</w:t>
      </w:r>
      <w:r w:rsidR="00D6049B" w:rsidRPr="00DC12AF">
        <w:rPr>
          <w:rFonts w:asciiTheme="minorHAnsi" w:eastAsia="MS PGothic" w:hAnsiTheme="minorHAnsi"/>
          <w:bCs/>
          <w:i/>
          <w:iCs/>
          <w:sz w:val="20"/>
          <w:lang w:val="en-US"/>
        </w:rPr>
        <w:t xml:space="preserve"> chettym</w:t>
      </w:r>
      <w:r w:rsidRPr="00DC12AF">
        <w:rPr>
          <w:rFonts w:asciiTheme="minorHAnsi" w:eastAsia="MS PGothic" w:hAnsiTheme="minorHAnsi"/>
          <w:bCs/>
          <w:i/>
          <w:iCs/>
          <w:sz w:val="20"/>
          <w:lang w:val="en-US"/>
        </w:rPr>
        <w:t>@</w:t>
      </w:r>
      <w:r w:rsidR="00D6049B" w:rsidRPr="00DC12AF">
        <w:rPr>
          <w:rFonts w:asciiTheme="minorHAnsi" w:eastAsia="MS PGothic" w:hAnsiTheme="minorHAnsi"/>
          <w:bCs/>
          <w:i/>
          <w:iCs/>
          <w:sz w:val="20"/>
          <w:lang w:val="en-US"/>
        </w:rPr>
        <w:t>dut.ac.za</w:t>
      </w:r>
    </w:p>
    <w:p w14:paraId="7B275EA6" w14:textId="77777777" w:rsidR="00704BDF" w:rsidRPr="00DC12AF" w:rsidRDefault="00704BDF" w:rsidP="00704BDF">
      <w:pPr>
        <w:pStyle w:val="AbstractHeading"/>
        <w:tabs>
          <w:tab w:val="left" w:pos="3547"/>
          <w:tab w:val="center" w:pos="4694"/>
        </w:tabs>
        <w:spacing w:before="240" w:after="0"/>
        <w:ind w:firstLine="357"/>
        <w:rPr>
          <w:rFonts w:asciiTheme="minorHAnsi" w:hAnsiTheme="minorHAnsi"/>
          <w:b/>
        </w:rPr>
      </w:pPr>
      <w:r w:rsidRPr="00DC12AF">
        <w:rPr>
          <w:rFonts w:asciiTheme="minorHAnsi" w:hAnsiTheme="minorHAnsi"/>
          <w:b/>
        </w:rPr>
        <w:t>Highlights</w:t>
      </w:r>
    </w:p>
    <w:p w14:paraId="306706F5" w14:textId="77777777" w:rsidR="00704BDF" w:rsidRPr="00DC12AF" w:rsidRDefault="00FA0E2E" w:rsidP="00704BDF">
      <w:pPr>
        <w:pStyle w:val="AbstractBody"/>
        <w:numPr>
          <w:ilvl w:val="0"/>
          <w:numId w:val="16"/>
        </w:numPr>
        <w:rPr>
          <w:rFonts w:asciiTheme="minorHAnsi" w:hAnsiTheme="minorHAnsi"/>
        </w:rPr>
      </w:pPr>
      <w:r w:rsidRPr="00DC12AF">
        <w:rPr>
          <w:rFonts w:asciiTheme="minorHAnsi" w:hAnsiTheme="minorHAnsi"/>
        </w:rPr>
        <w:t>AcoD of sewage sludge and industrial wastewater increase biomethane yield</w:t>
      </w:r>
      <w:r w:rsidR="00704BDF" w:rsidRPr="00DC12AF">
        <w:rPr>
          <w:rFonts w:asciiTheme="minorHAnsi" w:hAnsiTheme="minorHAnsi"/>
        </w:rPr>
        <w:t>.</w:t>
      </w:r>
    </w:p>
    <w:p w14:paraId="7B82BA32" w14:textId="77777777" w:rsidR="00704BDF" w:rsidRPr="00DC12AF" w:rsidRDefault="00DC12AF" w:rsidP="00704BDF">
      <w:pPr>
        <w:pStyle w:val="AbstractBody"/>
        <w:numPr>
          <w:ilvl w:val="0"/>
          <w:numId w:val="16"/>
        </w:numPr>
        <w:rPr>
          <w:rFonts w:asciiTheme="minorHAnsi" w:hAnsiTheme="minorHAnsi"/>
        </w:rPr>
      </w:pPr>
      <w:r>
        <w:rPr>
          <w:rFonts w:asciiTheme="minorHAnsi" w:hAnsiTheme="minorHAnsi"/>
        </w:rPr>
        <w:t>COD reduction for both sludge and wastewaters was observed.</w:t>
      </w:r>
      <w:r w:rsidR="00704BDF" w:rsidRPr="00DC12AF">
        <w:rPr>
          <w:rFonts w:asciiTheme="minorHAnsi" w:hAnsiTheme="minorHAnsi"/>
        </w:rPr>
        <w:t xml:space="preserve"> </w:t>
      </w:r>
    </w:p>
    <w:p w14:paraId="612DFE28" w14:textId="77777777" w:rsidR="00704BDF" w:rsidRPr="00DC12AF" w:rsidRDefault="00704BDF" w:rsidP="00704BDF">
      <w:pPr>
        <w:snapToGrid w:val="0"/>
        <w:spacing w:after="120"/>
        <w:jc w:val="center"/>
        <w:rPr>
          <w:rFonts w:eastAsia="SimSun"/>
          <w:bCs/>
          <w:i/>
          <w:iCs/>
          <w:sz w:val="20"/>
          <w:lang w:val="en-US" w:eastAsia="zh-CN"/>
        </w:rPr>
      </w:pPr>
    </w:p>
    <w:p w14:paraId="3C7C373F" w14:textId="77777777" w:rsidR="00704BDF" w:rsidRPr="00DC12AF" w:rsidRDefault="00704BDF" w:rsidP="00704BDF">
      <w:pPr>
        <w:snapToGrid w:val="0"/>
        <w:spacing w:line="300" w:lineRule="auto"/>
        <w:rPr>
          <w:rFonts w:asciiTheme="minorHAnsi" w:eastAsia="MS PGothic" w:hAnsiTheme="minorHAnsi"/>
          <w:b/>
          <w:bCs/>
          <w:sz w:val="22"/>
          <w:szCs w:val="22"/>
          <w:lang w:val="en-US" w:eastAsia="ko-KR"/>
        </w:rPr>
      </w:pPr>
      <w:r w:rsidRPr="00DC12AF">
        <w:rPr>
          <w:rFonts w:asciiTheme="minorHAnsi" w:eastAsia="MS PGothic" w:hAnsiTheme="minorHAnsi"/>
          <w:b/>
          <w:bCs/>
          <w:sz w:val="22"/>
          <w:szCs w:val="22"/>
          <w:lang w:val="en-US"/>
        </w:rPr>
        <w:t>1. Introduction</w:t>
      </w:r>
    </w:p>
    <w:p w14:paraId="04604940" w14:textId="77777777" w:rsidR="00EB037F" w:rsidRPr="00DC12AF" w:rsidRDefault="00EB037F" w:rsidP="006371FA">
      <w:pPr>
        <w:rPr>
          <w:rFonts w:ascii="Calibri" w:eastAsia="Calibri" w:hAnsi="Calibri"/>
          <w:sz w:val="22"/>
          <w:szCs w:val="22"/>
          <w:lang w:val="en-US"/>
        </w:rPr>
      </w:pPr>
      <w:r w:rsidRPr="00DC12AF">
        <w:rPr>
          <w:rFonts w:ascii="Calibri" w:eastAsia="Calibri" w:hAnsi="Calibri"/>
          <w:sz w:val="22"/>
          <w:szCs w:val="22"/>
          <w:lang w:val="en-US"/>
        </w:rPr>
        <w:t>The depletion and environmental impact of conventional fuel in form of greenhouse gases has led to the systemic shift on its dependence for generation of energy into alternative means known as renewable energy. In contrast, food industries are said to utilize large volumes of water daily in their production processes which in turn leads to increase wastewater generation</w:t>
      </w:r>
      <w:r w:rsidR="00C15718" w:rsidRPr="00DC12AF">
        <w:rPr>
          <w:rFonts w:ascii="Calibri" w:eastAsia="Calibri" w:hAnsi="Calibri"/>
          <w:sz w:val="22"/>
          <w:szCs w:val="22"/>
          <w:lang w:val="en-US"/>
        </w:rPr>
        <w:t xml:space="preserve"> </w:t>
      </w:r>
      <w:r w:rsidR="00C15718" w:rsidRPr="00DC12AF">
        <w:rPr>
          <w:rFonts w:ascii="Calibri" w:eastAsia="Calibri" w:hAnsi="Calibri"/>
          <w:sz w:val="22"/>
          <w:szCs w:val="22"/>
          <w:lang w:val="en-US"/>
        </w:rPr>
        <w:fldChar w:fldCharType="begin"/>
      </w:r>
      <w:r w:rsidR="00C15718" w:rsidRPr="00DC12AF">
        <w:rPr>
          <w:rFonts w:ascii="Calibri" w:eastAsia="Calibri" w:hAnsi="Calibri"/>
          <w:sz w:val="22"/>
          <w:szCs w:val="22"/>
          <w:lang w:val="en-US"/>
        </w:rPr>
        <w:instrText xml:space="preserve"> ADDIN EN.CITE &lt;EndNote&gt;&lt;Cite&gt;&lt;Author&gt;Liu&lt;/Author&gt;&lt;Year&gt;2011&lt;/Year&gt;&lt;RecNum&gt;26&lt;/RecNum&gt;&lt;DisplayText&gt;[1]&lt;/DisplayText&gt;&lt;record&gt;&lt;rec-number&gt;26&lt;/rec-number&gt;&lt;foreign-keys&gt;&lt;key app="EN" db-id="0pzveeefp9s9x7e9pxsv5tpatz2ae5ta225p" timestamp="1524619735"&gt;26&lt;/key&gt;&lt;/foreign-keys&gt;&lt;ref-type name="Journal Article"&gt;17&lt;/ref-type&gt;&lt;contributors&gt;&lt;authors&gt;&lt;author&gt;Liu, Y. Y.&lt;/author&gt;&lt;author&gt;Haynes, R. J.&lt;/author&gt;&lt;/authors&gt;&lt;/contributors&gt;&lt;titles&gt;&lt;title&gt;Origin, Nature, and Treatment of Effluents From Dairy and Meat Processing Factories and the Effects of Their Irrigation on the Quality of Agricultural Soils&lt;/title&gt;&lt;secondary-title&gt;Critical Reviews in Environmental Science and Technology&lt;/secondary-title&gt;&lt;/titles&gt;&lt;pages&gt;1531-1599&lt;/pages&gt;&lt;volume&gt;41&lt;/volume&gt;&lt;number&gt;17&lt;/number&gt;&lt;dates&gt;&lt;year&gt;2011&lt;/year&gt;&lt;pub-dates&gt;&lt;date&gt;2011/09/01&lt;/date&gt;&lt;/pub-dates&gt;&lt;/dates&gt;&lt;publisher&gt;Taylor &amp;amp; Francis&lt;/publisher&gt;&lt;isbn&gt;1064-3389&lt;/isbn&gt;&lt;urls&gt;&lt;related-urls&gt;&lt;url&gt;https://doi.org/10.1080/10643381003608359&lt;/url&gt;&lt;/related-urls&gt;&lt;/urls&gt;&lt;electronic-resource-num&gt;10.1080/10643381003608359&lt;/electronic-resource-num&gt;&lt;/record&gt;&lt;/Cite&gt;&lt;/EndNote&gt;</w:instrText>
      </w:r>
      <w:r w:rsidR="00C15718" w:rsidRPr="00DC12AF">
        <w:rPr>
          <w:rFonts w:ascii="Calibri" w:eastAsia="Calibri" w:hAnsi="Calibri"/>
          <w:sz w:val="22"/>
          <w:szCs w:val="22"/>
          <w:lang w:val="en-US"/>
        </w:rPr>
        <w:fldChar w:fldCharType="separate"/>
      </w:r>
      <w:r w:rsidR="00C15718" w:rsidRPr="00DC12AF">
        <w:rPr>
          <w:rFonts w:ascii="Calibri" w:eastAsia="Calibri" w:hAnsi="Calibri"/>
          <w:noProof/>
          <w:sz w:val="22"/>
          <w:szCs w:val="22"/>
          <w:lang w:val="en-US"/>
        </w:rPr>
        <w:t>[1]</w:t>
      </w:r>
      <w:r w:rsidR="00C15718" w:rsidRPr="00DC12AF">
        <w:rPr>
          <w:rFonts w:ascii="Calibri" w:eastAsia="Calibri" w:hAnsi="Calibri"/>
          <w:sz w:val="22"/>
          <w:szCs w:val="22"/>
          <w:lang w:val="en-US"/>
        </w:rPr>
        <w:fldChar w:fldCharType="end"/>
      </w:r>
      <w:r w:rsidRPr="00DC12AF">
        <w:rPr>
          <w:rFonts w:ascii="Calibri" w:eastAsia="Calibri" w:hAnsi="Calibri"/>
          <w:sz w:val="22"/>
          <w:szCs w:val="22"/>
          <w:lang w:val="en-US"/>
        </w:rPr>
        <w:t>. The characteristics of these wastewater make them a potential source for generation of renewable energy when appropriate technology is applied</w:t>
      </w:r>
      <w:r w:rsidR="006638F3" w:rsidRPr="00DC12AF">
        <w:rPr>
          <w:rFonts w:ascii="Calibri" w:eastAsia="Calibri" w:hAnsi="Calibri"/>
          <w:sz w:val="22"/>
          <w:szCs w:val="22"/>
          <w:lang w:val="en-US"/>
        </w:rPr>
        <w:t xml:space="preserve"> </w:t>
      </w:r>
      <w:r w:rsidR="006638F3" w:rsidRPr="00DC12AF">
        <w:rPr>
          <w:rFonts w:ascii="Calibri" w:eastAsia="Calibri" w:hAnsi="Calibri"/>
          <w:sz w:val="22"/>
          <w:szCs w:val="22"/>
          <w:lang w:val="en-US"/>
        </w:rPr>
        <w:fldChar w:fldCharType="begin"/>
      </w:r>
      <w:r w:rsidR="006638F3" w:rsidRPr="00DC12AF">
        <w:rPr>
          <w:rFonts w:ascii="Calibri" w:eastAsia="Calibri" w:hAnsi="Calibri"/>
          <w:sz w:val="22"/>
          <w:szCs w:val="22"/>
          <w:lang w:val="en-US"/>
        </w:rPr>
        <w:instrText xml:space="preserve"> ADDIN EN.CITE &lt;EndNote&gt;&lt;Cite&gt;&lt;Author&gt;Mata-Alvarez&lt;/Author&gt;&lt;Year&gt;2014&lt;/Year&gt;&lt;RecNum&gt;54&lt;/RecNum&gt;&lt;DisplayText&gt;[2]&lt;/DisplayText&gt;&lt;record&gt;&lt;rec-number&gt;54&lt;/rec-number&gt;&lt;foreign-keys&gt;&lt;key app="EN" db-id="0pzveeefp9s9x7e9pxsv5tpatz2ae5ta225p" timestamp="1525008512"&gt;54&lt;/key&gt;&lt;/foreign-keys&gt;&lt;ref-type name="Journal Article"&gt;17&lt;/ref-type&gt;&lt;contributors&gt;&lt;authors&gt;&lt;author&gt;Mata-Alvarez, J.&lt;/author&gt;&lt;author&gt;Dosta, J.&lt;/author&gt;&lt;author&gt;Romero-Güiza, M. S.&lt;/author&gt;&lt;author&gt;Fonoll, X.&lt;/author&gt;&lt;author&gt;Peces, M.&lt;/author&gt;&lt;author&gt;Astals, S.&lt;/author&gt;&lt;/authors&gt;&lt;/contributors&gt;&lt;titles&gt;&lt;title&gt;A critical review on anaerobic co-digestion achievements between 2010 and 2013&lt;/title&gt;&lt;secondary-title&gt;Renewable and Sustainable Energy Reviews&lt;/secondary-title&gt;&lt;/titles&gt;&lt;pages&gt;412-427&lt;/pages&gt;&lt;volume&gt;36&lt;/volume&gt;&lt;keywords&gt;&lt;keyword&gt;Anaerobic digestion&lt;/keyword&gt;&lt;keyword&gt;Manure&lt;/keyword&gt;&lt;keyword&gt;Sewage sludge&lt;/keyword&gt;&lt;keyword&gt;Pre-treatment&lt;/keyword&gt;&lt;keyword&gt;Microbial dynamics&lt;/keyword&gt;&lt;keyword&gt;Modeling&lt;/keyword&gt;&lt;/keywords&gt;&lt;dates&gt;&lt;year&gt;2014&lt;/year&gt;&lt;pub-dates&gt;&lt;date&gt;2014/08/01/&lt;/date&gt;&lt;/pub-dates&gt;&lt;/dates&gt;&lt;isbn&gt;1364-0321&lt;/isbn&gt;&lt;urls&gt;&lt;related-urls&gt;&lt;url&gt;http://www.sciencedirect.com/science/article/pii/S1364032114002664&lt;/url&gt;&lt;/related-urls&gt;&lt;/urls&gt;&lt;electronic-resource-num&gt;https://doi.org/10.1016/j.rser.2014.04.039&lt;/electronic-resource-num&gt;&lt;/record&gt;&lt;/Cite&gt;&lt;/EndNote&gt;</w:instrText>
      </w:r>
      <w:r w:rsidR="006638F3" w:rsidRPr="00DC12AF">
        <w:rPr>
          <w:rFonts w:ascii="Calibri" w:eastAsia="Calibri" w:hAnsi="Calibri"/>
          <w:sz w:val="22"/>
          <w:szCs w:val="22"/>
          <w:lang w:val="en-US"/>
        </w:rPr>
        <w:fldChar w:fldCharType="separate"/>
      </w:r>
      <w:r w:rsidR="006638F3" w:rsidRPr="00DC12AF">
        <w:rPr>
          <w:rFonts w:ascii="Calibri" w:eastAsia="Calibri" w:hAnsi="Calibri"/>
          <w:noProof/>
          <w:sz w:val="22"/>
          <w:szCs w:val="22"/>
          <w:lang w:val="en-US"/>
        </w:rPr>
        <w:t>[2]</w:t>
      </w:r>
      <w:r w:rsidR="006638F3" w:rsidRPr="00DC12AF">
        <w:rPr>
          <w:rFonts w:ascii="Calibri" w:eastAsia="Calibri" w:hAnsi="Calibri"/>
          <w:sz w:val="22"/>
          <w:szCs w:val="22"/>
          <w:lang w:val="en-US"/>
        </w:rPr>
        <w:fldChar w:fldCharType="end"/>
      </w:r>
      <w:r w:rsidRPr="00DC12AF">
        <w:rPr>
          <w:rFonts w:ascii="Calibri" w:eastAsia="Calibri" w:hAnsi="Calibri"/>
          <w:sz w:val="22"/>
          <w:szCs w:val="22"/>
          <w:lang w:val="en-US"/>
        </w:rPr>
        <w:t>.</w:t>
      </w:r>
    </w:p>
    <w:p w14:paraId="7CE6DC29" w14:textId="77777777" w:rsidR="00EB037F" w:rsidRPr="00DC12AF" w:rsidRDefault="00EB037F" w:rsidP="006371FA">
      <w:pPr>
        <w:tabs>
          <w:tab w:val="clear" w:pos="7100"/>
        </w:tabs>
        <w:spacing w:after="160" w:line="259" w:lineRule="auto"/>
        <w:rPr>
          <w:rFonts w:ascii="Calibri" w:eastAsia="Calibri" w:hAnsi="Calibri"/>
          <w:sz w:val="22"/>
          <w:szCs w:val="22"/>
          <w:lang w:val="en-US"/>
        </w:rPr>
      </w:pPr>
      <w:r w:rsidRPr="00DC12AF">
        <w:rPr>
          <w:rFonts w:ascii="Calibri" w:eastAsia="Calibri" w:hAnsi="Calibri"/>
          <w:sz w:val="22"/>
          <w:szCs w:val="22"/>
          <w:lang w:val="en-US"/>
        </w:rPr>
        <w:t>This study is geared towards the use of industrial wastewater as co-substrate for digestion of sewage sludge (SS) while optimizing the process parameter</w:t>
      </w:r>
      <w:r w:rsidR="00883F7A" w:rsidRPr="00DC12AF">
        <w:rPr>
          <w:rFonts w:ascii="Calibri" w:eastAsia="Calibri" w:hAnsi="Calibri"/>
          <w:sz w:val="22"/>
          <w:szCs w:val="22"/>
          <w:lang w:val="en-US"/>
        </w:rPr>
        <w:t>s</w:t>
      </w:r>
      <w:r w:rsidRPr="00DC12AF">
        <w:rPr>
          <w:rFonts w:ascii="Calibri" w:eastAsia="Calibri" w:hAnsi="Calibri"/>
          <w:sz w:val="22"/>
          <w:szCs w:val="22"/>
          <w:lang w:val="en-US"/>
        </w:rPr>
        <w:t xml:space="preserve"> to maximize </w:t>
      </w:r>
      <w:r w:rsidR="00070C6B" w:rsidRPr="00DC12AF">
        <w:rPr>
          <w:rFonts w:ascii="Calibri" w:eastAsia="Calibri" w:hAnsi="Calibri"/>
          <w:sz w:val="22"/>
          <w:szCs w:val="22"/>
          <w:lang w:val="en-US"/>
        </w:rPr>
        <w:t>biomethane production and minimize organic pollutants.</w:t>
      </w:r>
      <w:r w:rsidRPr="00DC12AF">
        <w:rPr>
          <w:rFonts w:ascii="Calibri" w:eastAsia="Calibri" w:hAnsi="Calibri"/>
          <w:sz w:val="22"/>
          <w:szCs w:val="22"/>
          <w:lang w:val="en-US"/>
        </w:rPr>
        <w:t xml:space="preserve"> </w:t>
      </w:r>
    </w:p>
    <w:p w14:paraId="3F990EC6" w14:textId="77777777" w:rsidR="00EB037F" w:rsidRPr="00DC12AF" w:rsidRDefault="00EB037F" w:rsidP="00EB037F">
      <w:pPr>
        <w:rPr>
          <w:rFonts w:ascii="Calibri" w:eastAsia="Calibri" w:hAnsi="Calibri"/>
          <w:sz w:val="22"/>
          <w:szCs w:val="22"/>
          <w:lang w:val="en-US"/>
        </w:rPr>
      </w:pPr>
    </w:p>
    <w:p w14:paraId="6DD8A1C3" w14:textId="77777777" w:rsidR="00704BDF" w:rsidRPr="00DC12AF" w:rsidRDefault="00704BDF" w:rsidP="00704BDF">
      <w:pPr>
        <w:snapToGrid w:val="0"/>
        <w:spacing w:before="240" w:line="300" w:lineRule="auto"/>
        <w:rPr>
          <w:rFonts w:asciiTheme="minorHAnsi" w:eastAsia="MS PGothic" w:hAnsiTheme="minorHAnsi"/>
          <w:sz w:val="22"/>
          <w:szCs w:val="22"/>
          <w:lang w:val="en-US"/>
        </w:rPr>
      </w:pPr>
      <w:r w:rsidRPr="00DC12AF">
        <w:rPr>
          <w:rFonts w:asciiTheme="minorHAnsi" w:eastAsia="MS PGothic" w:hAnsiTheme="minorHAnsi"/>
          <w:b/>
          <w:bCs/>
          <w:sz w:val="22"/>
          <w:szCs w:val="22"/>
          <w:lang w:val="en-US"/>
        </w:rPr>
        <w:t>2. Methods</w:t>
      </w:r>
    </w:p>
    <w:p w14:paraId="2AC29BE5" w14:textId="77777777" w:rsidR="00EB037F" w:rsidRPr="00DC12AF" w:rsidRDefault="00EB037F" w:rsidP="006371FA">
      <w:pPr>
        <w:rPr>
          <w:rFonts w:ascii="Calibri" w:eastAsia="Calibri" w:hAnsi="Calibri"/>
          <w:sz w:val="22"/>
          <w:szCs w:val="22"/>
          <w:lang w:val="en-US"/>
        </w:rPr>
      </w:pPr>
      <w:r w:rsidRPr="00DC12AF">
        <w:rPr>
          <w:rFonts w:ascii="Calibri" w:eastAsia="Calibri" w:hAnsi="Calibri"/>
          <w:sz w:val="22"/>
          <w:szCs w:val="22"/>
          <w:lang w:val="en-US"/>
        </w:rPr>
        <w:t>Anaerobic co-digestion</w:t>
      </w:r>
      <w:r w:rsidR="00FA0E2E" w:rsidRPr="00DC12AF">
        <w:rPr>
          <w:rFonts w:ascii="Calibri" w:eastAsia="Calibri" w:hAnsi="Calibri"/>
          <w:sz w:val="22"/>
          <w:szCs w:val="22"/>
          <w:lang w:val="en-US"/>
        </w:rPr>
        <w:t xml:space="preserve"> (AcoD)</w:t>
      </w:r>
      <w:r w:rsidRPr="00DC12AF">
        <w:rPr>
          <w:rFonts w:ascii="Calibri" w:eastAsia="Calibri" w:hAnsi="Calibri"/>
          <w:sz w:val="22"/>
          <w:szCs w:val="22"/>
          <w:lang w:val="en-US"/>
        </w:rPr>
        <w:t xml:space="preserve"> technique</w:t>
      </w:r>
      <w:r w:rsidR="00883F7A" w:rsidRPr="00DC12AF">
        <w:rPr>
          <w:rFonts w:ascii="Calibri" w:eastAsia="Calibri" w:hAnsi="Calibri"/>
          <w:sz w:val="22"/>
          <w:szCs w:val="22"/>
          <w:lang w:val="en-US"/>
        </w:rPr>
        <w:t>s were</w:t>
      </w:r>
      <w:r w:rsidRPr="00DC12AF">
        <w:rPr>
          <w:rFonts w:ascii="Calibri" w:eastAsia="Calibri" w:hAnsi="Calibri"/>
          <w:sz w:val="22"/>
          <w:szCs w:val="22"/>
          <w:lang w:val="en-US"/>
        </w:rPr>
        <w:t xml:space="preserve"> employed in this study. The substrates </w:t>
      </w:r>
      <w:r w:rsidR="00883F7A" w:rsidRPr="00DC12AF">
        <w:rPr>
          <w:rFonts w:ascii="Calibri" w:eastAsia="Calibri" w:hAnsi="Calibri"/>
          <w:sz w:val="22"/>
          <w:szCs w:val="22"/>
          <w:lang w:val="en-US"/>
        </w:rPr>
        <w:t>considered were municipal SS,</w:t>
      </w:r>
      <w:r w:rsidRPr="00DC12AF">
        <w:rPr>
          <w:rFonts w:ascii="Calibri" w:eastAsia="Calibri" w:hAnsi="Calibri"/>
          <w:sz w:val="22"/>
          <w:szCs w:val="22"/>
          <w:lang w:val="en-US"/>
        </w:rPr>
        <w:t xml:space="preserve"> </w:t>
      </w:r>
      <w:r w:rsidR="00DD4C4C" w:rsidRPr="00DC12AF">
        <w:rPr>
          <w:rFonts w:ascii="Calibri" w:eastAsia="Calibri" w:hAnsi="Calibri"/>
          <w:sz w:val="22"/>
          <w:szCs w:val="22"/>
          <w:lang w:val="en-US"/>
        </w:rPr>
        <w:t xml:space="preserve">sugar </w:t>
      </w:r>
      <w:r w:rsidR="00E92D7C" w:rsidRPr="00DC12AF">
        <w:rPr>
          <w:rFonts w:ascii="Calibri" w:eastAsia="Calibri" w:hAnsi="Calibri"/>
          <w:sz w:val="22"/>
          <w:szCs w:val="22"/>
          <w:lang w:val="en-US"/>
        </w:rPr>
        <w:t xml:space="preserve">wastewater (SW) </w:t>
      </w:r>
      <w:r w:rsidR="00DD4C4C" w:rsidRPr="00DC12AF">
        <w:rPr>
          <w:rFonts w:ascii="Calibri" w:eastAsia="Calibri" w:hAnsi="Calibri"/>
          <w:sz w:val="22"/>
          <w:szCs w:val="22"/>
          <w:lang w:val="en-US"/>
        </w:rPr>
        <w:t>and dairy</w:t>
      </w:r>
      <w:r w:rsidRPr="00DC12AF">
        <w:rPr>
          <w:rFonts w:ascii="Calibri" w:eastAsia="Calibri" w:hAnsi="Calibri"/>
          <w:sz w:val="22"/>
          <w:szCs w:val="22"/>
          <w:lang w:val="en-US"/>
        </w:rPr>
        <w:t xml:space="preserve"> wastewater</w:t>
      </w:r>
      <w:r w:rsidR="00E92D7C" w:rsidRPr="00DC12AF">
        <w:rPr>
          <w:rFonts w:ascii="Calibri" w:eastAsia="Calibri" w:hAnsi="Calibri"/>
          <w:sz w:val="22"/>
          <w:szCs w:val="22"/>
          <w:lang w:val="en-US"/>
        </w:rPr>
        <w:t xml:space="preserve"> (DW)</w:t>
      </w:r>
      <w:r w:rsidRPr="00DC12AF">
        <w:rPr>
          <w:rFonts w:ascii="Calibri" w:eastAsia="Calibri" w:hAnsi="Calibri"/>
          <w:sz w:val="22"/>
          <w:szCs w:val="22"/>
          <w:lang w:val="en-US"/>
        </w:rPr>
        <w:t xml:space="preserve">, while anaerobic digested sludge </w:t>
      </w:r>
      <w:r w:rsidR="00E92D7C" w:rsidRPr="00DC12AF">
        <w:rPr>
          <w:rFonts w:ascii="Calibri" w:eastAsia="Calibri" w:hAnsi="Calibri"/>
          <w:sz w:val="22"/>
          <w:szCs w:val="22"/>
          <w:lang w:val="en-US"/>
        </w:rPr>
        <w:t>from the municipal treatment plant was used as the inoculum</w:t>
      </w:r>
      <w:r w:rsidRPr="00DC12AF">
        <w:rPr>
          <w:rFonts w:ascii="Calibri" w:eastAsia="Calibri" w:hAnsi="Calibri"/>
          <w:sz w:val="22"/>
          <w:szCs w:val="22"/>
          <w:lang w:val="en-US"/>
        </w:rPr>
        <w:t>. Characterization of the substrates were done following the standard procedu</w:t>
      </w:r>
      <w:r w:rsidR="00C15718" w:rsidRPr="00DC12AF">
        <w:rPr>
          <w:rFonts w:ascii="Calibri" w:eastAsia="Calibri" w:hAnsi="Calibri"/>
          <w:sz w:val="22"/>
          <w:szCs w:val="22"/>
          <w:lang w:val="en-US"/>
        </w:rPr>
        <w:t xml:space="preserve">re for wastewater by APHA </w:t>
      </w:r>
      <w:r w:rsidR="00C15718" w:rsidRPr="00DC12AF">
        <w:rPr>
          <w:rFonts w:ascii="Calibri" w:eastAsia="Calibri" w:hAnsi="Calibri"/>
          <w:sz w:val="22"/>
          <w:szCs w:val="22"/>
          <w:lang w:val="en-US"/>
        </w:rPr>
        <w:fldChar w:fldCharType="begin"/>
      </w:r>
      <w:r w:rsidR="006638F3" w:rsidRPr="00DC12AF">
        <w:rPr>
          <w:rFonts w:ascii="Calibri" w:eastAsia="Calibri" w:hAnsi="Calibri"/>
          <w:sz w:val="22"/>
          <w:szCs w:val="22"/>
          <w:lang w:val="en-US"/>
        </w:rPr>
        <w:instrText xml:space="preserve"> ADDIN EN.CITE &lt;EndNote&gt;&lt;Cite&gt;&lt;Author&gt;APHA&lt;/Author&gt;&lt;Year&gt;2005&lt;/Year&gt;&lt;RecNum&gt;7&lt;/RecNum&gt;&lt;DisplayText&gt;[3]&lt;/DisplayText&gt;&lt;record&gt;&lt;rec-number&gt;7&lt;/rec-number&gt;&lt;foreign-keys&gt;&lt;key app="EN" db-id="0pzveeefp9s9x7e9pxsv5tpatz2ae5ta225p" timestamp="1524043995"&gt;7&lt;/key&gt;&lt;/foreign-keys&gt;&lt;ref-type name="Journal Article"&gt;17&lt;/ref-type&gt;&lt;contributors&gt;&lt;authors&gt;&lt;author&gt;APHA, American Public Health Association&lt;/author&gt;&lt;/authors&gt;&lt;/contributors&gt;&lt;titles&gt;&lt;title&gt;Water Environment Federation (APHA-AWWA-WEF). 2005&lt;/title&gt;&lt;secondary-title&gt;Standard Methods for the Examination of Water and Wastewater, 21st ed. Alexandria, Virginia: Water Environment Federation&lt;/secondary-title&gt;&lt;/titles&gt;&lt;dates&gt;&lt;year&gt;2005&lt;/year&gt;&lt;/dates&gt;&lt;urls&gt;&lt;/urls&gt;&lt;/record&gt;&lt;/Cite&gt;&lt;/EndNote&gt;</w:instrText>
      </w:r>
      <w:r w:rsidR="00C15718" w:rsidRPr="00DC12AF">
        <w:rPr>
          <w:rFonts w:ascii="Calibri" w:eastAsia="Calibri" w:hAnsi="Calibri"/>
          <w:sz w:val="22"/>
          <w:szCs w:val="22"/>
          <w:lang w:val="en-US"/>
        </w:rPr>
        <w:fldChar w:fldCharType="separate"/>
      </w:r>
      <w:r w:rsidR="006638F3" w:rsidRPr="00DC12AF">
        <w:rPr>
          <w:rFonts w:ascii="Calibri" w:eastAsia="Calibri" w:hAnsi="Calibri"/>
          <w:noProof/>
          <w:sz w:val="22"/>
          <w:szCs w:val="22"/>
          <w:lang w:val="en-US"/>
        </w:rPr>
        <w:t>[3]</w:t>
      </w:r>
      <w:r w:rsidR="00C15718" w:rsidRPr="00DC12AF">
        <w:rPr>
          <w:rFonts w:ascii="Calibri" w:eastAsia="Calibri" w:hAnsi="Calibri"/>
          <w:sz w:val="22"/>
          <w:szCs w:val="22"/>
          <w:lang w:val="en-US"/>
        </w:rPr>
        <w:fldChar w:fldCharType="end"/>
      </w:r>
      <w:r w:rsidRPr="00DC12AF">
        <w:rPr>
          <w:rFonts w:ascii="Calibri" w:eastAsia="Calibri" w:hAnsi="Calibri"/>
          <w:sz w:val="22"/>
          <w:szCs w:val="22"/>
          <w:lang w:val="en-US"/>
        </w:rPr>
        <w:t xml:space="preserve"> for </w:t>
      </w:r>
      <w:r w:rsidR="00B13B79" w:rsidRPr="00DC12AF">
        <w:rPr>
          <w:rFonts w:ascii="Calibri" w:eastAsia="Calibri" w:hAnsi="Calibri"/>
          <w:sz w:val="22"/>
          <w:szCs w:val="22"/>
          <w:lang w:val="en-US"/>
        </w:rPr>
        <w:t xml:space="preserve">total </w:t>
      </w:r>
      <w:r w:rsidRPr="00DC12AF">
        <w:rPr>
          <w:rFonts w:ascii="Calibri" w:eastAsia="Calibri" w:hAnsi="Calibri"/>
          <w:sz w:val="22"/>
          <w:szCs w:val="22"/>
          <w:lang w:val="en-US"/>
        </w:rPr>
        <w:t>solid (TS</w:t>
      </w:r>
      <w:r w:rsidR="00B13B79" w:rsidRPr="00DC12AF">
        <w:rPr>
          <w:rFonts w:ascii="Calibri" w:eastAsia="Calibri" w:hAnsi="Calibri"/>
          <w:sz w:val="22"/>
          <w:szCs w:val="22"/>
          <w:lang w:val="en-US"/>
        </w:rPr>
        <w:t>), volatile solid</w:t>
      </w:r>
      <w:r w:rsidRPr="00DC12AF">
        <w:rPr>
          <w:rFonts w:ascii="Calibri" w:eastAsia="Calibri" w:hAnsi="Calibri"/>
          <w:sz w:val="22"/>
          <w:szCs w:val="22"/>
          <w:lang w:val="en-US"/>
        </w:rPr>
        <w:t xml:space="preserve"> </w:t>
      </w:r>
      <w:r w:rsidR="00B13B79" w:rsidRPr="00DC12AF">
        <w:rPr>
          <w:rFonts w:ascii="Calibri" w:eastAsia="Calibri" w:hAnsi="Calibri"/>
          <w:sz w:val="22"/>
          <w:szCs w:val="22"/>
          <w:lang w:val="en-US"/>
        </w:rPr>
        <w:t>(</w:t>
      </w:r>
      <w:r w:rsidRPr="00DC12AF">
        <w:rPr>
          <w:rFonts w:ascii="Calibri" w:eastAsia="Calibri" w:hAnsi="Calibri"/>
          <w:sz w:val="22"/>
          <w:szCs w:val="22"/>
          <w:lang w:val="en-US"/>
        </w:rPr>
        <w:t xml:space="preserve">VS), </w:t>
      </w:r>
      <w:r w:rsidR="00B13B79" w:rsidRPr="00DC12AF">
        <w:rPr>
          <w:rFonts w:ascii="Calibri" w:eastAsia="Calibri" w:hAnsi="Calibri"/>
          <w:sz w:val="22"/>
          <w:szCs w:val="22"/>
          <w:lang w:val="en-US"/>
        </w:rPr>
        <w:t>chemical oxygen demand (</w:t>
      </w:r>
      <w:r w:rsidRPr="00DC12AF">
        <w:rPr>
          <w:rFonts w:ascii="Calibri" w:eastAsia="Calibri" w:hAnsi="Calibri"/>
          <w:sz w:val="22"/>
          <w:szCs w:val="22"/>
          <w:lang w:val="en-US"/>
        </w:rPr>
        <w:t>COD</w:t>
      </w:r>
      <w:r w:rsidR="00B13B79" w:rsidRPr="00DC12AF">
        <w:rPr>
          <w:rFonts w:ascii="Calibri" w:eastAsia="Calibri" w:hAnsi="Calibri"/>
          <w:sz w:val="22"/>
          <w:szCs w:val="22"/>
          <w:lang w:val="en-US"/>
        </w:rPr>
        <w:t>)</w:t>
      </w:r>
      <w:r w:rsidRPr="00DC12AF">
        <w:rPr>
          <w:rFonts w:ascii="Calibri" w:eastAsia="Calibri" w:hAnsi="Calibri"/>
          <w:sz w:val="22"/>
          <w:szCs w:val="22"/>
          <w:lang w:val="en-US"/>
        </w:rPr>
        <w:t xml:space="preserve">, mineral nutrients and </w:t>
      </w:r>
      <w:r w:rsidR="00883F7A" w:rsidRPr="00DC12AF">
        <w:rPr>
          <w:rFonts w:ascii="Calibri" w:eastAsia="Calibri" w:hAnsi="Calibri"/>
          <w:sz w:val="22"/>
          <w:szCs w:val="22"/>
          <w:lang w:val="en-US"/>
        </w:rPr>
        <w:t>volatile fatty acids (</w:t>
      </w:r>
      <w:r w:rsidRPr="00DC12AF">
        <w:rPr>
          <w:rFonts w:ascii="Calibri" w:eastAsia="Calibri" w:hAnsi="Calibri"/>
          <w:sz w:val="22"/>
          <w:szCs w:val="22"/>
          <w:lang w:val="en-US"/>
        </w:rPr>
        <w:t>VFAs</w:t>
      </w:r>
      <w:r w:rsidR="00883F7A" w:rsidRPr="00DC12AF">
        <w:rPr>
          <w:rFonts w:ascii="Calibri" w:eastAsia="Calibri" w:hAnsi="Calibri"/>
          <w:sz w:val="22"/>
          <w:szCs w:val="22"/>
          <w:lang w:val="en-US"/>
        </w:rPr>
        <w:t>)</w:t>
      </w:r>
      <w:r w:rsidRPr="00DC12AF">
        <w:rPr>
          <w:rFonts w:ascii="Calibri" w:eastAsia="Calibri" w:hAnsi="Calibri"/>
          <w:sz w:val="22"/>
          <w:szCs w:val="22"/>
          <w:lang w:val="en-US"/>
        </w:rPr>
        <w:t xml:space="preserve"> in duplicate. </w:t>
      </w:r>
    </w:p>
    <w:p w14:paraId="06E362F5" w14:textId="77777777" w:rsidR="00EB037F" w:rsidRPr="00DC12AF" w:rsidRDefault="00EB037F" w:rsidP="006371FA">
      <w:pPr>
        <w:tabs>
          <w:tab w:val="clear" w:pos="7100"/>
        </w:tabs>
        <w:spacing w:after="160" w:line="259" w:lineRule="auto"/>
        <w:rPr>
          <w:rFonts w:ascii="Calibri" w:eastAsia="Calibri" w:hAnsi="Calibri"/>
          <w:sz w:val="22"/>
          <w:szCs w:val="22"/>
          <w:lang w:val="en-US"/>
        </w:rPr>
      </w:pPr>
      <w:r w:rsidRPr="00DC12AF">
        <w:rPr>
          <w:rFonts w:ascii="Calibri" w:eastAsia="Calibri" w:hAnsi="Calibri"/>
          <w:sz w:val="22"/>
          <w:szCs w:val="22"/>
          <w:lang w:val="en-US"/>
        </w:rPr>
        <w:t>In order to achieve a good dilution, the ratio of wastewater to sludge used was 3:2 base on volume while the inoculum to substrate (ISR) ratio</w:t>
      </w:r>
      <w:r w:rsidR="00883F7A" w:rsidRPr="00DC12AF">
        <w:rPr>
          <w:rFonts w:ascii="Calibri" w:eastAsia="Calibri" w:hAnsi="Calibri"/>
          <w:sz w:val="22"/>
          <w:szCs w:val="22"/>
          <w:lang w:val="en-US"/>
        </w:rPr>
        <w:t>s</w:t>
      </w:r>
      <w:r w:rsidRPr="00DC12AF">
        <w:rPr>
          <w:rFonts w:ascii="Calibri" w:eastAsia="Calibri" w:hAnsi="Calibri"/>
          <w:sz w:val="22"/>
          <w:szCs w:val="22"/>
          <w:lang w:val="en-US"/>
        </w:rPr>
        <w:t xml:space="preserve"> were varied at 1:2, 1:1 and 2:1. The digestion process was run </w:t>
      </w:r>
      <w:r w:rsidR="00017D1A" w:rsidRPr="00DC12AF">
        <w:rPr>
          <w:rFonts w:ascii="Calibri" w:eastAsia="Calibri" w:hAnsi="Calibri"/>
          <w:sz w:val="22"/>
          <w:szCs w:val="22"/>
          <w:lang w:val="en-US"/>
        </w:rPr>
        <w:t xml:space="preserve">at </w:t>
      </w:r>
      <w:r w:rsidR="006371FA">
        <w:rPr>
          <w:rFonts w:ascii="Calibri" w:eastAsia="Calibri" w:hAnsi="Calibri"/>
          <w:sz w:val="22"/>
          <w:szCs w:val="22"/>
          <w:lang w:val="en-US"/>
        </w:rPr>
        <w:t xml:space="preserve">25 and </w:t>
      </w:r>
      <w:r w:rsidR="00017D1A" w:rsidRPr="00DC12AF">
        <w:rPr>
          <w:rFonts w:ascii="Calibri" w:eastAsia="Calibri" w:hAnsi="Calibri"/>
          <w:sz w:val="22"/>
          <w:szCs w:val="22"/>
          <w:lang w:val="en-US"/>
        </w:rPr>
        <w:t>35</w:t>
      </w:r>
      <w:r w:rsidR="00017D1A" w:rsidRPr="00DC12AF">
        <w:rPr>
          <w:rFonts w:ascii="Calibri" w:eastAsia="Calibri" w:hAnsi="Calibri"/>
          <w:sz w:val="22"/>
          <w:szCs w:val="22"/>
          <w:vertAlign w:val="superscript"/>
          <w:lang w:val="en-US"/>
        </w:rPr>
        <w:t>o</w:t>
      </w:r>
      <w:r w:rsidR="00017D1A" w:rsidRPr="00DC12AF">
        <w:rPr>
          <w:rFonts w:ascii="Calibri" w:eastAsia="Calibri" w:hAnsi="Calibri"/>
          <w:sz w:val="22"/>
          <w:szCs w:val="22"/>
          <w:lang w:val="en-US"/>
        </w:rPr>
        <w:t xml:space="preserve">C and </w:t>
      </w:r>
      <w:r w:rsidRPr="00DC12AF">
        <w:rPr>
          <w:rFonts w:ascii="Calibri" w:eastAsia="Calibri" w:hAnsi="Calibri"/>
          <w:sz w:val="22"/>
          <w:szCs w:val="22"/>
          <w:lang w:val="en-US"/>
        </w:rPr>
        <w:t>as semi-batch</w:t>
      </w:r>
      <w:r w:rsidR="00017D1A" w:rsidRPr="00DC12AF">
        <w:rPr>
          <w:rFonts w:ascii="Calibri" w:eastAsia="Calibri" w:hAnsi="Calibri"/>
          <w:sz w:val="22"/>
          <w:szCs w:val="22"/>
          <w:lang w:val="en-US"/>
        </w:rPr>
        <w:t xml:space="preserve"> </w:t>
      </w:r>
      <w:r w:rsidRPr="00DC12AF">
        <w:rPr>
          <w:rFonts w:ascii="Calibri" w:eastAsia="Calibri" w:hAnsi="Calibri"/>
          <w:sz w:val="22"/>
          <w:szCs w:val="22"/>
          <w:lang w:val="en-US"/>
        </w:rPr>
        <w:t xml:space="preserve">so as to accommodate for weekly analysis of the digestion assays for pH, solids and COD. </w:t>
      </w:r>
    </w:p>
    <w:p w14:paraId="5C57FE69" w14:textId="77777777" w:rsidR="00EB037F" w:rsidRPr="00DC12AF" w:rsidRDefault="00883F7A" w:rsidP="006371FA">
      <w:pPr>
        <w:tabs>
          <w:tab w:val="clear" w:pos="7100"/>
        </w:tabs>
        <w:spacing w:after="160" w:line="259" w:lineRule="auto"/>
        <w:rPr>
          <w:rFonts w:ascii="Calibri" w:eastAsia="Calibri" w:hAnsi="Calibri"/>
          <w:sz w:val="22"/>
          <w:szCs w:val="22"/>
          <w:lang w:val="en-US"/>
        </w:rPr>
      </w:pPr>
      <w:r w:rsidRPr="00DC12AF">
        <w:rPr>
          <w:rFonts w:ascii="Calibri" w:eastAsia="Calibri" w:hAnsi="Calibri"/>
          <w:sz w:val="22"/>
          <w:szCs w:val="22"/>
          <w:lang w:val="en-US"/>
        </w:rPr>
        <w:t>Gas analyse</w:t>
      </w:r>
      <w:r w:rsidR="00EB037F" w:rsidRPr="00DC12AF">
        <w:rPr>
          <w:rFonts w:ascii="Calibri" w:eastAsia="Calibri" w:hAnsi="Calibri"/>
          <w:sz w:val="22"/>
          <w:szCs w:val="22"/>
          <w:lang w:val="en-US"/>
        </w:rPr>
        <w:t>s w</w:t>
      </w:r>
      <w:r w:rsidRPr="00DC12AF">
        <w:rPr>
          <w:rFonts w:ascii="Calibri" w:eastAsia="Calibri" w:hAnsi="Calibri"/>
          <w:sz w:val="22"/>
          <w:szCs w:val="22"/>
          <w:lang w:val="en-US"/>
        </w:rPr>
        <w:t>ere carried out every 2 – 3 days</w:t>
      </w:r>
      <w:r w:rsidR="00EB037F" w:rsidRPr="00DC12AF">
        <w:rPr>
          <w:rFonts w:ascii="Calibri" w:eastAsia="Calibri" w:hAnsi="Calibri"/>
          <w:sz w:val="22"/>
          <w:szCs w:val="22"/>
          <w:lang w:val="en-US"/>
        </w:rPr>
        <w:t xml:space="preserve"> to determine the compositio</w:t>
      </w:r>
      <w:r w:rsidRPr="00DC12AF">
        <w:rPr>
          <w:rFonts w:ascii="Calibri" w:eastAsia="Calibri" w:hAnsi="Calibri"/>
          <w:sz w:val="22"/>
          <w:szCs w:val="22"/>
          <w:lang w:val="en-US"/>
        </w:rPr>
        <w:t>n of the biogas produced using g</w:t>
      </w:r>
      <w:r w:rsidR="00EB037F" w:rsidRPr="00DC12AF">
        <w:rPr>
          <w:rFonts w:ascii="Calibri" w:eastAsia="Calibri" w:hAnsi="Calibri"/>
          <w:sz w:val="22"/>
          <w:szCs w:val="22"/>
          <w:lang w:val="en-US"/>
        </w:rPr>
        <w:t>as chromatography. Bioreactors</w:t>
      </w:r>
      <w:r w:rsidRPr="00DC12AF">
        <w:rPr>
          <w:rFonts w:ascii="Calibri" w:eastAsia="Calibri" w:hAnsi="Calibri"/>
          <w:sz w:val="22"/>
          <w:szCs w:val="22"/>
          <w:lang w:val="en-US"/>
        </w:rPr>
        <w:t xml:space="preserve"> with a working volume of 5L were</w:t>
      </w:r>
      <w:r w:rsidR="00EB037F" w:rsidRPr="00DC12AF">
        <w:rPr>
          <w:rFonts w:ascii="Calibri" w:eastAsia="Calibri" w:hAnsi="Calibri"/>
          <w:sz w:val="22"/>
          <w:szCs w:val="22"/>
          <w:lang w:val="en-US"/>
        </w:rPr>
        <w:t xml:space="preserve"> used for the digestio</w:t>
      </w:r>
      <w:r w:rsidRPr="00DC12AF">
        <w:rPr>
          <w:rFonts w:ascii="Calibri" w:eastAsia="Calibri" w:hAnsi="Calibri"/>
          <w:sz w:val="22"/>
          <w:szCs w:val="22"/>
          <w:lang w:val="en-US"/>
        </w:rPr>
        <w:t>n process. T</w:t>
      </w:r>
      <w:r w:rsidR="00EB037F" w:rsidRPr="00DC12AF">
        <w:rPr>
          <w:rFonts w:ascii="Calibri" w:eastAsia="Calibri" w:hAnsi="Calibri"/>
          <w:sz w:val="22"/>
          <w:szCs w:val="22"/>
          <w:lang w:val="en-US"/>
        </w:rPr>
        <w:t>wo set</w:t>
      </w:r>
      <w:r w:rsidRPr="00DC12AF">
        <w:rPr>
          <w:rFonts w:ascii="Calibri" w:eastAsia="Calibri" w:hAnsi="Calibri"/>
          <w:sz w:val="22"/>
          <w:szCs w:val="22"/>
          <w:lang w:val="en-US"/>
        </w:rPr>
        <w:t>s</w:t>
      </w:r>
      <w:r w:rsidR="00EB037F" w:rsidRPr="00DC12AF">
        <w:rPr>
          <w:rFonts w:ascii="Calibri" w:eastAsia="Calibri" w:hAnsi="Calibri"/>
          <w:sz w:val="22"/>
          <w:szCs w:val="22"/>
          <w:lang w:val="en-US"/>
        </w:rPr>
        <w:t xml:space="preserve"> of bioreactors contain varying organic loading were set up in duplicate with a control. </w:t>
      </w:r>
    </w:p>
    <w:p w14:paraId="36C7DED5" w14:textId="77777777" w:rsidR="006638F3" w:rsidRPr="00DC12AF" w:rsidRDefault="006638F3" w:rsidP="00EB037F">
      <w:pPr>
        <w:tabs>
          <w:tab w:val="clear" w:pos="7100"/>
        </w:tabs>
        <w:spacing w:after="160" w:line="259" w:lineRule="auto"/>
        <w:jc w:val="left"/>
        <w:rPr>
          <w:rFonts w:ascii="Calibri" w:eastAsia="Calibri" w:hAnsi="Calibri"/>
          <w:sz w:val="22"/>
          <w:szCs w:val="22"/>
          <w:lang w:val="en-US"/>
        </w:rPr>
      </w:pPr>
    </w:p>
    <w:p w14:paraId="2CBC5F4E" w14:textId="77777777" w:rsidR="00704BDF" w:rsidRPr="00DC12AF" w:rsidRDefault="00704BDF" w:rsidP="00704BDF">
      <w:pPr>
        <w:snapToGrid w:val="0"/>
        <w:spacing w:before="240" w:line="300" w:lineRule="auto"/>
        <w:rPr>
          <w:rFonts w:asciiTheme="minorHAnsi" w:eastAsia="MS PGothic" w:hAnsiTheme="minorHAnsi"/>
          <w:sz w:val="22"/>
          <w:szCs w:val="22"/>
          <w:lang w:val="en-US"/>
        </w:rPr>
      </w:pPr>
      <w:r w:rsidRPr="00DC12AF">
        <w:rPr>
          <w:rFonts w:asciiTheme="minorHAnsi" w:eastAsia="MS PGothic" w:hAnsiTheme="minorHAnsi"/>
          <w:b/>
          <w:bCs/>
          <w:sz w:val="22"/>
          <w:szCs w:val="22"/>
          <w:lang w:val="en-US"/>
        </w:rPr>
        <w:lastRenderedPageBreak/>
        <w:t>3. Results and discussion</w:t>
      </w:r>
    </w:p>
    <w:p w14:paraId="51A10994" w14:textId="77777777" w:rsidR="00704BDF" w:rsidRPr="00DC12AF" w:rsidRDefault="00CB60DC" w:rsidP="006371FA">
      <w:pPr>
        <w:snapToGrid w:val="0"/>
        <w:spacing w:after="120"/>
        <w:rPr>
          <w:rFonts w:asciiTheme="minorHAnsi" w:eastAsia="MS PGothic" w:hAnsiTheme="minorHAnsi"/>
          <w:sz w:val="22"/>
          <w:szCs w:val="22"/>
          <w:lang w:val="en-US"/>
        </w:rPr>
      </w:pPr>
      <w:r w:rsidRPr="00DC12AF">
        <w:rPr>
          <w:rFonts w:asciiTheme="minorHAnsi" w:eastAsia="MS PGothic" w:hAnsiTheme="minorHAnsi"/>
          <w:sz w:val="22"/>
          <w:szCs w:val="22"/>
          <w:lang w:val="en-US"/>
        </w:rPr>
        <w:t xml:space="preserve">Characterization result </w:t>
      </w:r>
      <w:r w:rsidR="00883F7A" w:rsidRPr="00DC12AF">
        <w:rPr>
          <w:rFonts w:asciiTheme="minorHAnsi" w:eastAsia="MS PGothic" w:hAnsiTheme="minorHAnsi"/>
          <w:sz w:val="22"/>
          <w:szCs w:val="22"/>
          <w:lang w:val="en-US"/>
        </w:rPr>
        <w:t>indicate</w:t>
      </w:r>
      <w:r w:rsidR="00DD4C4C" w:rsidRPr="00DC12AF">
        <w:rPr>
          <w:rFonts w:asciiTheme="minorHAnsi" w:eastAsia="MS PGothic" w:hAnsiTheme="minorHAnsi"/>
          <w:sz w:val="22"/>
          <w:szCs w:val="22"/>
          <w:lang w:val="en-US"/>
        </w:rPr>
        <w:t xml:space="preserve"> that th</w:t>
      </w:r>
      <w:r w:rsidR="00883F7A" w:rsidRPr="00DC12AF">
        <w:rPr>
          <w:rFonts w:asciiTheme="minorHAnsi" w:eastAsia="MS PGothic" w:hAnsiTheme="minorHAnsi"/>
          <w:sz w:val="22"/>
          <w:szCs w:val="22"/>
          <w:lang w:val="en-US"/>
        </w:rPr>
        <w:t>e industrial</w:t>
      </w:r>
      <w:r w:rsidR="00D44438" w:rsidRPr="00DC12AF">
        <w:rPr>
          <w:rFonts w:asciiTheme="minorHAnsi" w:eastAsia="MS PGothic" w:hAnsiTheme="minorHAnsi"/>
          <w:sz w:val="22"/>
          <w:szCs w:val="22"/>
          <w:lang w:val="en-US"/>
        </w:rPr>
        <w:t xml:space="preserve"> wastewater</w:t>
      </w:r>
      <w:r w:rsidR="00883F7A" w:rsidRPr="00DC12AF">
        <w:rPr>
          <w:rFonts w:asciiTheme="minorHAnsi" w:eastAsia="MS PGothic" w:hAnsiTheme="minorHAnsi"/>
          <w:sz w:val="22"/>
          <w:szCs w:val="22"/>
          <w:lang w:val="en-US"/>
        </w:rPr>
        <w:t>s</w:t>
      </w:r>
      <w:r w:rsidR="00D44438" w:rsidRPr="00DC12AF">
        <w:rPr>
          <w:rFonts w:asciiTheme="minorHAnsi" w:eastAsia="MS PGothic" w:hAnsiTheme="minorHAnsi"/>
          <w:sz w:val="22"/>
          <w:szCs w:val="22"/>
          <w:lang w:val="en-US"/>
        </w:rPr>
        <w:t xml:space="preserve"> have high COD, VS and substantial minerals for improve microbial activity.</w:t>
      </w:r>
      <w:r w:rsidR="00DD4C4C" w:rsidRPr="00DC12AF">
        <w:rPr>
          <w:rFonts w:asciiTheme="minorHAnsi" w:eastAsia="MS PGothic" w:hAnsiTheme="minorHAnsi"/>
          <w:sz w:val="22"/>
          <w:szCs w:val="22"/>
          <w:lang w:val="en-US"/>
        </w:rPr>
        <w:t xml:space="preserve">  </w:t>
      </w:r>
      <w:r w:rsidR="00447A5F" w:rsidRPr="00DC12AF">
        <w:rPr>
          <w:rFonts w:asciiTheme="minorHAnsi" w:eastAsia="MS PGothic" w:hAnsiTheme="minorHAnsi"/>
          <w:sz w:val="22"/>
          <w:szCs w:val="22"/>
          <w:lang w:val="en-US"/>
        </w:rPr>
        <w:t xml:space="preserve">The </w:t>
      </w:r>
      <w:r w:rsidR="00F51C57" w:rsidRPr="00DC12AF">
        <w:rPr>
          <w:rFonts w:asciiTheme="minorHAnsi" w:eastAsia="MS PGothic" w:hAnsiTheme="minorHAnsi"/>
          <w:sz w:val="22"/>
          <w:szCs w:val="22"/>
          <w:lang w:val="en-US"/>
        </w:rPr>
        <w:t>pH, VS, COD</w:t>
      </w:r>
      <w:r w:rsidR="00447A5F" w:rsidRPr="00DC12AF">
        <w:rPr>
          <w:rFonts w:asciiTheme="minorHAnsi" w:eastAsia="MS PGothic" w:hAnsiTheme="minorHAnsi"/>
          <w:sz w:val="22"/>
          <w:szCs w:val="22"/>
          <w:lang w:val="en-US"/>
        </w:rPr>
        <w:t xml:space="preserve"> and ammonium content of </w:t>
      </w:r>
      <w:r w:rsidR="000A6AD9" w:rsidRPr="00DC12AF">
        <w:rPr>
          <w:rFonts w:asciiTheme="minorHAnsi" w:eastAsia="MS PGothic" w:hAnsiTheme="minorHAnsi"/>
          <w:sz w:val="22"/>
          <w:szCs w:val="22"/>
          <w:lang w:val="en-US"/>
        </w:rPr>
        <w:t>SW were</w:t>
      </w:r>
      <w:r w:rsidR="00447A5F" w:rsidRPr="00DC12AF">
        <w:rPr>
          <w:rFonts w:asciiTheme="minorHAnsi" w:eastAsia="MS PGothic" w:hAnsiTheme="minorHAnsi"/>
          <w:sz w:val="22"/>
          <w:szCs w:val="22"/>
          <w:lang w:val="en-US"/>
        </w:rPr>
        <w:t xml:space="preserve"> 6.30, 75.6 (%TS), 1778mgL</w:t>
      </w:r>
      <w:r w:rsidR="00447A5F" w:rsidRPr="00DC12AF">
        <w:rPr>
          <w:rFonts w:asciiTheme="minorHAnsi" w:eastAsia="MS PGothic" w:hAnsiTheme="minorHAnsi"/>
          <w:sz w:val="22"/>
          <w:szCs w:val="22"/>
          <w:vertAlign w:val="superscript"/>
          <w:lang w:val="en-US"/>
        </w:rPr>
        <w:t>-1</w:t>
      </w:r>
      <w:r w:rsidR="00447A5F" w:rsidRPr="00DC12AF">
        <w:rPr>
          <w:rFonts w:asciiTheme="minorHAnsi" w:eastAsia="MS PGothic" w:hAnsiTheme="minorHAnsi"/>
          <w:sz w:val="22"/>
          <w:szCs w:val="22"/>
          <w:lang w:val="en-US"/>
        </w:rPr>
        <w:t>, 0.59 and 0.39</w:t>
      </w:r>
      <w:r w:rsidR="00F51C57" w:rsidRPr="00DC12AF">
        <w:rPr>
          <w:rFonts w:asciiTheme="minorHAnsi" w:eastAsia="MS PGothic" w:hAnsiTheme="minorHAnsi"/>
          <w:sz w:val="22"/>
          <w:szCs w:val="22"/>
          <w:lang w:val="en-US"/>
        </w:rPr>
        <w:t>,</w:t>
      </w:r>
      <w:r w:rsidR="00447A5F" w:rsidRPr="00DC12AF">
        <w:rPr>
          <w:rFonts w:asciiTheme="minorHAnsi" w:eastAsia="MS PGothic" w:hAnsiTheme="minorHAnsi"/>
          <w:sz w:val="22"/>
          <w:szCs w:val="22"/>
          <w:lang w:val="en-US"/>
        </w:rPr>
        <w:t xml:space="preserve"> </w:t>
      </w:r>
      <w:r w:rsidR="000A6AD9" w:rsidRPr="00DC12AF">
        <w:rPr>
          <w:rFonts w:asciiTheme="minorHAnsi" w:eastAsia="MS PGothic" w:hAnsiTheme="minorHAnsi"/>
          <w:sz w:val="22"/>
          <w:szCs w:val="22"/>
          <w:lang w:val="en-US"/>
        </w:rPr>
        <w:t>respectively while that of DW</w:t>
      </w:r>
      <w:r w:rsidR="00447A5F" w:rsidRPr="00DC12AF">
        <w:rPr>
          <w:rFonts w:asciiTheme="minorHAnsi" w:eastAsia="MS PGothic" w:hAnsiTheme="minorHAnsi"/>
          <w:sz w:val="22"/>
          <w:szCs w:val="22"/>
          <w:lang w:val="en-US"/>
        </w:rPr>
        <w:t xml:space="preserve"> wa</w:t>
      </w:r>
      <w:r w:rsidR="000A6AD9" w:rsidRPr="00DC12AF">
        <w:rPr>
          <w:rFonts w:asciiTheme="minorHAnsi" w:eastAsia="MS PGothic" w:hAnsiTheme="minorHAnsi"/>
          <w:sz w:val="22"/>
          <w:szCs w:val="22"/>
          <w:lang w:val="en-US"/>
        </w:rPr>
        <w:t>s</w:t>
      </w:r>
      <w:r w:rsidR="00447A5F" w:rsidRPr="00DC12AF">
        <w:rPr>
          <w:rFonts w:asciiTheme="minorHAnsi" w:eastAsia="MS PGothic" w:hAnsiTheme="minorHAnsi"/>
          <w:sz w:val="22"/>
          <w:szCs w:val="22"/>
          <w:lang w:val="en-US"/>
        </w:rPr>
        <w:t xml:space="preserve"> 9.10, 86.4 (%TS), 3012.5mgL</w:t>
      </w:r>
      <w:r w:rsidR="00447A5F" w:rsidRPr="00DC12AF">
        <w:rPr>
          <w:rFonts w:asciiTheme="minorHAnsi" w:eastAsia="MS PGothic" w:hAnsiTheme="minorHAnsi"/>
          <w:sz w:val="22"/>
          <w:szCs w:val="22"/>
          <w:vertAlign w:val="superscript"/>
          <w:lang w:val="en-US"/>
        </w:rPr>
        <w:t>-1</w:t>
      </w:r>
      <w:r w:rsidR="00447A5F" w:rsidRPr="00DC12AF">
        <w:rPr>
          <w:rFonts w:asciiTheme="minorHAnsi" w:eastAsia="MS PGothic" w:hAnsiTheme="minorHAnsi"/>
          <w:sz w:val="22"/>
          <w:szCs w:val="22"/>
          <w:lang w:val="en-US"/>
        </w:rPr>
        <w:t xml:space="preserve">, 0.38 and 0.71 respectively. </w:t>
      </w:r>
    </w:p>
    <w:p w14:paraId="29F94F3B" w14:textId="77777777" w:rsidR="007D7805" w:rsidRPr="00DC12AF" w:rsidRDefault="007D7805" w:rsidP="006371FA">
      <w:pPr>
        <w:snapToGrid w:val="0"/>
        <w:spacing w:after="120"/>
        <w:rPr>
          <w:rFonts w:asciiTheme="minorHAnsi" w:eastAsia="MS PGothic" w:hAnsiTheme="minorHAnsi"/>
          <w:sz w:val="22"/>
          <w:szCs w:val="22"/>
          <w:lang w:val="en-US"/>
        </w:rPr>
      </w:pPr>
      <w:r w:rsidRPr="00DC12AF">
        <w:rPr>
          <w:rFonts w:asciiTheme="minorHAnsi" w:eastAsia="MS PGothic" w:hAnsiTheme="minorHAnsi"/>
          <w:sz w:val="22"/>
          <w:szCs w:val="22"/>
          <w:lang w:val="en-US"/>
        </w:rPr>
        <w:t>Figure 1 shows the preliminary yield of biomethane on a daily basis</w:t>
      </w:r>
      <w:r w:rsidR="00017D1A" w:rsidRPr="00DC12AF">
        <w:rPr>
          <w:rFonts w:asciiTheme="minorHAnsi" w:eastAsia="MS PGothic" w:hAnsiTheme="minorHAnsi"/>
          <w:sz w:val="22"/>
          <w:szCs w:val="22"/>
          <w:lang w:val="en-US"/>
        </w:rPr>
        <w:t xml:space="preserve"> from each assay</w:t>
      </w:r>
      <w:r w:rsidR="00F51C57" w:rsidRPr="00DC12AF">
        <w:rPr>
          <w:rFonts w:asciiTheme="minorHAnsi" w:eastAsia="MS PGothic" w:hAnsiTheme="minorHAnsi"/>
          <w:sz w:val="22"/>
          <w:szCs w:val="22"/>
          <w:lang w:val="en-US"/>
        </w:rPr>
        <w:t xml:space="preserve">. The </w:t>
      </w:r>
      <w:r w:rsidRPr="00DC12AF">
        <w:rPr>
          <w:rFonts w:asciiTheme="minorHAnsi" w:eastAsia="MS PGothic" w:hAnsiTheme="minorHAnsi"/>
          <w:sz w:val="22"/>
          <w:szCs w:val="22"/>
          <w:lang w:val="en-US"/>
        </w:rPr>
        <w:t>result</w:t>
      </w:r>
      <w:r w:rsidR="00F51C57" w:rsidRPr="00DC12AF">
        <w:rPr>
          <w:rFonts w:asciiTheme="minorHAnsi" w:eastAsia="MS PGothic" w:hAnsiTheme="minorHAnsi"/>
          <w:sz w:val="22"/>
          <w:szCs w:val="22"/>
          <w:lang w:val="en-US"/>
        </w:rPr>
        <w:t>s reveal</w:t>
      </w:r>
      <w:r w:rsidR="00017D1A" w:rsidRPr="00DC12AF">
        <w:rPr>
          <w:rFonts w:asciiTheme="minorHAnsi" w:eastAsia="MS PGothic" w:hAnsiTheme="minorHAnsi"/>
          <w:sz w:val="22"/>
          <w:szCs w:val="22"/>
          <w:lang w:val="en-US"/>
        </w:rPr>
        <w:t xml:space="preserve"> that </w:t>
      </w:r>
      <w:r w:rsidR="00F51C57" w:rsidRPr="00DC12AF">
        <w:rPr>
          <w:rFonts w:asciiTheme="minorHAnsi" w:eastAsia="MS PGothic" w:hAnsiTheme="minorHAnsi"/>
          <w:sz w:val="22"/>
          <w:szCs w:val="22"/>
          <w:lang w:val="en-US"/>
        </w:rPr>
        <w:t xml:space="preserve">the </w:t>
      </w:r>
      <w:r w:rsidR="00017D1A" w:rsidRPr="00DC12AF">
        <w:rPr>
          <w:rFonts w:asciiTheme="minorHAnsi" w:eastAsia="MS PGothic" w:hAnsiTheme="minorHAnsi"/>
          <w:sz w:val="22"/>
          <w:szCs w:val="22"/>
          <w:lang w:val="en-US"/>
        </w:rPr>
        <w:t xml:space="preserve">maximum production was obtained within the first 20 days of the </w:t>
      </w:r>
      <w:r w:rsidR="00F51C57" w:rsidRPr="00DC12AF">
        <w:rPr>
          <w:rFonts w:asciiTheme="minorHAnsi" w:eastAsia="MS PGothic" w:hAnsiTheme="minorHAnsi"/>
          <w:sz w:val="22"/>
          <w:szCs w:val="22"/>
          <w:lang w:val="en-US"/>
        </w:rPr>
        <w:t xml:space="preserve">digestion </w:t>
      </w:r>
      <w:r w:rsidR="00017D1A" w:rsidRPr="00DC12AF">
        <w:rPr>
          <w:rFonts w:asciiTheme="minorHAnsi" w:eastAsia="MS PGothic" w:hAnsiTheme="minorHAnsi"/>
          <w:sz w:val="22"/>
          <w:szCs w:val="22"/>
          <w:lang w:val="en-US"/>
        </w:rPr>
        <w:t xml:space="preserve">process and </w:t>
      </w:r>
      <w:r w:rsidR="00F51C57" w:rsidRPr="00DC12AF">
        <w:rPr>
          <w:rFonts w:asciiTheme="minorHAnsi" w:eastAsia="MS PGothic" w:hAnsiTheme="minorHAnsi"/>
          <w:sz w:val="22"/>
          <w:szCs w:val="22"/>
          <w:lang w:val="en-US"/>
        </w:rPr>
        <w:t xml:space="preserve">that the </w:t>
      </w:r>
      <w:r w:rsidR="00017D1A" w:rsidRPr="00DC12AF">
        <w:rPr>
          <w:rFonts w:asciiTheme="minorHAnsi" w:eastAsia="MS PGothic" w:hAnsiTheme="minorHAnsi"/>
          <w:sz w:val="22"/>
          <w:szCs w:val="22"/>
          <w:lang w:val="en-US"/>
        </w:rPr>
        <w:t xml:space="preserve">sugar wastewater has the highest methane content of 73% as compared to 70% </w:t>
      </w:r>
      <w:r w:rsidR="00F51C57" w:rsidRPr="00DC12AF">
        <w:rPr>
          <w:rFonts w:asciiTheme="minorHAnsi" w:eastAsia="MS PGothic" w:hAnsiTheme="minorHAnsi"/>
          <w:sz w:val="22"/>
          <w:szCs w:val="22"/>
          <w:lang w:val="en-US"/>
        </w:rPr>
        <w:t xml:space="preserve"> </w:t>
      </w:r>
      <w:r w:rsidR="00017D1A" w:rsidRPr="00DC12AF">
        <w:rPr>
          <w:rFonts w:asciiTheme="minorHAnsi" w:eastAsia="MS PGothic" w:hAnsiTheme="minorHAnsi"/>
          <w:sz w:val="22"/>
          <w:szCs w:val="22"/>
          <w:lang w:val="en-US"/>
        </w:rPr>
        <w:t xml:space="preserve">for </w:t>
      </w:r>
      <w:r w:rsidR="00F51C57" w:rsidRPr="00DC12AF">
        <w:rPr>
          <w:rFonts w:asciiTheme="minorHAnsi" w:eastAsia="MS PGothic" w:hAnsiTheme="minorHAnsi"/>
          <w:sz w:val="22"/>
          <w:szCs w:val="22"/>
          <w:lang w:val="en-US"/>
        </w:rPr>
        <w:t xml:space="preserve">the </w:t>
      </w:r>
      <w:r w:rsidR="00017D1A" w:rsidRPr="00DC12AF">
        <w:rPr>
          <w:rFonts w:asciiTheme="minorHAnsi" w:eastAsia="MS PGothic" w:hAnsiTheme="minorHAnsi"/>
          <w:sz w:val="22"/>
          <w:szCs w:val="22"/>
          <w:lang w:val="en-US"/>
        </w:rPr>
        <w:t>dairy and</w:t>
      </w:r>
      <w:r w:rsidR="00F51C57" w:rsidRPr="00DC12AF">
        <w:rPr>
          <w:rFonts w:asciiTheme="minorHAnsi" w:eastAsia="MS PGothic" w:hAnsiTheme="minorHAnsi"/>
          <w:sz w:val="22"/>
          <w:szCs w:val="22"/>
          <w:lang w:val="en-US"/>
        </w:rPr>
        <w:t xml:space="preserve"> 65% for sludge.</w:t>
      </w:r>
      <w:r w:rsidR="00017D1A" w:rsidRPr="00DC12AF">
        <w:rPr>
          <w:rFonts w:asciiTheme="minorHAnsi" w:eastAsia="MS PGothic" w:hAnsiTheme="minorHAnsi"/>
          <w:sz w:val="22"/>
          <w:szCs w:val="22"/>
          <w:lang w:val="en-US"/>
        </w:rPr>
        <w:t xml:space="preserve"> </w:t>
      </w:r>
    </w:p>
    <w:p w14:paraId="5C614374" w14:textId="77777777" w:rsidR="00704BDF" w:rsidRPr="00DC12AF" w:rsidRDefault="006A792A" w:rsidP="00704BDF">
      <w:pPr>
        <w:snapToGrid w:val="0"/>
        <w:spacing w:after="120"/>
        <w:jc w:val="center"/>
        <w:rPr>
          <w:rFonts w:asciiTheme="minorHAnsi" w:eastAsia="MS PGothic" w:hAnsiTheme="minorHAnsi"/>
        </w:rPr>
      </w:pPr>
      <w:r w:rsidRPr="00DC12AF">
        <w:rPr>
          <w:noProof/>
          <w:lang w:val="en-ZA" w:eastAsia="en-ZA"/>
        </w:rPr>
        <w:drawing>
          <wp:inline distT="0" distB="0" distL="0" distR="0" wp14:anchorId="4AEE6C84" wp14:editId="37C5E510">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A659BC0" w14:textId="77777777" w:rsidR="00704BDF" w:rsidRPr="00DC12AF" w:rsidRDefault="00CB60DC" w:rsidP="00704BDF">
      <w:pPr>
        <w:snapToGrid w:val="0"/>
        <w:spacing w:after="120"/>
        <w:jc w:val="center"/>
        <w:rPr>
          <w:rFonts w:asciiTheme="minorHAnsi" w:eastAsia="MS PGothic" w:hAnsiTheme="minorHAnsi"/>
          <w:szCs w:val="18"/>
          <w:lang w:val="en-US"/>
        </w:rPr>
      </w:pPr>
      <w:r w:rsidRPr="00DC12AF">
        <w:rPr>
          <w:rFonts w:asciiTheme="minorHAnsi" w:eastAsia="MS PGothic" w:hAnsiTheme="minorHAnsi"/>
          <w:b/>
          <w:szCs w:val="18"/>
          <w:lang w:val="en-US"/>
        </w:rPr>
        <w:t>Figure</w:t>
      </w:r>
      <w:r w:rsidR="00704BDF" w:rsidRPr="00DC12AF">
        <w:rPr>
          <w:rFonts w:asciiTheme="minorHAnsi" w:eastAsia="MS PGothic" w:hAnsiTheme="minorHAnsi"/>
          <w:b/>
          <w:szCs w:val="18"/>
          <w:lang w:val="en-US"/>
        </w:rPr>
        <w:t xml:space="preserve"> 1</w:t>
      </w:r>
      <w:r w:rsidR="00704BDF" w:rsidRPr="00DC12AF">
        <w:rPr>
          <w:rFonts w:asciiTheme="minorHAnsi" w:eastAsia="MS PGothic" w:hAnsiTheme="minorHAnsi"/>
          <w:b/>
          <w:szCs w:val="18"/>
          <w:lang w:val="en-US" w:eastAsia="ko-KR"/>
        </w:rPr>
        <w:t>.</w:t>
      </w:r>
      <w:r w:rsidR="00704BDF" w:rsidRPr="00DC12AF">
        <w:rPr>
          <w:rFonts w:asciiTheme="minorHAnsi" w:eastAsia="MS PGothic" w:hAnsiTheme="minorHAnsi"/>
          <w:szCs w:val="18"/>
          <w:lang w:val="en-US"/>
        </w:rPr>
        <w:t xml:space="preserve"> </w:t>
      </w:r>
      <w:r w:rsidR="000A6AD9" w:rsidRPr="00DC12AF">
        <w:rPr>
          <w:rFonts w:asciiTheme="minorHAnsi" w:eastAsia="MS PGothic" w:hAnsiTheme="minorHAnsi"/>
          <w:szCs w:val="18"/>
          <w:lang w:val="en-US"/>
        </w:rPr>
        <w:t>Daily biomethane</w:t>
      </w:r>
      <w:r w:rsidRPr="00DC12AF">
        <w:rPr>
          <w:rFonts w:asciiTheme="minorHAnsi" w:eastAsia="MS PGothic" w:hAnsiTheme="minorHAnsi"/>
          <w:szCs w:val="18"/>
          <w:lang w:val="en-US"/>
        </w:rPr>
        <w:t xml:space="preserve"> yield</w:t>
      </w:r>
      <w:r w:rsidR="000A6AD9" w:rsidRPr="00DC12AF">
        <w:rPr>
          <w:rFonts w:asciiTheme="minorHAnsi" w:eastAsia="MS PGothic" w:hAnsiTheme="minorHAnsi"/>
          <w:szCs w:val="18"/>
          <w:lang w:val="en-US"/>
        </w:rPr>
        <w:t xml:space="preserve"> at 35</w:t>
      </w:r>
      <w:r w:rsidR="000A6AD9" w:rsidRPr="00DC12AF">
        <w:rPr>
          <w:rFonts w:asciiTheme="minorHAnsi" w:eastAsia="MS PGothic" w:hAnsiTheme="minorHAnsi"/>
          <w:szCs w:val="18"/>
          <w:vertAlign w:val="superscript"/>
          <w:lang w:val="en-US"/>
        </w:rPr>
        <w:t>o</w:t>
      </w:r>
      <w:r w:rsidR="000A6AD9" w:rsidRPr="00DC12AF">
        <w:rPr>
          <w:rFonts w:asciiTheme="minorHAnsi" w:eastAsia="MS PGothic" w:hAnsiTheme="minorHAnsi"/>
          <w:szCs w:val="18"/>
          <w:lang w:val="en-US"/>
        </w:rPr>
        <w:t>C</w:t>
      </w:r>
      <w:r w:rsidR="00704BDF" w:rsidRPr="00DC12AF">
        <w:rPr>
          <w:rFonts w:asciiTheme="minorHAnsi" w:eastAsia="MS PGothic" w:hAnsiTheme="minorHAnsi"/>
          <w:szCs w:val="18"/>
          <w:lang w:val="en-US"/>
        </w:rPr>
        <w:t>.</w:t>
      </w:r>
    </w:p>
    <w:p w14:paraId="4714C9B9" w14:textId="77777777" w:rsidR="00704BDF" w:rsidRPr="00DC12AF" w:rsidRDefault="00704BDF" w:rsidP="00704BDF">
      <w:pPr>
        <w:snapToGrid w:val="0"/>
        <w:spacing w:before="240" w:line="300" w:lineRule="auto"/>
        <w:rPr>
          <w:rFonts w:asciiTheme="minorHAnsi" w:eastAsia="MS PGothic" w:hAnsiTheme="minorHAnsi"/>
          <w:sz w:val="22"/>
          <w:szCs w:val="22"/>
          <w:lang w:val="en-US" w:eastAsia="ko-KR"/>
        </w:rPr>
      </w:pPr>
      <w:r w:rsidRPr="00DC12AF">
        <w:rPr>
          <w:rFonts w:asciiTheme="minorHAnsi" w:eastAsia="MS PGothic" w:hAnsiTheme="minorHAnsi"/>
          <w:b/>
          <w:bCs/>
          <w:sz w:val="22"/>
          <w:szCs w:val="22"/>
          <w:lang w:val="en-US"/>
        </w:rPr>
        <w:t>4. Conclusion</w:t>
      </w:r>
      <w:r w:rsidRPr="00DC12AF">
        <w:rPr>
          <w:rFonts w:asciiTheme="minorHAnsi" w:eastAsia="MS PGothic" w:hAnsiTheme="minorHAnsi"/>
          <w:b/>
          <w:bCs/>
          <w:sz w:val="22"/>
          <w:szCs w:val="22"/>
          <w:lang w:val="en-US" w:eastAsia="ko-KR"/>
        </w:rPr>
        <w:t>s</w:t>
      </w:r>
    </w:p>
    <w:p w14:paraId="038BA829" w14:textId="77777777" w:rsidR="00704BDF" w:rsidRPr="00DC12AF" w:rsidRDefault="00154814" w:rsidP="00704BDF">
      <w:pPr>
        <w:snapToGrid w:val="0"/>
        <w:spacing w:after="120"/>
        <w:rPr>
          <w:rFonts w:asciiTheme="minorHAnsi" w:eastAsia="MS PGothic" w:hAnsiTheme="minorHAnsi"/>
          <w:sz w:val="22"/>
          <w:szCs w:val="22"/>
          <w:lang w:val="en-US"/>
        </w:rPr>
      </w:pPr>
      <w:r w:rsidRPr="00DC12AF">
        <w:rPr>
          <w:rFonts w:asciiTheme="minorHAnsi" w:eastAsia="MS PGothic" w:hAnsiTheme="minorHAnsi"/>
          <w:sz w:val="22"/>
          <w:szCs w:val="22"/>
          <w:lang w:val="en-US"/>
        </w:rPr>
        <w:t xml:space="preserve">Preliminary analysis indicated that sugar wastewater </w:t>
      </w:r>
      <w:r w:rsidR="00F51C57" w:rsidRPr="00DC12AF">
        <w:rPr>
          <w:rFonts w:asciiTheme="minorHAnsi" w:eastAsia="MS PGothic" w:hAnsiTheme="minorHAnsi"/>
          <w:sz w:val="22"/>
          <w:szCs w:val="22"/>
          <w:lang w:val="en-US"/>
        </w:rPr>
        <w:t xml:space="preserve">co-digestion </w:t>
      </w:r>
      <w:r w:rsidRPr="00DC12AF">
        <w:rPr>
          <w:rFonts w:asciiTheme="minorHAnsi" w:eastAsia="MS PGothic" w:hAnsiTheme="minorHAnsi"/>
          <w:sz w:val="22"/>
          <w:szCs w:val="22"/>
          <w:lang w:val="en-US"/>
        </w:rPr>
        <w:t>was more efficient for biomethane production as compared to dairy wastewater. Likewise, result</w:t>
      </w:r>
      <w:r w:rsidR="00F51C57" w:rsidRPr="00DC12AF">
        <w:rPr>
          <w:rFonts w:asciiTheme="minorHAnsi" w:eastAsia="MS PGothic" w:hAnsiTheme="minorHAnsi"/>
          <w:sz w:val="22"/>
          <w:szCs w:val="22"/>
          <w:lang w:val="en-US"/>
        </w:rPr>
        <w:t>s</w:t>
      </w:r>
      <w:r w:rsidRPr="00DC12AF">
        <w:rPr>
          <w:rFonts w:asciiTheme="minorHAnsi" w:eastAsia="MS PGothic" w:hAnsiTheme="minorHAnsi"/>
          <w:sz w:val="22"/>
          <w:szCs w:val="22"/>
          <w:lang w:val="en-US"/>
        </w:rPr>
        <w:t xml:space="preserve"> show that co-digestion of sewage sludge help</w:t>
      </w:r>
      <w:r w:rsidR="00F51C57" w:rsidRPr="00DC12AF">
        <w:rPr>
          <w:rFonts w:asciiTheme="minorHAnsi" w:eastAsia="MS PGothic" w:hAnsiTheme="minorHAnsi"/>
          <w:sz w:val="22"/>
          <w:szCs w:val="22"/>
          <w:lang w:val="en-US"/>
        </w:rPr>
        <w:t xml:space="preserve">s in the reduction of </w:t>
      </w:r>
      <w:r w:rsidRPr="00DC12AF">
        <w:rPr>
          <w:rFonts w:asciiTheme="minorHAnsi" w:eastAsia="MS PGothic" w:hAnsiTheme="minorHAnsi"/>
          <w:sz w:val="22"/>
          <w:szCs w:val="22"/>
          <w:lang w:val="en-US"/>
        </w:rPr>
        <w:t>VS an</w:t>
      </w:r>
      <w:r w:rsidR="00F51C57" w:rsidRPr="00DC12AF">
        <w:rPr>
          <w:rFonts w:asciiTheme="minorHAnsi" w:eastAsia="MS PGothic" w:hAnsiTheme="minorHAnsi"/>
          <w:sz w:val="22"/>
          <w:szCs w:val="22"/>
          <w:lang w:val="en-US"/>
        </w:rPr>
        <w:t xml:space="preserve">d COD content. COD reduction </w:t>
      </w:r>
      <w:r w:rsidRPr="00DC12AF">
        <w:rPr>
          <w:rFonts w:asciiTheme="minorHAnsi" w:eastAsia="MS PGothic" w:hAnsiTheme="minorHAnsi"/>
          <w:sz w:val="22"/>
          <w:szCs w:val="22"/>
          <w:lang w:val="en-US"/>
        </w:rPr>
        <w:t>was observed for both wastewater</w:t>
      </w:r>
      <w:r w:rsidR="00F51C57" w:rsidRPr="00DC12AF">
        <w:rPr>
          <w:rFonts w:asciiTheme="minorHAnsi" w:eastAsia="MS PGothic" w:hAnsiTheme="minorHAnsi"/>
          <w:sz w:val="22"/>
          <w:szCs w:val="22"/>
          <w:lang w:val="en-US"/>
        </w:rPr>
        <w:t>s</w:t>
      </w:r>
      <w:r w:rsidRPr="00DC12AF">
        <w:rPr>
          <w:rFonts w:asciiTheme="minorHAnsi" w:eastAsia="MS PGothic" w:hAnsiTheme="minorHAnsi"/>
          <w:sz w:val="22"/>
          <w:szCs w:val="22"/>
          <w:lang w:val="en-US"/>
        </w:rPr>
        <w:t xml:space="preserve"> and sewage sludge. </w:t>
      </w:r>
    </w:p>
    <w:p w14:paraId="1FBEDA3A" w14:textId="77777777" w:rsidR="00C15718" w:rsidRPr="00DC12AF" w:rsidRDefault="00704BDF" w:rsidP="006638F3">
      <w:pPr>
        <w:snapToGrid w:val="0"/>
        <w:spacing w:before="240" w:line="300" w:lineRule="auto"/>
        <w:rPr>
          <w:rFonts w:asciiTheme="minorHAnsi" w:eastAsia="SimSun" w:hAnsiTheme="minorHAnsi"/>
          <w:sz w:val="22"/>
          <w:szCs w:val="22"/>
          <w:lang w:eastAsia="zh-CN"/>
        </w:rPr>
      </w:pPr>
      <w:r w:rsidRPr="00DC12AF">
        <w:rPr>
          <w:rFonts w:asciiTheme="minorHAnsi" w:eastAsia="MS PGothic" w:hAnsiTheme="minorHAnsi"/>
          <w:b/>
          <w:bCs/>
          <w:sz w:val="20"/>
          <w:lang w:val="en-US"/>
        </w:rPr>
        <w:t xml:space="preserve">References </w:t>
      </w:r>
      <w:r w:rsidR="006638F3" w:rsidRPr="00DC12AF">
        <w:rPr>
          <w:rFonts w:asciiTheme="minorHAnsi" w:eastAsia="MS PGothic" w:hAnsiTheme="minorHAnsi"/>
          <w:b/>
          <w:bCs/>
          <w:sz w:val="20"/>
          <w:lang w:val="en-US"/>
        </w:rPr>
        <w:t xml:space="preserve"> </w:t>
      </w:r>
    </w:p>
    <w:p w14:paraId="77C6B8C9" w14:textId="77777777" w:rsidR="006638F3" w:rsidRPr="00DC12AF" w:rsidRDefault="00C15718" w:rsidP="006638F3">
      <w:pPr>
        <w:pStyle w:val="EndNoteBibliography"/>
        <w:rPr>
          <w:rFonts w:asciiTheme="minorHAnsi" w:hAnsiTheme="minorHAnsi" w:cstheme="minorHAnsi"/>
        </w:rPr>
      </w:pPr>
      <w:r w:rsidRPr="00DC12AF">
        <w:rPr>
          <w:rFonts w:asciiTheme="minorHAnsi" w:eastAsia="SimSun" w:hAnsiTheme="minorHAnsi" w:cstheme="minorHAnsi"/>
          <w:lang w:eastAsia="zh-CN"/>
        </w:rPr>
        <w:fldChar w:fldCharType="begin"/>
      </w:r>
      <w:r w:rsidRPr="00DC12AF">
        <w:rPr>
          <w:rFonts w:asciiTheme="minorHAnsi" w:eastAsia="SimSun" w:hAnsiTheme="minorHAnsi" w:cstheme="minorHAnsi"/>
          <w:lang w:eastAsia="zh-CN"/>
        </w:rPr>
        <w:instrText xml:space="preserve"> ADDIN EN.REFLIST </w:instrText>
      </w:r>
      <w:r w:rsidRPr="00DC12AF">
        <w:rPr>
          <w:rFonts w:asciiTheme="minorHAnsi" w:eastAsia="SimSun" w:hAnsiTheme="minorHAnsi" w:cstheme="minorHAnsi"/>
          <w:lang w:eastAsia="zh-CN"/>
        </w:rPr>
        <w:fldChar w:fldCharType="separate"/>
      </w:r>
      <w:r w:rsidR="006638F3" w:rsidRPr="00DC12AF">
        <w:rPr>
          <w:rFonts w:asciiTheme="minorHAnsi" w:hAnsiTheme="minorHAnsi" w:cstheme="minorHAnsi"/>
        </w:rPr>
        <w:t>[1] Y.Y. Liu, R.J. Haynes, Origin, Nature, and Treatment of Effluents From Dairy and Meat Processing Factories and the Effects of Their Irrigation on the Quality of Agricultural Soils, Critical Reviews in Environmental Science and Technology 41 (2011) 1531-1599.</w:t>
      </w:r>
    </w:p>
    <w:p w14:paraId="1DABEF6F" w14:textId="77777777" w:rsidR="006638F3" w:rsidRPr="00DC12AF" w:rsidRDefault="006638F3" w:rsidP="006638F3">
      <w:pPr>
        <w:pStyle w:val="EndNoteBibliography"/>
        <w:rPr>
          <w:rFonts w:asciiTheme="minorHAnsi" w:hAnsiTheme="minorHAnsi" w:cstheme="minorHAnsi"/>
        </w:rPr>
      </w:pPr>
      <w:r w:rsidRPr="00DC12AF">
        <w:rPr>
          <w:rFonts w:asciiTheme="minorHAnsi" w:hAnsiTheme="minorHAnsi" w:cstheme="minorHAnsi"/>
        </w:rPr>
        <w:t>[2] J. Mata-Alvarez, J. Dosta, M.S. Romero-Güiza, X. Fonoll, M. Peces, S. Astals, A critical review on anaerobic co-digestion achievements between 2010 and 2013, Renewable and Sustainable Energy Reviews 36 (2014) 412-427.</w:t>
      </w:r>
    </w:p>
    <w:p w14:paraId="680D24E7" w14:textId="77777777" w:rsidR="006638F3" w:rsidRPr="00DC12AF" w:rsidRDefault="006638F3" w:rsidP="006638F3">
      <w:pPr>
        <w:pStyle w:val="EndNoteBibliography"/>
        <w:rPr>
          <w:rFonts w:asciiTheme="minorHAnsi" w:hAnsiTheme="minorHAnsi" w:cstheme="minorHAnsi"/>
        </w:rPr>
      </w:pPr>
      <w:r w:rsidRPr="00DC12AF">
        <w:rPr>
          <w:rFonts w:asciiTheme="minorHAnsi" w:hAnsiTheme="minorHAnsi" w:cstheme="minorHAnsi"/>
        </w:rPr>
        <w:t>[3] A.P.H.A. APHA, Water Environment Federation (APHA-AWWA-WEF). 2005, Standard Methods for the Examination of Water and Wastewater, 21st ed. Alexandria, Virginia: Water Environment Federation (2005).</w:t>
      </w:r>
    </w:p>
    <w:p w14:paraId="5B4D98DE" w14:textId="77777777" w:rsidR="00704BDF" w:rsidRPr="00DC12AF" w:rsidRDefault="00C15718"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r w:rsidRPr="00DC12AF">
        <w:rPr>
          <w:rFonts w:asciiTheme="minorHAnsi" w:eastAsia="SimSun" w:hAnsiTheme="minorHAnsi" w:cstheme="minorHAnsi"/>
          <w:lang w:eastAsia="zh-CN"/>
        </w:rPr>
        <w:fldChar w:fldCharType="end"/>
      </w:r>
    </w:p>
    <w:sectPr w:rsidR="00704BDF" w:rsidRPr="00DC12A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04F83" w14:textId="77777777" w:rsidR="00C607A8" w:rsidRDefault="00C607A8" w:rsidP="004F5E36">
      <w:r>
        <w:separator/>
      </w:r>
    </w:p>
  </w:endnote>
  <w:endnote w:type="continuationSeparator" w:id="0">
    <w:p w14:paraId="3D653BAC" w14:textId="77777777" w:rsidR="00C607A8" w:rsidRDefault="00C607A8"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82B25" w14:textId="77777777" w:rsidR="00C607A8" w:rsidRDefault="00C607A8" w:rsidP="004F5E36">
      <w:r>
        <w:separator/>
      </w:r>
    </w:p>
  </w:footnote>
  <w:footnote w:type="continuationSeparator" w:id="0">
    <w:p w14:paraId="134BA959" w14:textId="77777777" w:rsidR="00C607A8" w:rsidRDefault="00C607A8"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9A58F" w14:textId="77777777" w:rsidR="004D1162" w:rsidRDefault="00594E9F">
    <w:pPr>
      <w:pStyle w:val="Intestazione"/>
    </w:pPr>
    <w:r>
      <w:rPr>
        <w:noProof/>
        <w:lang w:val="en-ZA" w:eastAsia="en-ZA"/>
      </w:rPr>
      <mc:AlternateContent>
        <mc:Choice Requires="wps">
          <w:drawing>
            <wp:anchor distT="0" distB="0" distL="114300" distR="114300" simplePos="0" relativeHeight="251666432" behindDoc="0" locked="0" layoutInCell="1" allowOverlap="1" wp14:anchorId="3E549667" wp14:editId="4E1AB845">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ZA" w:eastAsia="en-ZA"/>
      </w:rPr>
      <w:drawing>
        <wp:anchor distT="0" distB="0" distL="114300" distR="114300" simplePos="0" relativeHeight="251662336" behindDoc="0" locked="0" layoutInCell="1" allowOverlap="1" wp14:anchorId="721C1A83" wp14:editId="3B31FF90">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F9FCA"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en-ZA" w:eastAsia="en-ZA"/>
      </w:rPr>
      <w:drawing>
        <wp:anchor distT="0" distB="0" distL="114300" distR="114300" simplePos="0" relativeHeight="251659264" behindDoc="0" locked="0" layoutInCell="1" allowOverlap="1" wp14:anchorId="0826076A" wp14:editId="35F727A7">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04521494" w14:textId="77777777" w:rsidR="00704BDF" w:rsidRDefault="00704BDF">
    <w:pPr>
      <w:pStyle w:val="Intestazione"/>
    </w:pPr>
  </w:p>
  <w:p w14:paraId="5BEC1F8C" w14:textId="77777777" w:rsidR="00704BDF" w:rsidRDefault="00704BDF">
    <w:pPr>
      <w:pStyle w:val="Intestazione"/>
    </w:pPr>
    <w:r>
      <w:rPr>
        <w:noProof/>
        <w:lang w:val="en-ZA" w:eastAsia="en-ZA"/>
      </w:rPr>
      <mc:AlternateContent>
        <mc:Choice Requires="wps">
          <w:drawing>
            <wp:anchor distT="0" distB="0" distL="114300" distR="114300" simplePos="0" relativeHeight="251660288" behindDoc="0" locked="0" layoutInCell="1" allowOverlap="1" wp14:anchorId="65B909B5" wp14:editId="06B64F02">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hem Engineer J&lt;/Style&gt;&lt;LeftDelim&gt;{&lt;/LeftDelim&gt;&lt;RightDelim&gt;}&lt;/RightDelim&gt;&lt;FontName&gt;Times&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pzveeefp9s9x7e9pxsv5tpatz2ae5ta225p&quot;&gt;My EndNote Library&lt;record-ids&gt;&lt;item&gt;7&lt;/item&gt;&lt;item&gt;26&lt;/item&gt;&lt;item&gt;54&lt;/item&gt;&lt;/record-ids&gt;&lt;/item&gt;&lt;/Libraries&gt;"/>
  </w:docVars>
  <w:rsids>
    <w:rsidRoot w:val="000E414A"/>
    <w:rsid w:val="000027C0"/>
    <w:rsid w:val="000117CB"/>
    <w:rsid w:val="00017D1A"/>
    <w:rsid w:val="0003148D"/>
    <w:rsid w:val="00062A9A"/>
    <w:rsid w:val="00070C6B"/>
    <w:rsid w:val="0007249F"/>
    <w:rsid w:val="0008769C"/>
    <w:rsid w:val="000A03B2"/>
    <w:rsid w:val="000A6AD9"/>
    <w:rsid w:val="000D34BE"/>
    <w:rsid w:val="000E36F1"/>
    <w:rsid w:val="000E3A73"/>
    <w:rsid w:val="000E414A"/>
    <w:rsid w:val="00117BE3"/>
    <w:rsid w:val="0013121F"/>
    <w:rsid w:val="00134DE4"/>
    <w:rsid w:val="00150E59"/>
    <w:rsid w:val="00154814"/>
    <w:rsid w:val="00184AD6"/>
    <w:rsid w:val="001B65C1"/>
    <w:rsid w:val="001C684B"/>
    <w:rsid w:val="001D53FC"/>
    <w:rsid w:val="001F2EC7"/>
    <w:rsid w:val="002065DB"/>
    <w:rsid w:val="002447EF"/>
    <w:rsid w:val="00251550"/>
    <w:rsid w:val="0027221A"/>
    <w:rsid w:val="00275B61"/>
    <w:rsid w:val="002D1F12"/>
    <w:rsid w:val="003009B7"/>
    <w:rsid w:val="0030469C"/>
    <w:rsid w:val="00362E02"/>
    <w:rsid w:val="003723D4"/>
    <w:rsid w:val="003A7D1C"/>
    <w:rsid w:val="003F4BB3"/>
    <w:rsid w:val="00447A5F"/>
    <w:rsid w:val="0046164A"/>
    <w:rsid w:val="00462DCD"/>
    <w:rsid w:val="004C5AE4"/>
    <w:rsid w:val="004D1162"/>
    <w:rsid w:val="004E4DD6"/>
    <w:rsid w:val="004F5E36"/>
    <w:rsid w:val="005119A5"/>
    <w:rsid w:val="005278B7"/>
    <w:rsid w:val="005346C8"/>
    <w:rsid w:val="00572AD0"/>
    <w:rsid w:val="00581924"/>
    <w:rsid w:val="00594E9F"/>
    <w:rsid w:val="005A37B5"/>
    <w:rsid w:val="005B61E6"/>
    <w:rsid w:val="005C77E1"/>
    <w:rsid w:val="005D6A2F"/>
    <w:rsid w:val="005E1A82"/>
    <w:rsid w:val="005F0A28"/>
    <w:rsid w:val="005F0E5E"/>
    <w:rsid w:val="00620DEE"/>
    <w:rsid w:val="00625639"/>
    <w:rsid w:val="006371FA"/>
    <w:rsid w:val="0064184D"/>
    <w:rsid w:val="00660E3E"/>
    <w:rsid w:val="00662E74"/>
    <w:rsid w:val="006638F3"/>
    <w:rsid w:val="006A792A"/>
    <w:rsid w:val="006B4A17"/>
    <w:rsid w:val="006C5579"/>
    <w:rsid w:val="00704BDF"/>
    <w:rsid w:val="00736B13"/>
    <w:rsid w:val="007447F3"/>
    <w:rsid w:val="007661C8"/>
    <w:rsid w:val="007D52CD"/>
    <w:rsid w:val="007D7805"/>
    <w:rsid w:val="00813288"/>
    <w:rsid w:val="008168FC"/>
    <w:rsid w:val="008479A2"/>
    <w:rsid w:val="0087637F"/>
    <w:rsid w:val="00883F7A"/>
    <w:rsid w:val="008A1512"/>
    <w:rsid w:val="008D0BEB"/>
    <w:rsid w:val="008E566E"/>
    <w:rsid w:val="00901EB6"/>
    <w:rsid w:val="00903636"/>
    <w:rsid w:val="009450CE"/>
    <w:rsid w:val="0095164B"/>
    <w:rsid w:val="00996483"/>
    <w:rsid w:val="00997041"/>
    <w:rsid w:val="009E788A"/>
    <w:rsid w:val="00A1763D"/>
    <w:rsid w:val="00A17CEC"/>
    <w:rsid w:val="00A27EF0"/>
    <w:rsid w:val="00A76EFC"/>
    <w:rsid w:val="00A9626B"/>
    <w:rsid w:val="00A97F29"/>
    <w:rsid w:val="00AB0964"/>
    <w:rsid w:val="00AE377D"/>
    <w:rsid w:val="00B13B79"/>
    <w:rsid w:val="00B32155"/>
    <w:rsid w:val="00B61DBF"/>
    <w:rsid w:val="00BB5848"/>
    <w:rsid w:val="00BC30C9"/>
    <w:rsid w:val="00BE3E58"/>
    <w:rsid w:val="00C01616"/>
    <w:rsid w:val="00C0162B"/>
    <w:rsid w:val="00C15718"/>
    <w:rsid w:val="00C345B1"/>
    <w:rsid w:val="00C40142"/>
    <w:rsid w:val="00C57182"/>
    <w:rsid w:val="00C607A8"/>
    <w:rsid w:val="00C655FD"/>
    <w:rsid w:val="00C76984"/>
    <w:rsid w:val="00C94434"/>
    <w:rsid w:val="00CA1C95"/>
    <w:rsid w:val="00CA5A9C"/>
    <w:rsid w:val="00CB4FC6"/>
    <w:rsid w:val="00CB60DC"/>
    <w:rsid w:val="00CD5FE2"/>
    <w:rsid w:val="00D02B4C"/>
    <w:rsid w:val="00D44438"/>
    <w:rsid w:val="00D6049B"/>
    <w:rsid w:val="00D84576"/>
    <w:rsid w:val="00DC12AF"/>
    <w:rsid w:val="00DC5F6C"/>
    <w:rsid w:val="00DD4C4C"/>
    <w:rsid w:val="00DE0019"/>
    <w:rsid w:val="00DE264A"/>
    <w:rsid w:val="00E041E7"/>
    <w:rsid w:val="00E23CA1"/>
    <w:rsid w:val="00E409A8"/>
    <w:rsid w:val="00E7209D"/>
    <w:rsid w:val="00E92D7C"/>
    <w:rsid w:val="00E95D07"/>
    <w:rsid w:val="00EA50E1"/>
    <w:rsid w:val="00EB037F"/>
    <w:rsid w:val="00EE0131"/>
    <w:rsid w:val="00F27741"/>
    <w:rsid w:val="00F30C64"/>
    <w:rsid w:val="00F51C57"/>
    <w:rsid w:val="00FA0E2E"/>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306FD"/>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paragraph" w:customStyle="1" w:styleId="EndNoteBibliographyTitle">
    <w:name w:val="EndNote Bibliography Title"/>
    <w:basedOn w:val="Normale"/>
    <w:link w:val="EndNoteBibliographyTitleChar"/>
    <w:rsid w:val="00C15718"/>
    <w:pPr>
      <w:jc w:val="center"/>
    </w:pPr>
    <w:rPr>
      <w:rFonts w:ascii="Times" w:hAnsi="Times" w:cs="Times"/>
      <w:noProof/>
      <w:sz w:val="20"/>
      <w:lang w:val="en-US"/>
    </w:rPr>
  </w:style>
  <w:style w:type="character" w:customStyle="1" w:styleId="EndNoteBibliographyTitleChar">
    <w:name w:val="EndNote Bibliography Title Char"/>
    <w:basedOn w:val="Carpredefinitoparagrafo"/>
    <w:link w:val="EndNoteBibliographyTitle"/>
    <w:rsid w:val="00C15718"/>
    <w:rPr>
      <w:rFonts w:ascii="Times" w:eastAsia="Times New Roman" w:hAnsi="Times" w:cs="Times"/>
      <w:noProof/>
      <w:sz w:val="20"/>
      <w:szCs w:val="20"/>
      <w:lang w:val="en-US"/>
    </w:rPr>
  </w:style>
  <w:style w:type="paragraph" w:customStyle="1" w:styleId="EndNoteBibliography">
    <w:name w:val="EndNote Bibliography"/>
    <w:basedOn w:val="Normale"/>
    <w:link w:val="EndNoteBibliographyChar"/>
    <w:rsid w:val="00C15718"/>
    <w:pPr>
      <w:spacing w:line="240" w:lineRule="auto"/>
    </w:pPr>
    <w:rPr>
      <w:rFonts w:ascii="Times" w:hAnsi="Times" w:cs="Times"/>
      <w:noProof/>
      <w:sz w:val="20"/>
      <w:lang w:val="en-US"/>
    </w:rPr>
  </w:style>
  <w:style w:type="character" w:customStyle="1" w:styleId="EndNoteBibliographyChar">
    <w:name w:val="EndNote Bibliography Char"/>
    <w:basedOn w:val="Carpredefinitoparagrafo"/>
    <w:link w:val="EndNoteBibliography"/>
    <w:rsid w:val="00C15718"/>
    <w:rPr>
      <w:rFonts w:ascii="Times" w:eastAsia="Times New Roman" w:hAnsi="Times" w:cs="Times"/>
      <w:noProo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SUSAN\Desktop%203\Project%20Related\Data%20Analysis\Data%20Result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2"/>
          <c:order val="2"/>
          <c:tx>
            <c:strRef>
              <c:f>'Graph Cum'!$A$14</c:f>
              <c:strCache>
                <c:ptCount val="1"/>
                <c:pt idx="0">
                  <c:v>I + SS + DW</c:v>
                </c:pt>
              </c:strCache>
            </c:strRef>
          </c:tx>
          <c:spPr>
            <a:ln w="12700" cap="rnd">
              <a:solidFill>
                <a:schemeClr val="tx1"/>
              </a:solidFill>
              <a:round/>
            </a:ln>
            <a:effectLst/>
          </c:spPr>
          <c:marker>
            <c:symbol val="triangle"/>
            <c:size val="5"/>
            <c:spPr>
              <a:noFill/>
              <a:ln w="9525">
                <a:solidFill>
                  <a:schemeClr val="tx1"/>
                </a:solidFill>
              </a:ln>
              <a:effectLst/>
            </c:spPr>
          </c:marker>
          <c:xVal>
            <c:strRef>
              <c:f>'Graph Cum'!$B$1:$AE$1</c:f>
              <c:strCache>
                <c:ptCount val="30"/>
                <c:pt idx="0">
                  <c:v>Day1</c:v>
                </c:pt>
                <c:pt idx="1">
                  <c:v>Day2</c:v>
                </c:pt>
                <c:pt idx="2">
                  <c:v>Day3</c:v>
                </c:pt>
                <c:pt idx="3">
                  <c:v>Day4</c:v>
                </c:pt>
                <c:pt idx="4">
                  <c:v>Day5</c:v>
                </c:pt>
                <c:pt idx="5">
                  <c:v>Day6</c:v>
                </c:pt>
                <c:pt idx="6">
                  <c:v>Day7</c:v>
                </c:pt>
                <c:pt idx="7">
                  <c:v>Day8</c:v>
                </c:pt>
                <c:pt idx="8">
                  <c:v>Day9</c:v>
                </c:pt>
                <c:pt idx="9">
                  <c:v>Day10</c:v>
                </c:pt>
                <c:pt idx="10">
                  <c:v>Day11</c:v>
                </c:pt>
                <c:pt idx="11">
                  <c:v>Day12</c:v>
                </c:pt>
                <c:pt idx="12">
                  <c:v>Day13</c:v>
                </c:pt>
                <c:pt idx="13">
                  <c:v>Day14</c:v>
                </c:pt>
                <c:pt idx="14">
                  <c:v>Day15</c:v>
                </c:pt>
                <c:pt idx="15">
                  <c:v>Day16</c:v>
                </c:pt>
                <c:pt idx="16">
                  <c:v>Day17</c:v>
                </c:pt>
                <c:pt idx="17">
                  <c:v>Day18</c:v>
                </c:pt>
                <c:pt idx="18">
                  <c:v>Day19</c:v>
                </c:pt>
                <c:pt idx="19">
                  <c:v>Day20</c:v>
                </c:pt>
                <c:pt idx="20">
                  <c:v>Day21</c:v>
                </c:pt>
                <c:pt idx="21">
                  <c:v>Day22</c:v>
                </c:pt>
                <c:pt idx="22">
                  <c:v>Day23</c:v>
                </c:pt>
                <c:pt idx="23">
                  <c:v>Day24</c:v>
                </c:pt>
                <c:pt idx="24">
                  <c:v>Day25</c:v>
                </c:pt>
                <c:pt idx="25">
                  <c:v>Day26</c:v>
                </c:pt>
                <c:pt idx="26">
                  <c:v>Day27</c:v>
                </c:pt>
                <c:pt idx="27">
                  <c:v>Day28</c:v>
                </c:pt>
                <c:pt idx="28">
                  <c:v>Day29</c:v>
                </c:pt>
                <c:pt idx="29">
                  <c:v>Day30</c:v>
                </c:pt>
              </c:strCache>
            </c:strRef>
          </c:xVal>
          <c:yVal>
            <c:numRef>
              <c:f>'Graph Cum'!$B$14:$AE$14</c:f>
              <c:numCache>
                <c:formatCode>0.0</c:formatCode>
                <c:ptCount val="30"/>
                <c:pt idx="0">
                  <c:v>0</c:v>
                </c:pt>
                <c:pt idx="1">
                  <c:v>0</c:v>
                </c:pt>
                <c:pt idx="2">
                  <c:v>0</c:v>
                </c:pt>
                <c:pt idx="3">
                  <c:v>0</c:v>
                </c:pt>
                <c:pt idx="4">
                  <c:v>0</c:v>
                </c:pt>
                <c:pt idx="5">
                  <c:v>0</c:v>
                </c:pt>
                <c:pt idx="6">
                  <c:v>0</c:v>
                </c:pt>
                <c:pt idx="7">
                  <c:v>115.49999999999999</c:v>
                </c:pt>
                <c:pt idx="8">
                  <c:v>0</c:v>
                </c:pt>
                <c:pt idx="9">
                  <c:v>125.99999999999999</c:v>
                </c:pt>
                <c:pt idx="10">
                  <c:v>14</c:v>
                </c:pt>
                <c:pt idx="11">
                  <c:v>31.499999999999996</c:v>
                </c:pt>
                <c:pt idx="12">
                  <c:v>14</c:v>
                </c:pt>
                <c:pt idx="13">
                  <c:v>45.5</c:v>
                </c:pt>
                <c:pt idx="14">
                  <c:v>84</c:v>
                </c:pt>
                <c:pt idx="15">
                  <c:v>0</c:v>
                </c:pt>
                <c:pt idx="16">
                  <c:v>0</c:v>
                </c:pt>
                <c:pt idx="17">
                  <c:v>10.5</c:v>
                </c:pt>
                <c:pt idx="18">
                  <c:v>329</c:v>
                </c:pt>
                <c:pt idx="19">
                  <c:v>7</c:v>
                </c:pt>
                <c:pt idx="20">
                  <c:v>0</c:v>
                </c:pt>
                <c:pt idx="21">
                  <c:v>0</c:v>
                </c:pt>
                <c:pt idx="22">
                  <c:v>0</c:v>
                </c:pt>
                <c:pt idx="23">
                  <c:v>0</c:v>
                </c:pt>
                <c:pt idx="24">
                  <c:v>7</c:v>
                </c:pt>
                <c:pt idx="25">
                  <c:v>7</c:v>
                </c:pt>
                <c:pt idx="26">
                  <c:v>0</c:v>
                </c:pt>
                <c:pt idx="27">
                  <c:v>7</c:v>
                </c:pt>
                <c:pt idx="28">
                  <c:v>0</c:v>
                </c:pt>
                <c:pt idx="29">
                  <c:v>3.5</c:v>
                </c:pt>
              </c:numCache>
            </c:numRef>
          </c:yVal>
          <c:smooth val="0"/>
          <c:extLst>
            <c:ext xmlns:c16="http://schemas.microsoft.com/office/drawing/2014/chart" uri="{C3380CC4-5D6E-409C-BE32-E72D297353CC}">
              <c16:uniqueId val="{00000000-52EE-4052-BC68-2360DCEC0CF8}"/>
            </c:ext>
          </c:extLst>
        </c:ser>
        <c:ser>
          <c:idx val="4"/>
          <c:order val="4"/>
          <c:tx>
            <c:strRef>
              <c:f>'Graph Cum'!$A$16</c:f>
              <c:strCache>
                <c:ptCount val="1"/>
                <c:pt idx="0">
                  <c:v>I + SS + SW</c:v>
                </c:pt>
              </c:strCache>
            </c:strRef>
          </c:tx>
          <c:spPr>
            <a:ln w="12700" cap="rnd">
              <a:solidFill>
                <a:schemeClr val="tx1"/>
              </a:solidFill>
              <a:prstDash val="sysDot"/>
              <a:round/>
            </a:ln>
            <a:effectLst/>
          </c:spPr>
          <c:marker>
            <c:symbol val="circle"/>
            <c:size val="5"/>
            <c:spPr>
              <a:noFill/>
              <a:ln w="9525">
                <a:solidFill>
                  <a:schemeClr val="tx1"/>
                </a:solidFill>
              </a:ln>
              <a:effectLst/>
            </c:spPr>
          </c:marker>
          <c:xVal>
            <c:strRef>
              <c:f>'Graph Cum'!$B$1:$AE$1</c:f>
              <c:strCache>
                <c:ptCount val="30"/>
                <c:pt idx="0">
                  <c:v>Day1</c:v>
                </c:pt>
                <c:pt idx="1">
                  <c:v>Day2</c:v>
                </c:pt>
                <c:pt idx="2">
                  <c:v>Day3</c:v>
                </c:pt>
                <c:pt idx="3">
                  <c:v>Day4</c:v>
                </c:pt>
                <c:pt idx="4">
                  <c:v>Day5</c:v>
                </c:pt>
                <c:pt idx="5">
                  <c:v>Day6</c:v>
                </c:pt>
                <c:pt idx="6">
                  <c:v>Day7</c:v>
                </c:pt>
                <c:pt idx="7">
                  <c:v>Day8</c:v>
                </c:pt>
                <c:pt idx="8">
                  <c:v>Day9</c:v>
                </c:pt>
                <c:pt idx="9">
                  <c:v>Day10</c:v>
                </c:pt>
                <c:pt idx="10">
                  <c:v>Day11</c:v>
                </c:pt>
                <c:pt idx="11">
                  <c:v>Day12</c:v>
                </c:pt>
                <c:pt idx="12">
                  <c:v>Day13</c:v>
                </c:pt>
                <c:pt idx="13">
                  <c:v>Day14</c:v>
                </c:pt>
                <c:pt idx="14">
                  <c:v>Day15</c:v>
                </c:pt>
                <c:pt idx="15">
                  <c:v>Day16</c:v>
                </c:pt>
                <c:pt idx="16">
                  <c:v>Day17</c:v>
                </c:pt>
                <c:pt idx="17">
                  <c:v>Day18</c:v>
                </c:pt>
                <c:pt idx="18">
                  <c:v>Day19</c:v>
                </c:pt>
                <c:pt idx="19">
                  <c:v>Day20</c:v>
                </c:pt>
                <c:pt idx="20">
                  <c:v>Day21</c:v>
                </c:pt>
                <c:pt idx="21">
                  <c:v>Day22</c:v>
                </c:pt>
                <c:pt idx="22">
                  <c:v>Day23</c:v>
                </c:pt>
                <c:pt idx="23">
                  <c:v>Day24</c:v>
                </c:pt>
                <c:pt idx="24">
                  <c:v>Day25</c:v>
                </c:pt>
                <c:pt idx="25">
                  <c:v>Day26</c:v>
                </c:pt>
                <c:pt idx="26">
                  <c:v>Day27</c:v>
                </c:pt>
                <c:pt idx="27">
                  <c:v>Day28</c:v>
                </c:pt>
                <c:pt idx="28">
                  <c:v>Day29</c:v>
                </c:pt>
                <c:pt idx="29">
                  <c:v>Day30</c:v>
                </c:pt>
              </c:strCache>
            </c:strRef>
          </c:xVal>
          <c:yVal>
            <c:numRef>
              <c:f>'Graph Cum'!$B$16:$AE$16</c:f>
              <c:numCache>
                <c:formatCode>0.0</c:formatCode>
                <c:ptCount val="30"/>
                <c:pt idx="0">
                  <c:v>0</c:v>
                </c:pt>
                <c:pt idx="1">
                  <c:v>93.477595000000008</c:v>
                </c:pt>
                <c:pt idx="2">
                  <c:v>48.227449999999997</c:v>
                </c:pt>
                <c:pt idx="3">
                  <c:v>23.974222000000001</c:v>
                </c:pt>
                <c:pt idx="4">
                  <c:v>67.001224999999991</c:v>
                </c:pt>
                <c:pt idx="5">
                  <c:v>42.463515999999998</c:v>
                </c:pt>
                <c:pt idx="6">
                  <c:v>48.715966000000002</c:v>
                </c:pt>
                <c:pt idx="7">
                  <c:v>29.249639999999999</c:v>
                </c:pt>
                <c:pt idx="8">
                  <c:v>0</c:v>
                </c:pt>
                <c:pt idx="9">
                  <c:v>31.523443999999998</c:v>
                </c:pt>
                <c:pt idx="10">
                  <c:v>23.594913999999996</c:v>
                </c:pt>
                <c:pt idx="11">
                  <c:v>113.94628399999999</c:v>
                </c:pt>
                <c:pt idx="12">
                  <c:v>86.541499999999999</c:v>
                </c:pt>
                <c:pt idx="13">
                  <c:v>36.998443999999999</c:v>
                </c:pt>
                <c:pt idx="14">
                  <c:v>120.02002999999999</c:v>
                </c:pt>
                <c:pt idx="15">
                  <c:v>49.085346000000001</c:v>
                </c:pt>
                <c:pt idx="16">
                  <c:v>36.729365999999999</c:v>
                </c:pt>
                <c:pt idx="17">
                  <c:v>20.324221999999999</c:v>
                </c:pt>
                <c:pt idx="18">
                  <c:v>198.47619599999999</c:v>
                </c:pt>
                <c:pt idx="19">
                  <c:v>25.55</c:v>
                </c:pt>
                <c:pt idx="20">
                  <c:v>18.25</c:v>
                </c:pt>
                <c:pt idx="21">
                  <c:v>7.3</c:v>
                </c:pt>
                <c:pt idx="22">
                  <c:v>7.3</c:v>
                </c:pt>
                <c:pt idx="23">
                  <c:v>0</c:v>
                </c:pt>
                <c:pt idx="24">
                  <c:v>10.167075000000001</c:v>
                </c:pt>
                <c:pt idx="25">
                  <c:v>5.4749999999999996</c:v>
                </c:pt>
                <c:pt idx="26">
                  <c:v>10.95</c:v>
                </c:pt>
                <c:pt idx="27">
                  <c:v>1.825</c:v>
                </c:pt>
                <c:pt idx="28">
                  <c:v>0.57341500000000001</c:v>
                </c:pt>
                <c:pt idx="29">
                  <c:v>5.4749999999999996</c:v>
                </c:pt>
              </c:numCache>
            </c:numRef>
          </c:yVal>
          <c:smooth val="0"/>
          <c:extLst>
            <c:ext xmlns:c16="http://schemas.microsoft.com/office/drawing/2014/chart" uri="{C3380CC4-5D6E-409C-BE32-E72D297353CC}">
              <c16:uniqueId val="{00000001-52EE-4052-BC68-2360DCEC0CF8}"/>
            </c:ext>
          </c:extLst>
        </c:ser>
        <c:ser>
          <c:idx val="5"/>
          <c:order val="5"/>
          <c:tx>
            <c:strRef>
              <c:f>'Graph Cum'!$A$11</c:f>
              <c:strCache>
                <c:ptCount val="1"/>
                <c:pt idx="0">
                  <c:v>Control</c:v>
                </c:pt>
              </c:strCache>
            </c:strRef>
          </c:tx>
          <c:spPr>
            <a:ln w="12700" cap="rnd">
              <a:solidFill>
                <a:schemeClr val="tx1"/>
              </a:solidFill>
              <a:prstDash val="sysDash"/>
              <a:round/>
            </a:ln>
            <a:effectLst/>
          </c:spPr>
          <c:marker>
            <c:symbol val="diamond"/>
            <c:size val="5"/>
            <c:spPr>
              <a:noFill/>
              <a:ln w="9525">
                <a:solidFill>
                  <a:schemeClr val="tx1"/>
                </a:solidFill>
              </a:ln>
              <a:effectLst/>
            </c:spPr>
          </c:marker>
          <c:xVal>
            <c:strRef>
              <c:f>'Graph Cum'!$B$1:$AE$1</c:f>
              <c:strCache>
                <c:ptCount val="30"/>
                <c:pt idx="0">
                  <c:v>Day1</c:v>
                </c:pt>
                <c:pt idx="1">
                  <c:v>Day2</c:v>
                </c:pt>
                <c:pt idx="2">
                  <c:v>Day3</c:v>
                </c:pt>
                <c:pt idx="3">
                  <c:v>Day4</c:v>
                </c:pt>
                <c:pt idx="4">
                  <c:v>Day5</c:v>
                </c:pt>
                <c:pt idx="5">
                  <c:v>Day6</c:v>
                </c:pt>
                <c:pt idx="6">
                  <c:v>Day7</c:v>
                </c:pt>
                <c:pt idx="7">
                  <c:v>Day8</c:v>
                </c:pt>
                <c:pt idx="8">
                  <c:v>Day9</c:v>
                </c:pt>
                <c:pt idx="9">
                  <c:v>Day10</c:v>
                </c:pt>
                <c:pt idx="10">
                  <c:v>Day11</c:v>
                </c:pt>
                <c:pt idx="11">
                  <c:v>Day12</c:v>
                </c:pt>
                <c:pt idx="12">
                  <c:v>Day13</c:v>
                </c:pt>
                <c:pt idx="13">
                  <c:v>Day14</c:v>
                </c:pt>
                <c:pt idx="14">
                  <c:v>Day15</c:v>
                </c:pt>
                <c:pt idx="15">
                  <c:v>Day16</c:v>
                </c:pt>
                <c:pt idx="16">
                  <c:v>Day17</c:v>
                </c:pt>
                <c:pt idx="17">
                  <c:v>Day18</c:v>
                </c:pt>
                <c:pt idx="18">
                  <c:v>Day19</c:v>
                </c:pt>
                <c:pt idx="19">
                  <c:v>Day20</c:v>
                </c:pt>
                <c:pt idx="20">
                  <c:v>Day21</c:v>
                </c:pt>
                <c:pt idx="21">
                  <c:v>Day22</c:v>
                </c:pt>
                <c:pt idx="22">
                  <c:v>Day23</c:v>
                </c:pt>
                <c:pt idx="23">
                  <c:v>Day24</c:v>
                </c:pt>
                <c:pt idx="24">
                  <c:v>Day25</c:v>
                </c:pt>
                <c:pt idx="25">
                  <c:v>Day26</c:v>
                </c:pt>
                <c:pt idx="26">
                  <c:v>Day27</c:v>
                </c:pt>
                <c:pt idx="27">
                  <c:v>Day28</c:v>
                </c:pt>
                <c:pt idx="28">
                  <c:v>Day29</c:v>
                </c:pt>
                <c:pt idx="29">
                  <c:v>Day30</c:v>
                </c:pt>
              </c:strCache>
            </c:strRef>
          </c:xVal>
          <c:yVal>
            <c:numRef>
              <c:f>'Graph Cum'!$B$11:$AE$11</c:f>
              <c:numCache>
                <c:formatCode>0.0</c:formatCode>
                <c:ptCount val="30"/>
                <c:pt idx="0">
                  <c:v>0</c:v>
                </c:pt>
                <c:pt idx="1">
                  <c:v>26</c:v>
                </c:pt>
                <c:pt idx="2">
                  <c:v>6.5</c:v>
                </c:pt>
                <c:pt idx="3">
                  <c:v>0</c:v>
                </c:pt>
                <c:pt idx="4">
                  <c:v>0</c:v>
                </c:pt>
                <c:pt idx="5">
                  <c:v>0</c:v>
                </c:pt>
                <c:pt idx="6">
                  <c:v>0</c:v>
                </c:pt>
                <c:pt idx="7">
                  <c:v>0</c:v>
                </c:pt>
                <c:pt idx="8">
                  <c:v>0</c:v>
                </c:pt>
                <c:pt idx="9">
                  <c:v>0</c:v>
                </c:pt>
                <c:pt idx="10">
                  <c:v>0</c:v>
                </c:pt>
                <c:pt idx="11">
                  <c:v>0</c:v>
                </c:pt>
                <c:pt idx="12">
                  <c:v>0</c:v>
                </c:pt>
                <c:pt idx="13">
                  <c:v>0</c:v>
                </c:pt>
                <c:pt idx="14">
                  <c:v>3.25</c:v>
                </c:pt>
                <c:pt idx="15">
                  <c:v>3.25</c:v>
                </c:pt>
                <c:pt idx="16">
                  <c:v>0</c:v>
                </c:pt>
                <c:pt idx="17">
                  <c:v>6.5</c:v>
                </c:pt>
                <c:pt idx="18">
                  <c:v>104</c:v>
                </c:pt>
                <c:pt idx="19">
                  <c:v>26</c:v>
                </c:pt>
                <c:pt idx="20">
                  <c:v>13</c:v>
                </c:pt>
                <c:pt idx="21">
                  <c:v>19.5</c:v>
                </c:pt>
                <c:pt idx="22">
                  <c:v>13</c:v>
                </c:pt>
                <c:pt idx="23">
                  <c:v>26</c:v>
                </c:pt>
                <c:pt idx="24">
                  <c:v>32.5</c:v>
                </c:pt>
                <c:pt idx="25">
                  <c:v>32.5</c:v>
                </c:pt>
                <c:pt idx="26">
                  <c:v>39</c:v>
                </c:pt>
                <c:pt idx="27">
                  <c:v>26</c:v>
                </c:pt>
                <c:pt idx="28">
                  <c:v>39</c:v>
                </c:pt>
                <c:pt idx="29">
                  <c:v>6.5</c:v>
                </c:pt>
              </c:numCache>
            </c:numRef>
          </c:yVal>
          <c:smooth val="0"/>
          <c:extLst>
            <c:ext xmlns:c16="http://schemas.microsoft.com/office/drawing/2014/chart" uri="{C3380CC4-5D6E-409C-BE32-E72D297353CC}">
              <c16:uniqueId val="{00000002-52EE-4052-BC68-2360DCEC0CF8}"/>
            </c:ext>
          </c:extLst>
        </c:ser>
        <c:dLbls>
          <c:showLegendKey val="0"/>
          <c:showVal val="0"/>
          <c:showCatName val="0"/>
          <c:showSerName val="0"/>
          <c:showPercent val="0"/>
          <c:showBubbleSize val="0"/>
        </c:dLbls>
        <c:axId val="207768304"/>
        <c:axId val="207766736"/>
        <c:extLst>
          <c:ext xmlns:c15="http://schemas.microsoft.com/office/drawing/2012/chart" uri="{02D57815-91ED-43cb-92C2-25804820EDAC}">
            <c15:filteredScatterSeries>
              <c15:ser>
                <c:idx val="0"/>
                <c:order val="0"/>
                <c:tx>
                  <c:strRef>
                    <c:extLst>
                      <c:ext uri="{02D57815-91ED-43cb-92C2-25804820EDAC}">
                        <c15:formulaRef>
                          <c15:sqref>'Graph Cum'!$A$12</c15:sqref>
                        </c15:formulaRef>
                      </c:ext>
                    </c:extLst>
                    <c:strCache>
                      <c:ptCount val="1"/>
                      <c:pt idx="0">
                        <c:v>I + SS + SWW</c:v>
                      </c:pt>
                    </c:strCache>
                  </c:strRef>
                </c:tx>
                <c:spPr>
                  <a:ln w="19050" cap="rnd">
                    <a:noFill/>
                    <a:round/>
                  </a:ln>
                  <a:effectLst/>
                </c:spPr>
                <c:marker>
                  <c:symbol val="circle"/>
                  <c:size val="5"/>
                  <c:spPr>
                    <a:solidFill>
                      <a:schemeClr val="accent1"/>
                    </a:solidFill>
                    <a:ln w="9525">
                      <a:solidFill>
                        <a:schemeClr val="accent1"/>
                      </a:solidFill>
                    </a:ln>
                    <a:effectLst/>
                  </c:spPr>
                </c:marker>
                <c:xVal>
                  <c:numRef>
                    <c:extLst>
                      <c:ext uri="{02D57815-91ED-43cb-92C2-25804820EDAC}">
                        <c15:formulaRef>
                          <c15:sqref>'Graph Cum'!$B$11:$AE$11</c15:sqref>
                        </c15:formulaRef>
                      </c:ext>
                    </c:extLst>
                    <c:numCache>
                      <c:formatCode>0.0</c:formatCode>
                      <c:ptCount val="30"/>
                      <c:pt idx="0">
                        <c:v>0</c:v>
                      </c:pt>
                      <c:pt idx="1">
                        <c:v>26</c:v>
                      </c:pt>
                      <c:pt idx="2">
                        <c:v>6.5</c:v>
                      </c:pt>
                      <c:pt idx="3">
                        <c:v>0</c:v>
                      </c:pt>
                      <c:pt idx="4">
                        <c:v>0</c:v>
                      </c:pt>
                      <c:pt idx="5">
                        <c:v>0</c:v>
                      </c:pt>
                      <c:pt idx="6">
                        <c:v>0</c:v>
                      </c:pt>
                      <c:pt idx="7">
                        <c:v>0</c:v>
                      </c:pt>
                      <c:pt idx="8">
                        <c:v>0</c:v>
                      </c:pt>
                      <c:pt idx="9">
                        <c:v>0</c:v>
                      </c:pt>
                      <c:pt idx="10">
                        <c:v>0</c:v>
                      </c:pt>
                      <c:pt idx="11">
                        <c:v>0</c:v>
                      </c:pt>
                      <c:pt idx="12">
                        <c:v>0</c:v>
                      </c:pt>
                      <c:pt idx="13">
                        <c:v>0</c:v>
                      </c:pt>
                      <c:pt idx="14">
                        <c:v>3.25</c:v>
                      </c:pt>
                      <c:pt idx="15">
                        <c:v>3.25</c:v>
                      </c:pt>
                      <c:pt idx="16">
                        <c:v>0</c:v>
                      </c:pt>
                      <c:pt idx="17">
                        <c:v>6.5</c:v>
                      </c:pt>
                      <c:pt idx="18">
                        <c:v>104</c:v>
                      </c:pt>
                      <c:pt idx="19">
                        <c:v>26</c:v>
                      </c:pt>
                      <c:pt idx="20">
                        <c:v>13</c:v>
                      </c:pt>
                      <c:pt idx="21">
                        <c:v>19.5</c:v>
                      </c:pt>
                      <c:pt idx="22">
                        <c:v>13</c:v>
                      </c:pt>
                      <c:pt idx="23">
                        <c:v>26</c:v>
                      </c:pt>
                      <c:pt idx="24">
                        <c:v>32.5</c:v>
                      </c:pt>
                      <c:pt idx="25">
                        <c:v>32.5</c:v>
                      </c:pt>
                      <c:pt idx="26">
                        <c:v>39</c:v>
                      </c:pt>
                      <c:pt idx="27">
                        <c:v>26</c:v>
                      </c:pt>
                      <c:pt idx="28">
                        <c:v>39</c:v>
                      </c:pt>
                      <c:pt idx="29">
                        <c:v>6.5</c:v>
                      </c:pt>
                    </c:numCache>
                  </c:numRef>
                </c:xVal>
                <c:yVal>
                  <c:numRef>
                    <c:extLst>
                      <c:ext uri="{02D57815-91ED-43cb-92C2-25804820EDAC}">
                        <c15:formulaRef>
                          <c15:sqref>'Graph Cum'!$B$12:$AE$12</c15:sqref>
                        </c15:formulaRef>
                      </c:ext>
                    </c:extLst>
                    <c:numCache>
                      <c:formatCode>General</c:formatCode>
                      <c:ptCount val="30"/>
                    </c:numCache>
                  </c:numRef>
                </c:yVal>
                <c:smooth val="0"/>
                <c:extLst>
                  <c:ext xmlns:c16="http://schemas.microsoft.com/office/drawing/2014/chart" uri="{C3380CC4-5D6E-409C-BE32-E72D297353CC}">
                    <c16:uniqueId val="{00000003-52EE-4052-BC68-2360DCEC0CF8}"/>
                  </c:ext>
                </c:extLst>
              </c15:ser>
            </c15:filteredScatterSeries>
            <c15:filteredScatterSeries>
              <c15:ser>
                <c:idx val="1"/>
                <c:order val="1"/>
                <c:tx>
                  <c:strRef>
                    <c:extLst xmlns:c15="http://schemas.microsoft.com/office/drawing/2012/chart">
                      <c:ext xmlns:c15="http://schemas.microsoft.com/office/drawing/2012/chart" uri="{02D57815-91ED-43cb-92C2-25804820EDAC}">
                        <c15:formulaRef>
                          <c15:sqref>'Graph Cum'!$A$13</c15:sqref>
                        </c15:formulaRef>
                      </c:ext>
                    </c:extLst>
                    <c:strCache>
                      <c:ptCount val="1"/>
                      <c:pt idx="0">
                        <c:v>I + SS + BWW</c:v>
                      </c:pt>
                    </c:strCache>
                  </c:strRef>
                </c:tx>
                <c:spPr>
                  <a:ln w="19050" cap="rnd">
                    <a:noFill/>
                    <a:round/>
                  </a:ln>
                  <a:effectLst/>
                </c:spPr>
                <c:marker>
                  <c:symbol val="circle"/>
                  <c:size val="5"/>
                  <c:spPr>
                    <a:solidFill>
                      <a:schemeClr val="accent2"/>
                    </a:solidFill>
                    <a:ln w="9525">
                      <a:solidFill>
                        <a:schemeClr val="accent2"/>
                      </a:solidFill>
                    </a:ln>
                    <a:effectLst/>
                  </c:spPr>
                </c:marker>
                <c:xVal>
                  <c:numRef>
                    <c:extLst xmlns:c15="http://schemas.microsoft.com/office/drawing/2012/chart">
                      <c:ext xmlns:c15="http://schemas.microsoft.com/office/drawing/2012/chart" uri="{02D57815-91ED-43cb-92C2-25804820EDAC}">
                        <c15:formulaRef>
                          <c15:sqref>'Graph Cum'!$B$11:$AE$11</c15:sqref>
                        </c15:formulaRef>
                      </c:ext>
                    </c:extLst>
                    <c:numCache>
                      <c:formatCode>0.0</c:formatCode>
                      <c:ptCount val="30"/>
                      <c:pt idx="0">
                        <c:v>0</c:v>
                      </c:pt>
                      <c:pt idx="1">
                        <c:v>26</c:v>
                      </c:pt>
                      <c:pt idx="2">
                        <c:v>6.5</c:v>
                      </c:pt>
                      <c:pt idx="3">
                        <c:v>0</c:v>
                      </c:pt>
                      <c:pt idx="4">
                        <c:v>0</c:v>
                      </c:pt>
                      <c:pt idx="5">
                        <c:v>0</c:v>
                      </c:pt>
                      <c:pt idx="6">
                        <c:v>0</c:v>
                      </c:pt>
                      <c:pt idx="7">
                        <c:v>0</c:v>
                      </c:pt>
                      <c:pt idx="8">
                        <c:v>0</c:v>
                      </c:pt>
                      <c:pt idx="9">
                        <c:v>0</c:v>
                      </c:pt>
                      <c:pt idx="10">
                        <c:v>0</c:v>
                      </c:pt>
                      <c:pt idx="11">
                        <c:v>0</c:v>
                      </c:pt>
                      <c:pt idx="12">
                        <c:v>0</c:v>
                      </c:pt>
                      <c:pt idx="13">
                        <c:v>0</c:v>
                      </c:pt>
                      <c:pt idx="14">
                        <c:v>3.25</c:v>
                      </c:pt>
                      <c:pt idx="15">
                        <c:v>3.25</c:v>
                      </c:pt>
                      <c:pt idx="16">
                        <c:v>0</c:v>
                      </c:pt>
                      <c:pt idx="17">
                        <c:v>6.5</c:v>
                      </c:pt>
                      <c:pt idx="18">
                        <c:v>104</c:v>
                      </c:pt>
                      <c:pt idx="19">
                        <c:v>26</c:v>
                      </c:pt>
                      <c:pt idx="20">
                        <c:v>13</c:v>
                      </c:pt>
                      <c:pt idx="21">
                        <c:v>19.5</c:v>
                      </c:pt>
                      <c:pt idx="22">
                        <c:v>13</c:v>
                      </c:pt>
                      <c:pt idx="23">
                        <c:v>26</c:v>
                      </c:pt>
                      <c:pt idx="24">
                        <c:v>32.5</c:v>
                      </c:pt>
                      <c:pt idx="25">
                        <c:v>32.5</c:v>
                      </c:pt>
                      <c:pt idx="26">
                        <c:v>39</c:v>
                      </c:pt>
                      <c:pt idx="27">
                        <c:v>26</c:v>
                      </c:pt>
                      <c:pt idx="28">
                        <c:v>39</c:v>
                      </c:pt>
                      <c:pt idx="29">
                        <c:v>6.5</c:v>
                      </c:pt>
                    </c:numCache>
                  </c:numRef>
                </c:xVal>
                <c:yVal>
                  <c:numRef>
                    <c:extLst xmlns:c15="http://schemas.microsoft.com/office/drawing/2012/chart">
                      <c:ext xmlns:c15="http://schemas.microsoft.com/office/drawing/2012/chart" uri="{02D57815-91ED-43cb-92C2-25804820EDAC}">
                        <c15:formulaRef>
                          <c15:sqref>'Graph Cum'!$B$13:$AE$13</c15:sqref>
                        </c15:formulaRef>
                      </c:ext>
                    </c:extLst>
                    <c:numCache>
                      <c:formatCode>0.0</c:formatCode>
                      <c:ptCount val="30"/>
                      <c:pt idx="0">
                        <c:v>0</c:v>
                      </c:pt>
                      <c:pt idx="1">
                        <c:v>6.5</c:v>
                      </c:pt>
                      <c:pt idx="2">
                        <c:v>13</c:v>
                      </c:pt>
                      <c:pt idx="3">
                        <c:v>0</c:v>
                      </c:pt>
                      <c:pt idx="4">
                        <c:v>0</c:v>
                      </c:pt>
                      <c:pt idx="5">
                        <c:v>0</c:v>
                      </c:pt>
                      <c:pt idx="6">
                        <c:v>0</c:v>
                      </c:pt>
                      <c:pt idx="7">
                        <c:v>0</c:v>
                      </c:pt>
                      <c:pt idx="8">
                        <c:v>0</c:v>
                      </c:pt>
                      <c:pt idx="9">
                        <c:v>0</c:v>
                      </c:pt>
                      <c:pt idx="10">
                        <c:v>0</c:v>
                      </c:pt>
                      <c:pt idx="11">
                        <c:v>6.5</c:v>
                      </c:pt>
                      <c:pt idx="12">
                        <c:v>6.5</c:v>
                      </c:pt>
                      <c:pt idx="13">
                        <c:v>0</c:v>
                      </c:pt>
                      <c:pt idx="14">
                        <c:v>6.5</c:v>
                      </c:pt>
                      <c:pt idx="15">
                        <c:v>55.25</c:v>
                      </c:pt>
                      <c:pt idx="16">
                        <c:v>48.75</c:v>
                      </c:pt>
                      <c:pt idx="17">
                        <c:v>0</c:v>
                      </c:pt>
                      <c:pt idx="18">
                        <c:v>19.5</c:v>
                      </c:pt>
                      <c:pt idx="19">
                        <c:v>3.25</c:v>
                      </c:pt>
                      <c:pt idx="20">
                        <c:v>0</c:v>
                      </c:pt>
                      <c:pt idx="21">
                        <c:v>0</c:v>
                      </c:pt>
                      <c:pt idx="22">
                        <c:v>0</c:v>
                      </c:pt>
                      <c:pt idx="23">
                        <c:v>0</c:v>
                      </c:pt>
                      <c:pt idx="24">
                        <c:v>0</c:v>
                      </c:pt>
                      <c:pt idx="25">
                        <c:v>0</c:v>
                      </c:pt>
                      <c:pt idx="26">
                        <c:v>0</c:v>
                      </c:pt>
                      <c:pt idx="27">
                        <c:v>0</c:v>
                      </c:pt>
                      <c:pt idx="28">
                        <c:v>0</c:v>
                      </c:pt>
                      <c:pt idx="29">
                        <c:v>0</c:v>
                      </c:pt>
                    </c:numCache>
                  </c:numRef>
                </c:yVal>
                <c:smooth val="0"/>
                <c:extLst xmlns:c15="http://schemas.microsoft.com/office/drawing/2012/chart">
                  <c:ext xmlns:c16="http://schemas.microsoft.com/office/drawing/2014/chart" uri="{C3380CC4-5D6E-409C-BE32-E72D297353CC}">
                    <c16:uniqueId val="{00000004-52EE-4052-BC68-2360DCEC0CF8}"/>
                  </c:ext>
                </c:extLst>
              </c15:ser>
            </c15:filteredScatterSeries>
            <c15:filteredScatterSeries>
              <c15:ser>
                <c:idx val="3"/>
                <c:order val="3"/>
                <c:tx>
                  <c:strRef>
                    <c:extLst xmlns:c15="http://schemas.microsoft.com/office/drawing/2012/chart">
                      <c:ext xmlns:c15="http://schemas.microsoft.com/office/drawing/2012/chart" uri="{02D57815-91ED-43cb-92C2-25804820EDAC}">
                        <c15:formulaRef>
                          <c15:sqref>'Graph Cum'!$A$15</c15:sqref>
                        </c15:formulaRef>
                      </c:ext>
                    </c:extLst>
                    <c:strCache>
                      <c:ptCount val="1"/>
                      <c:pt idx="0">
                        <c:v>I + SS + SWW</c:v>
                      </c:pt>
                    </c:strCache>
                  </c:strRef>
                </c:tx>
                <c:spPr>
                  <a:ln w="19050" cap="rnd">
                    <a:noFill/>
                    <a:round/>
                  </a:ln>
                  <a:effectLst/>
                </c:spPr>
                <c:marker>
                  <c:symbol val="circle"/>
                  <c:size val="5"/>
                  <c:spPr>
                    <a:solidFill>
                      <a:schemeClr val="accent4"/>
                    </a:solidFill>
                    <a:ln w="9525">
                      <a:solidFill>
                        <a:schemeClr val="accent4"/>
                      </a:solidFill>
                    </a:ln>
                    <a:effectLst/>
                  </c:spPr>
                </c:marker>
                <c:xVal>
                  <c:numRef>
                    <c:extLst xmlns:c15="http://schemas.microsoft.com/office/drawing/2012/chart">
                      <c:ext xmlns:c15="http://schemas.microsoft.com/office/drawing/2012/chart" uri="{02D57815-91ED-43cb-92C2-25804820EDAC}">
                        <c15:formulaRef>
                          <c15:sqref>'Graph Cum'!$B$11:$AE$11</c15:sqref>
                        </c15:formulaRef>
                      </c:ext>
                    </c:extLst>
                    <c:numCache>
                      <c:formatCode>0.0</c:formatCode>
                      <c:ptCount val="30"/>
                      <c:pt idx="0">
                        <c:v>0</c:v>
                      </c:pt>
                      <c:pt idx="1">
                        <c:v>26</c:v>
                      </c:pt>
                      <c:pt idx="2">
                        <c:v>6.5</c:v>
                      </c:pt>
                      <c:pt idx="3">
                        <c:v>0</c:v>
                      </c:pt>
                      <c:pt idx="4">
                        <c:v>0</c:v>
                      </c:pt>
                      <c:pt idx="5">
                        <c:v>0</c:v>
                      </c:pt>
                      <c:pt idx="6">
                        <c:v>0</c:v>
                      </c:pt>
                      <c:pt idx="7">
                        <c:v>0</c:v>
                      </c:pt>
                      <c:pt idx="8">
                        <c:v>0</c:v>
                      </c:pt>
                      <c:pt idx="9">
                        <c:v>0</c:v>
                      </c:pt>
                      <c:pt idx="10">
                        <c:v>0</c:v>
                      </c:pt>
                      <c:pt idx="11">
                        <c:v>0</c:v>
                      </c:pt>
                      <c:pt idx="12">
                        <c:v>0</c:v>
                      </c:pt>
                      <c:pt idx="13">
                        <c:v>0</c:v>
                      </c:pt>
                      <c:pt idx="14">
                        <c:v>3.25</c:v>
                      </c:pt>
                      <c:pt idx="15">
                        <c:v>3.25</c:v>
                      </c:pt>
                      <c:pt idx="16">
                        <c:v>0</c:v>
                      </c:pt>
                      <c:pt idx="17">
                        <c:v>6.5</c:v>
                      </c:pt>
                      <c:pt idx="18">
                        <c:v>104</c:v>
                      </c:pt>
                      <c:pt idx="19">
                        <c:v>26</c:v>
                      </c:pt>
                      <c:pt idx="20">
                        <c:v>13</c:v>
                      </c:pt>
                      <c:pt idx="21">
                        <c:v>19.5</c:v>
                      </c:pt>
                      <c:pt idx="22">
                        <c:v>13</c:v>
                      </c:pt>
                      <c:pt idx="23">
                        <c:v>26</c:v>
                      </c:pt>
                      <c:pt idx="24">
                        <c:v>32.5</c:v>
                      </c:pt>
                      <c:pt idx="25">
                        <c:v>32.5</c:v>
                      </c:pt>
                      <c:pt idx="26">
                        <c:v>39</c:v>
                      </c:pt>
                      <c:pt idx="27">
                        <c:v>26</c:v>
                      </c:pt>
                      <c:pt idx="28">
                        <c:v>39</c:v>
                      </c:pt>
                      <c:pt idx="29">
                        <c:v>6.5</c:v>
                      </c:pt>
                    </c:numCache>
                  </c:numRef>
                </c:xVal>
                <c:yVal>
                  <c:numRef>
                    <c:extLst xmlns:c15="http://schemas.microsoft.com/office/drawing/2012/chart">
                      <c:ext xmlns:c15="http://schemas.microsoft.com/office/drawing/2012/chart" uri="{02D57815-91ED-43cb-92C2-25804820EDAC}">
                        <c15:formulaRef>
                          <c15:sqref>'Graph Cum'!$B$15:$AE$15</c15:sqref>
                        </c15:formulaRef>
                      </c:ext>
                    </c:extLst>
                    <c:numCache>
                      <c:formatCode>General</c:formatCode>
                      <c:ptCount val="30"/>
                    </c:numCache>
                  </c:numRef>
                </c:yVal>
                <c:smooth val="0"/>
                <c:extLst xmlns:c15="http://schemas.microsoft.com/office/drawing/2012/chart">
                  <c:ext xmlns:c16="http://schemas.microsoft.com/office/drawing/2014/chart" uri="{C3380CC4-5D6E-409C-BE32-E72D297353CC}">
                    <c16:uniqueId val="{00000005-52EE-4052-BC68-2360DCEC0CF8}"/>
                  </c:ext>
                </c:extLst>
              </c15:ser>
            </c15:filteredScatterSeries>
          </c:ext>
        </c:extLst>
      </c:scatterChart>
      <c:valAx>
        <c:axId val="207768304"/>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r>
                  <a:rPr lang="en-US" sz="900">
                    <a:solidFill>
                      <a:schemeClr val="tx1"/>
                    </a:solidFill>
                  </a:rPr>
                  <a:t>Time</a:t>
                </a:r>
                <a:r>
                  <a:rPr lang="en-US" sz="900" baseline="0">
                    <a:solidFill>
                      <a:schemeClr val="tx1"/>
                    </a:solidFill>
                  </a:rPr>
                  <a:t> (day)</a:t>
                </a:r>
                <a:endParaRPr lang="en-US" sz="900">
                  <a:solidFill>
                    <a:schemeClr val="tx1"/>
                  </a:solidFill>
                </a:endParaRPr>
              </a:p>
            </c:rich>
          </c:tx>
          <c:layout>
            <c:manualLayout>
              <c:xMode val="edge"/>
              <c:yMode val="edge"/>
              <c:x val="0.47381824146981616"/>
              <c:y val="0.7774066783318751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t-IT"/>
            </a:p>
          </c:txPr>
        </c:title>
        <c:numFmt formatCode="0" sourceLinked="0"/>
        <c:majorTickMark val="out"/>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t-IT"/>
          </a:p>
        </c:txPr>
        <c:crossAx val="207766736"/>
        <c:crosses val="autoZero"/>
        <c:crossBetween val="midCat"/>
        <c:minorUnit val="2.5"/>
      </c:valAx>
      <c:valAx>
        <c:axId val="207766736"/>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solidFill>
                    <a:latin typeface="+mn-lt"/>
                    <a:ea typeface="+mn-ea"/>
                    <a:cs typeface="+mn-cs"/>
                  </a:defRPr>
                </a:pPr>
                <a:r>
                  <a:rPr lang="en-US" sz="900">
                    <a:solidFill>
                      <a:schemeClr val="tx1"/>
                    </a:solidFill>
                  </a:rPr>
                  <a:t>Biomethane yield (mL)</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t-IT"/>
            </a:p>
          </c:txPr>
        </c:title>
        <c:numFmt formatCode="0" sourceLinked="0"/>
        <c:majorTickMark val="out"/>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it-IT"/>
          </a:p>
        </c:txPr>
        <c:crossAx val="207768304"/>
        <c:crosses val="autoZero"/>
        <c:crossBetween val="midCat"/>
        <c:majorUnit val="100"/>
        <c:minorUnit val="50"/>
      </c:valAx>
      <c:spPr>
        <a:noFill/>
        <a:ln>
          <a:solidFill>
            <a:schemeClr val="tx1"/>
          </a:solid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it-IT"/>
        </a:p>
      </c:txPr>
    </c:legend>
    <c:plotVisOnly val="1"/>
    <c:dispBlanksAs val="gap"/>
    <c:showDLblsOverMax val="0"/>
  </c:chart>
  <c:spPr>
    <a:noFill/>
    <a:ln w="9525" cap="flat" cmpd="sng" algn="ctr">
      <a:noFill/>
      <a:round/>
    </a:ln>
    <a:effectLst/>
  </c:spPr>
  <c:txPr>
    <a:bodyPr/>
    <a:lstStyle/>
    <a:p>
      <a:pPr>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76C4F-AF78-4DAE-BA96-22B801F25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1081</Words>
  <Characters>6167</Characters>
  <Application>Microsoft Office Word</Application>
  <DocSecurity>0</DocSecurity>
  <Lines>51</Lines>
  <Paragraphs>14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5</cp:revision>
  <cp:lastPrinted>2019-01-14T09:48:00Z</cp:lastPrinted>
  <dcterms:created xsi:type="dcterms:W3CDTF">2019-01-14T09:50:00Z</dcterms:created>
  <dcterms:modified xsi:type="dcterms:W3CDTF">2019-08-22T12:04:00Z</dcterms:modified>
</cp:coreProperties>
</file>