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AF5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E0D0CD3" w14:textId="0DBB6329" w:rsidR="00704BDF" w:rsidRPr="00DE0019" w:rsidRDefault="00343A2E" w:rsidP="005E5D3E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43A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Predictive Model </w:t>
      </w:r>
      <w:r w:rsidR="00513719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513719" w:rsidRPr="00343A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Delayed Coker</w:t>
      </w:r>
      <w:r w:rsidRPr="00343A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Unit </w:t>
      </w:r>
      <w:r w:rsidR="00513719"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513719" w:rsidRPr="00343A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or </w:t>
      </w:r>
      <w:r w:rsidRPr="00343A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Studying </w:t>
      </w:r>
      <w:r w:rsidR="005E5D3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Variations </w:t>
      </w:r>
      <w:r w:rsidR="005137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 </w:t>
      </w:r>
      <w:r w:rsidR="005E5D3E">
        <w:rPr>
          <w:rFonts w:asciiTheme="minorHAnsi" w:eastAsia="MS PGothic" w:hAnsiTheme="minorHAnsi"/>
          <w:b/>
          <w:bCs/>
          <w:sz w:val="28"/>
          <w:szCs w:val="28"/>
          <w:lang w:val="en-US"/>
        </w:rPr>
        <w:t>Feed</w:t>
      </w:r>
      <w:r w:rsidR="005137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65B1E187" w14:textId="77777777" w:rsidR="00DE0019" w:rsidRPr="00DE0019" w:rsidRDefault="00343A2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Hala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Kelani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Dr. </w:t>
      </w:r>
      <w:r w:rsidRPr="00343A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Mohammad </w:t>
      </w:r>
      <w:proofErr w:type="spellStart"/>
      <w:r w:rsidRPr="00343A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Abdur</w:t>
      </w:r>
      <w:proofErr w:type="spellEnd"/>
      <w:r w:rsidRPr="00343A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Rakib</w:t>
      </w:r>
      <w:proofErr w:type="gramStart"/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eastAsia="SimSun"/>
          <w:color w:val="000000"/>
          <w:vertAlign w:val="superscript"/>
          <w:lang w:val="en-US" w:eastAsia="zh-CN"/>
        </w:rPr>
        <w:t xml:space="preserve"> </w:t>
      </w:r>
      <w:r>
        <w:rPr>
          <w:rFonts w:eastAsia="SimSun"/>
          <w:color w:val="000000"/>
          <w:lang w:val="en-US" w:eastAsia="zh-CN"/>
        </w:rPr>
        <w:t>,</w:t>
      </w:r>
      <w:proofErr w:type="gramEnd"/>
      <w:r>
        <w:rPr>
          <w:rFonts w:eastAsia="SimSun"/>
          <w:color w:val="000000"/>
          <w:lang w:val="en-US" w:eastAsia="zh-CN"/>
        </w:rPr>
        <w:t xml:space="preserve"> </w:t>
      </w:r>
      <w:r w:rsidRPr="00343A2E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Mohamed AL Musharfy</w:t>
      </w:r>
      <w:r w:rsidR="002D6DD1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343A2E">
        <w:rPr>
          <w:rFonts w:eastAsia="SimSun"/>
          <w:color w:val="000000"/>
          <w:lang w:val="en-US" w:eastAsia="zh-CN"/>
        </w:rPr>
        <w:t xml:space="preserve"> 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70C03BA6" w14:textId="77777777" w:rsidR="00513719" w:rsidRDefault="00EC5D61" w:rsidP="0051371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1,2,3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ADNOC Refining Research</w:t>
      </w:r>
      <w:r w:rsidR="009D39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Center, </w:t>
      </w:r>
      <w:r w:rsidRPr="00EC5D6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 Box 3593</w:t>
      </w:r>
      <w:r w:rsidR="009D39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ADNOC Refining</w:t>
      </w:r>
    </w:p>
    <w:p w14:paraId="6C3362C7" w14:textId="3A01C3C5" w:rsidR="00EC5D61" w:rsidRPr="00EC5D61" w:rsidRDefault="00EC5D61" w:rsidP="0051371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C5D6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Abu Dhabi, United Arab Emirates</w:t>
      </w:r>
    </w:p>
    <w:p w14:paraId="0A61556C" w14:textId="6C708AD6" w:rsidR="00704BDF" w:rsidRPr="00DE0019" w:rsidRDefault="00513719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C5D61">
        <w:rPr>
          <w:rFonts w:asciiTheme="minorHAnsi" w:eastAsia="MS PGothic" w:hAnsiTheme="minorHAnsi"/>
          <w:bCs/>
          <w:i/>
          <w:iCs/>
          <w:sz w:val="20"/>
          <w:lang w:val="en-US"/>
        </w:rPr>
        <w:t>hkelani@adnoc.ae</w:t>
      </w:r>
    </w:p>
    <w:p w14:paraId="530579D3" w14:textId="77777777" w:rsidR="00513719" w:rsidRDefault="00704BDF" w:rsidP="005E5D3E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378F730" w14:textId="77777777" w:rsidR="00513719" w:rsidRDefault="008D5C3C" w:rsidP="00513719">
      <w:pPr>
        <w:pStyle w:val="AbstractHeading"/>
        <w:numPr>
          <w:ilvl w:val="0"/>
          <w:numId w:val="24"/>
        </w:numPr>
        <w:tabs>
          <w:tab w:val="left" w:pos="3547"/>
          <w:tab w:val="center" w:pos="4694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Delayed Coker</w:t>
      </w:r>
    </w:p>
    <w:p w14:paraId="1586EE5D" w14:textId="77777777" w:rsidR="00513719" w:rsidRDefault="005E5D3E" w:rsidP="00513719">
      <w:pPr>
        <w:pStyle w:val="AbstractHeading"/>
        <w:numPr>
          <w:ilvl w:val="0"/>
          <w:numId w:val="24"/>
        </w:numPr>
        <w:tabs>
          <w:tab w:val="left" w:pos="3547"/>
          <w:tab w:val="center" w:pos="4694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Process </w:t>
      </w:r>
      <w:r w:rsidR="008D5C3C">
        <w:rPr>
          <w:rFonts w:asciiTheme="minorHAnsi" w:hAnsiTheme="minorHAnsi"/>
        </w:rPr>
        <w:t>Simulation</w:t>
      </w:r>
    </w:p>
    <w:p w14:paraId="772C198A" w14:textId="77777777" w:rsidR="00513719" w:rsidRDefault="005E5D3E" w:rsidP="00513719">
      <w:pPr>
        <w:pStyle w:val="AbstractHeading"/>
        <w:numPr>
          <w:ilvl w:val="0"/>
          <w:numId w:val="24"/>
        </w:numPr>
        <w:tabs>
          <w:tab w:val="left" w:pos="3547"/>
          <w:tab w:val="center" w:pos="4694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Scenario studies</w:t>
      </w:r>
      <w:bookmarkStart w:id="0" w:name="_GoBack"/>
      <w:bookmarkEnd w:id="0"/>
    </w:p>
    <w:p w14:paraId="5316BDB7" w14:textId="3C8FE40A" w:rsidR="00AA28B1" w:rsidRDefault="005E5D3E" w:rsidP="00513719">
      <w:pPr>
        <w:pStyle w:val="AbstractHeading"/>
        <w:numPr>
          <w:ilvl w:val="0"/>
          <w:numId w:val="24"/>
        </w:numPr>
        <w:tabs>
          <w:tab w:val="left" w:pos="3547"/>
          <w:tab w:val="center" w:pos="4694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Feed flexibility</w:t>
      </w:r>
    </w:p>
    <w:p w14:paraId="2A78F923" w14:textId="77777777" w:rsidR="000D18FB" w:rsidRPr="008D5C3C" w:rsidRDefault="000D18FB" w:rsidP="000D18FB">
      <w:pPr>
        <w:pStyle w:val="AbstractBody"/>
        <w:ind w:left="1440"/>
        <w:rPr>
          <w:rFonts w:asciiTheme="minorHAnsi" w:hAnsiTheme="minorHAnsi"/>
        </w:rPr>
      </w:pPr>
    </w:p>
    <w:p w14:paraId="7DFA7D84" w14:textId="77777777" w:rsidR="00704BDF" w:rsidRPr="008D0BEB" w:rsidRDefault="00704BDF" w:rsidP="000D18FB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DAE2DF0" w14:textId="77777777" w:rsidR="000D18FB" w:rsidRDefault="00675E69" w:rsidP="005975C8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Delayed Coking is a thermal process in which a residuum material 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from a vacuum distillation unit in a refinery </w:t>
      </w: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is rapidly heated in a furnace and then thermally cracked in coke drums under </w:t>
      </w:r>
      <w:r w:rsidR="005E5D3E">
        <w:rPr>
          <w:rFonts w:asciiTheme="minorHAnsi" w:eastAsia="Calibri" w:hAnsiTheme="minorHAnsi" w:cstheme="minorHAnsi"/>
          <w:sz w:val="22"/>
          <w:szCs w:val="22"/>
        </w:rPr>
        <w:t>appropriate</w:t>
      </w: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 conditions of temperature and pressure.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 Typical p</w:t>
      </w: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roducts from </w:t>
      </w:r>
      <w:r w:rsidR="005E5D3E">
        <w:rPr>
          <w:rFonts w:asciiTheme="minorHAnsi" w:eastAsia="Calibri" w:hAnsiTheme="minorHAnsi" w:cstheme="minorHAnsi"/>
          <w:sz w:val="22"/>
          <w:szCs w:val="22"/>
        </w:rPr>
        <w:t>a</w:t>
      </w: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 Delayed Coker 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unit include </w:t>
      </w:r>
      <w:r w:rsidRPr="00675E69">
        <w:rPr>
          <w:rFonts w:asciiTheme="minorHAnsi" w:eastAsia="Calibri" w:hAnsiTheme="minorHAnsi" w:cstheme="minorHAnsi"/>
          <w:sz w:val="22"/>
          <w:szCs w:val="22"/>
        </w:rPr>
        <w:t>Sour Off Gas, Sour LPG (C3s and C4s), full range of Stabilized Coker Naphtha, Light Coker Gas Oil (LCGO), Heavy Coker Gas Oil (HCGO), and Coke (Green Coke).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 In ADNOC Refining, t</w:t>
      </w:r>
      <w:r w:rsidRPr="00675E69">
        <w:rPr>
          <w:rFonts w:asciiTheme="minorHAnsi" w:eastAsia="Calibri" w:hAnsiTheme="minorHAnsi" w:cstheme="minorHAnsi"/>
          <w:sz w:val="22"/>
          <w:szCs w:val="22"/>
        </w:rPr>
        <w:t xml:space="preserve">he Delayed Coker Unit is designed for a feed blend of Vacuum Residue (VR) and Hydrotreated RFCC (Residue Fluidized Catalytic Cracker) Slurry. 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Depending on the availability of feed from its upstream units, and depending on dynamic market scenarios, the feed to a Delayed Coking unit might vary in terms of quality due to variation of blend ratios, as well as in feed rate. Hence, </w:t>
      </w:r>
      <w:r w:rsidR="005975C8">
        <w:rPr>
          <w:rFonts w:asciiTheme="minorHAnsi" w:eastAsia="Calibri" w:hAnsiTheme="minorHAnsi" w:cstheme="minorHAnsi"/>
          <w:sz w:val="22"/>
          <w:szCs w:val="22"/>
        </w:rPr>
        <w:t xml:space="preserve">as reported in this present study, 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a predictive model </w:t>
      </w:r>
      <w:r w:rsidR="005975C8">
        <w:rPr>
          <w:rFonts w:asciiTheme="minorHAnsi" w:eastAsia="Calibri" w:hAnsiTheme="minorHAnsi" w:cstheme="minorHAnsi"/>
          <w:sz w:val="22"/>
          <w:szCs w:val="22"/>
        </w:rPr>
        <w:t xml:space="preserve">was developed using a commercial simulation software 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to conduct scenario studies for </w:t>
      </w:r>
      <w:r w:rsidR="005975C8">
        <w:rPr>
          <w:rFonts w:asciiTheme="minorHAnsi" w:eastAsia="Calibri" w:hAnsiTheme="minorHAnsi" w:cstheme="minorHAnsi"/>
          <w:sz w:val="22"/>
          <w:szCs w:val="22"/>
        </w:rPr>
        <w:t>various</w:t>
      </w:r>
      <w:r w:rsidR="005E5D3E">
        <w:rPr>
          <w:rFonts w:asciiTheme="minorHAnsi" w:eastAsia="Calibri" w:hAnsiTheme="minorHAnsi" w:cstheme="minorHAnsi"/>
          <w:sz w:val="22"/>
          <w:szCs w:val="22"/>
        </w:rPr>
        <w:t xml:space="preserve"> feeding scenarios </w:t>
      </w:r>
      <w:r w:rsidR="005975C8">
        <w:rPr>
          <w:rFonts w:asciiTheme="minorHAnsi" w:eastAsia="Calibri" w:hAnsiTheme="minorHAnsi" w:cstheme="minorHAnsi"/>
          <w:sz w:val="22"/>
          <w:szCs w:val="22"/>
        </w:rPr>
        <w:t xml:space="preserve">(feed throughputs and blend ratios) </w:t>
      </w:r>
      <w:r w:rsidR="005E5D3E">
        <w:rPr>
          <w:rFonts w:asciiTheme="minorHAnsi" w:eastAsia="Calibri" w:hAnsiTheme="minorHAnsi" w:cstheme="minorHAnsi"/>
          <w:sz w:val="22"/>
          <w:szCs w:val="22"/>
        </w:rPr>
        <w:t>to assess the expected impacts on the products yield and properties, prior to introducing these in real operations.</w:t>
      </w:r>
    </w:p>
    <w:p w14:paraId="6E2502C3" w14:textId="77777777" w:rsidR="005E5D3E" w:rsidRPr="00BC5C01" w:rsidRDefault="005E5D3E" w:rsidP="005E5D3E">
      <w:pPr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1CE7E3FC" w14:textId="77777777" w:rsidR="00704BDF" w:rsidRPr="008D0BEB" w:rsidRDefault="00704BDF" w:rsidP="000D18FB">
      <w:pPr>
        <w:tabs>
          <w:tab w:val="clear" w:pos="7100"/>
        </w:tabs>
        <w:spacing w:line="276" w:lineRule="auto"/>
        <w:contextualSpacing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721F8D1" w14:textId="77777777" w:rsidR="00F352D2" w:rsidRPr="005975C8" w:rsidRDefault="00AC6CEA" w:rsidP="00CF3B48">
      <w:pPr>
        <w:spacing w:line="276" w:lineRule="auto"/>
        <w:rPr>
          <w:rFonts w:asciiTheme="minorHAnsi" w:eastAsia="Calibri" w:hAnsiTheme="minorHAnsi" w:cstheme="minorHAnsi"/>
          <w:strike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Delayed coking is a highly </w:t>
      </w:r>
      <w:r w:rsidR="005E5D3E" w:rsidRPr="00BC5C01">
        <w:rPr>
          <w:rFonts w:asciiTheme="minorHAnsi" w:eastAsia="Calibri" w:hAnsiTheme="minorHAnsi" w:cstheme="minorHAnsi"/>
          <w:sz w:val="22"/>
          <w:szCs w:val="22"/>
        </w:rPr>
        <w:t xml:space="preserve">endothermic reaction with the furnace supplying the necessary heat of reaction. </w:t>
      </w:r>
      <w:r w:rsidR="00F352D2" w:rsidRPr="00F352D2">
        <w:rPr>
          <w:rFonts w:asciiTheme="minorHAnsi" w:eastAsia="Calibri" w:hAnsiTheme="minorHAnsi" w:cstheme="minorHAnsi"/>
          <w:sz w:val="22"/>
          <w:szCs w:val="22"/>
        </w:rPr>
        <w:t xml:space="preserve">The exact mechanism of coking is </w:t>
      </w:r>
      <w:r w:rsidR="00F352D2">
        <w:rPr>
          <w:rFonts w:asciiTheme="minorHAnsi" w:eastAsia="Calibri" w:hAnsiTheme="minorHAnsi" w:cstheme="minorHAnsi"/>
          <w:sz w:val="22"/>
          <w:szCs w:val="22"/>
        </w:rPr>
        <w:t>quite</w:t>
      </w:r>
      <w:r w:rsidR="00F352D2" w:rsidRPr="00F352D2">
        <w:rPr>
          <w:rFonts w:asciiTheme="minorHAnsi" w:eastAsia="Calibri" w:hAnsiTheme="minorHAnsi" w:cstheme="minorHAnsi"/>
          <w:sz w:val="22"/>
          <w:szCs w:val="22"/>
        </w:rPr>
        <w:t xml:space="preserve"> complex </w:t>
      </w:r>
      <w:r w:rsidR="00F352D2">
        <w:rPr>
          <w:rFonts w:asciiTheme="minorHAnsi" w:eastAsia="Calibri" w:hAnsiTheme="minorHAnsi" w:cstheme="minorHAnsi"/>
          <w:sz w:val="22"/>
          <w:szCs w:val="22"/>
        </w:rPr>
        <w:t xml:space="preserve">and determination of </w:t>
      </w:r>
      <w:r w:rsidR="00F352D2" w:rsidRPr="00F352D2">
        <w:rPr>
          <w:rFonts w:asciiTheme="minorHAnsi" w:eastAsia="Calibri" w:hAnsiTheme="minorHAnsi" w:cstheme="minorHAnsi"/>
          <w:sz w:val="22"/>
          <w:szCs w:val="22"/>
        </w:rPr>
        <w:t>the chemical reactions occurring</w:t>
      </w:r>
      <w:r w:rsidR="00F352D2">
        <w:rPr>
          <w:rFonts w:asciiTheme="minorHAnsi" w:eastAsia="Calibri" w:hAnsiTheme="minorHAnsi" w:cstheme="minorHAnsi"/>
          <w:sz w:val="22"/>
          <w:szCs w:val="22"/>
        </w:rPr>
        <w:t xml:space="preserve"> would be quite challenging</w:t>
      </w:r>
      <w:r w:rsidR="00F352D2" w:rsidRPr="00F352D2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D531B3B" w14:textId="77777777" w:rsidR="00B76654" w:rsidRDefault="00F352D2" w:rsidP="00B76654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commercial simulation software was utilized in the current study, whereby a base case was calibrated using a design case, denoted as Design Case 1</w:t>
      </w:r>
      <w:r w:rsidR="00B76654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692D">
        <w:rPr>
          <w:rFonts w:asciiTheme="minorHAnsi" w:eastAsia="Calibri" w:hAnsiTheme="minorHAnsi" w:cstheme="minorHAnsi"/>
          <w:sz w:val="22"/>
          <w:szCs w:val="22"/>
        </w:rPr>
        <w:t xml:space="preserve">Data required for this calibration of the base model included: (a) Feed analysis for each stream in the feed blend, e.g. specific gravity, distillation curves, </w:t>
      </w:r>
      <w:proofErr w:type="spellStart"/>
      <w:r w:rsidR="005E692D">
        <w:rPr>
          <w:rFonts w:asciiTheme="minorHAnsi" w:eastAsia="Calibri" w:hAnsiTheme="minorHAnsi" w:cstheme="minorHAnsi"/>
          <w:sz w:val="22"/>
          <w:szCs w:val="22"/>
        </w:rPr>
        <w:t>sulfur</w:t>
      </w:r>
      <w:proofErr w:type="spellEnd"/>
      <w:r w:rsidR="005E692D">
        <w:rPr>
          <w:rFonts w:asciiTheme="minorHAnsi" w:eastAsia="Calibri" w:hAnsiTheme="minorHAnsi" w:cstheme="minorHAnsi"/>
          <w:sz w:val="22"/>
          <w:szCs w:val="22"/>
        </w:rPr>
        <w:t xml:space="preserve"> and metals content etc., (b) detailed operating conditions for each equipment of the unit including delayed </w:t>
      </w:r>
      <w:proofErr w:type="spellStart"/>
      <w:r w:rsidR="005E692D">
        <w:rPr>
          <w:rFonts w:asciiTheme="minorHAnsi" w:eastAsia="Calibri" w:hAnsiTheme="minorHAnsi" w:cstheme="minorHAnsi"/>
          <w:sz w:val="22"/>
          <w:szCs w:val="22"/>
        </w:rPr>
        <w:t>coker</w:t>
      </w:r>
      <w:proofErr w:type="spellEnd"/>
      <w:r w:rsidR="005E692D">
        <w:rPr>
          <w:rFonts w:asciiTheme="minorHAnsi" w:eastAsia="Calibri" w:hAnsiTheme="minorHAnsi" w:cstheme="minorHAnsi"/>
          <w:sz w:val="22"/>
          <w:szCs w:val="22"/>
        </w:rPr>
        <w:t xml:space="preserve"> furnace, coke drums, and the separation column, and (c) product analysis and yields for each product stream from the unit.</w:t>
      </w:r>
    </w:p>
    <w:p w14:paraId="38486DD7" w14:textId="77777777" w:rsidR="005E692D" w:rsidRDefault="00B76654" w:rsidP="00CF3B48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This calibrated model was validated by testing the model against </w:t>
      </w:r>
      <w:r w:rsidR="005975C8">
        <w:rPr>
          <w:rFonts w:asciiTheme="minorHAnsi" w:eastAsia="Calibri" w:hAnsiTheme="minorHAnsi" w:cstheme="minorHAnsi"/>
          <w:sz w:val="22"/>
          <w:szCs w:val="22"/>
        </w:rPr>
        <w:t>another design</w:t>
      </w:r>
      <w:r w:rsidR="00F227B2">
        <w:rPr>
          <w:rFonts w:asciiTheme="minorHAnsi" w:eastAsia="Calibri" w:hAnsiTheme="minorHAnsi" w:cstheme="minorHAnsi"/>
          <w:sz w:val="22"/>
          <w:szCs w:val="22"/>
        </w:rPr>
        <w:t xml:space="preserve"> scenario</w:t>
      </w:r>
      <w:r w:rsidR="005975C8">
        <w:rPr>
          <w:rFonts w:asciiTheme="minorHAnsi" w:eastAsia="Calibri" w:hAnsiTheme="minorHAnsi" w:cstheme="minorHAnsi"/>
          <w:sz w:val="22"/>
          <w:szCs w:val="22"/>
        </w:rPr>
        <w:t>, denoted as</w:t>
      </w:r>
      <w:r w:rsidR="00F227B2">
        <w:rPr>
          <w:rFonts w:asciiTheme="minorHAnsi" w:eastAsia="Calibri" w:hAnsiTheme="minorHAnsi" w:cstheme="minorHAnsi"/>
          <w:sz w:val="22"/>
          <w:szCs w:val="22"/>
        </w:rPr>
        <w:t xml:space="preserve"> Design Case 2</w:t>
      </w:r>
      <w:r w:rsidR="005975C8">
        <w:rPr>
          <w:rFonts w:asciiTheme="minorHAnsi" w:eastAsia="Calibri" w:hAnsiTheme="minorHAnsi" w:cstheme="minorHAnsi"/>
          <w:sz w:val="22"/>
          <w:szCs w:val="22"/>
        </w:rPr>
        <w:t>, in addition to a set of operating data denoted as Scenario 3.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141F">
        <w:rPr>
          <w:rFonts w:asciiTheme="minorHAnsi" w:eastAsia="Calibri" w:hAnsiTheme="minorHAnsi" w:cstheme="minorHAnsi"/>
          <w:sz w:val="22"/>
          <w:szCs w:val="22"/>
        </w:rPr>
        <w:t xml:space="preserve">The prediction for </w:t>
      </w:r>
      <w:r w:rsidR="005975C8">
        <w:rPr>
          <w:rFonts w:asciiTheme="minorHAnsi" w:eastAsia="Calibri" w:hAnsiTheme="minorHAnsi" w:cstheme="minorHAnsi"/>
          <w:sz w:val="22"/>
          <w:szCs w:val="22"/>
        </w:rPr>
        <w:lastRenderedPageBreak/>
        <w:t>these</w:t>
      </w:r>
      <w:r w:rsidR="00EF141F">
        <w:rPr>
          <w:rFonts w:asciiTheme="minorHAnsi" w:eastAsia="Calibri" w:hAnsiTheme="minorHAnsi" w:cstheme="minorHAnsi"/>
          <w:sz w:val="22"/>
          <w:szCs w:val="22"/>
        </w:rPr>
        <w:t xml:space="preserve"> case</w:t>
      </w:r>
      <w:r w:rsidR="005975C8">
        <w:rPr>
          <w:rFonts w:asciiTheme="minorHAnsi" w:eastAsia="Calibri" w:hAnsiTheme="minorHAnsi" w:cstheme="minorHAnsi"/>
          <w:sz w:val="22"/>
          <w:szCs w:val="22"/>
        </w:rPr>
        <w:t>s</w:t>
      </w:r>
      <w:r w:rsidR="005E692D">
        <w:rPr>
          <w:rFonts w:asciiTheme="minorHAnsi" w:eastAsia="Calibri" w:hAnsiTheme="minorHAnsi" w:cstheme="minorHAnsi"/>
          <w:sz w:val="22"/>
          <w:szCs w:val="22"/>
        </w:rPr>
        <w:t xml:space="preserve"> indicated </w:t>
      </w:r>
      <w:r w:rsidR="005975C8">
        <w:rPr>
          <w:rFonts w:asciiTheme="minorHAnsi" w:eastAsia="Calibri" w:hAnsiTheme="minorHAnsi" w:cstheme="minorHAnsi"/>
          <w:sz w:val="22"/>
          <w:szCs w:val="22"/>
        </w:rPr>
        <w:t>a very good match</w:t>
      </w:r>
      <w:r w:rsidR="005E692D">
        <w:rPr>
          <w:rFonts w:asciiTheme="minorHAnsi" w:eastAsia="Calibri" w:hAnsiTheme="minorHAnsi" w:cstheme="minorHAnsi"/>
          <w:sz w:val="22"/>
          <w:szCs w:val="22"/>
        </w:rPr>
        <w:t xml:space="preserve">, and henceforth the calibrated model was utilized for prediction of </w:t>
      </w:r>
      <w:r w:rsidR="00CF3B48">
        <w:rPr>
          <w:rFonts w:asciiTheme="minorHAnsi" w:eastAsia="Calibri" w:hAnsiTheme="minorHAnsi" w:cstheme="minorHAnsi"/>
          <w:sz w:val="22"/>
          <w:szCs w:val="22"/>
        </w:rPr>
        <w:t xml:space="preserve">an additional scenario, denoted as </w:t>
      </w:r>
      <w:r w:rsidR="00F227B2">
        <w:rPr>
          <w:rFonts w:asciiTheme="minorHAnsi" w:eastAsia="Calibri" w:hAnsiTheme="minorHAnsi" w:cstheme="minorHAnsi"/>
          <w:sz w:val="22"/>
          <w:szCs w:val="22"/>
        </w:rPr>
        <w:t>Scenario 4</w:t>
      </w:r>
      <w:r w:rsidR="00EF141F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692D">
        <w:rPr>
          <w:rFonts w:asciiTheme="minorHAnsi" w:eastAsia="Calibri" w:hAnsiTheme="minorHAnsi" w:cstheme="minorHAnsi"/>
          <w:sz w:val="22"/>
          <w:szCs w:val="22"/>
        </w:rPr>
        <w:t xml:space="preserve">Feed for </w:t>
      </w:r>
      <w:proofErr w:type="spellStart"/>
      <w:r w:rsidR="005E692D">
        <w:rPr>
          <w:rFonts w:asciiTheme="minorHAnsi" w:eastAsia="Calibri" w:hAnsiTheme="minorHAnsi" w:cstheme="minorHAnsi"/>
          <w:sz w:val="22"/>
          <w:szCs w:val="22"/>
        </w:rPr>
        <w:t>the</w:t>
      </w:r>
      <w:r w:rsidR="00CF3B48">
        <w:rPr>
          <w:rFonts w:asciiTheme="minorHAnsi" w:eastAsia="Calibri" w:hAnsiTheme="minorHAnsi" w:cstheme="minorHAnsi"/>
          <w:sz w:val="22"/>
          <w:szCs w:val="22"/>
        </w:rPr>
        <w:t>ese</w:t>
      </w:r>
      <w:proofErr w:type="spellEnd"/>
      <w:r w:rsidR="005E692D">
        <w:rPr>
          <w:rFonts w:asciiTheme="minorHAnsi" w:eastAsia="Calibri" w:hAnsiTheme="minorHAnsi" w:cstheme="minorHAnsi"/>
          <w:sz w:val="22"/>
          <w:szCs w:val="22"/>
        </w:rPr>
        <w:t xml:space="preserve"> cases are as </w:t>
      </w:r>
      <w:r w:rsidR="00CF3B48">
        <w:rPr>
          <w:rFonts w:asciiTheme="minorHAnsi" w:eastAsia="Calibri" w:hAnsiTheme="minorHAnsi" w:cstheme="minorHAnsi"/>
          <w:sz w:val="22"/>
          <w:szCs w:val="22"/>
        </w:rPr>
        <w:t>in Table 1.</w:t>
      </w:r>
    </w:p>
    <w:p w14:paraId="4DAAAEEA" w14:textId="77777777" w:rsidR="005E692D" w:rsidRPr="004E0D71" w:rsidRDefault="005E692D" w:rsidP="005E692D">
      <w:pPr>
        <w:snapToGrid w:val="0"/>
        <w:spacing w:before="240" w:line="276" w:lineRule="auto"/>
        <w:jc w:val="center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68232A">
        <w:rPr>
          <w:rFonts w:asciiTheme="minorHAnsi" w:eastAsia="MS PGothic" w:hAnsiTheme="minorHAnsi"/>
          <w:b/>
          <w:color w:val="000000"/>
          <w:szCs w:val="18"/>
          <w:lang w:val="en-US"/>
        </w:rPr>
        <w:t>T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able 1</w:t>
      </w:r>
      <w:r w:rsidRPr="0068232A">
        <w:rPr>
          <w:rFonts w:asciiTheme="minorHAnsi" w:eastAsia="MS PGothic" w:hAnsiTheme="minorHAnsi"/>
          <w:b/>
          <w:color w:val="000000"/>
          <w:szCs w:val="18"/>
          <w:lang w:val="en-US"/>
        </w:rPr>
        <w:t>:</w:t>
      </w:r>
      <w:r w:rsidRPr="0068232A">
        <w:rPr>
          <w:rFonts w:asciiTheme="minorHAnsi" w:eastAsia="MS PGothic" w:hAnsiTheme="minorHAnsi"/>
          <w:bCs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Cs w:val="18"/>
          <w:lang w:val="en-US"/>
        </w:rPr>
        <w:t>Feed blend percentage for each case</w:t>
      </w:r>
    </w:p>
    <w:tbl>
      <w:tblPr>
        <w:tblStyle w:val="TableGrid1"/>
        <w:tblW w:w="8275" w:type="dxa"/>
        <w:jc w:val="center"/>
        <w:tblLook w:val="0420" w:firstRow="1" w:lastRow="0" w:firstColumn="0" w:lastColumn="0" w:noHBand="0" w:noVBand="1"/>
      </w:tblPr>
      <w:tblGrid>
        <w:gridCol w:w="3145"/>
        <w:gridCol w:w="1360"/>
        <w:gridCol w:w="1440"/>
        <w:gridCol w:w="1170"/>
        <w:gridCol w:w="1160"/>
      </w:tblGrid>
      <w:tr w:rsidR="005E692D" w:rsidRPr="006D6A6D" w14:paraId="1C523D13" w14:textId="77777777" w:rsidTr="005E692D">
        <w:trPr>
          <w:trHeight w:val="363"/>
          <w:jc w:val="center"/>
        </w:trPr>
        <w:tc>
          <w:tcPr>
            <w:tcW w:w="3145" w:type="dxa"/>
          </w:tcPr>
          <w:p w14:paraId="280530BC" w14:textId="77777777" w:rsidR="005E692D" w:rsidRPr="006D6A6D" w:rsidRDefault="005E692D" w:rsidP="00D73973">
            <w:pPr>
              <w:spacing w:line="276" w:lineRule="auto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</w:p>
        </w:tc>
        <w:tc>
          <w:tcPr>
            <w:tcW w:w="5130" w:type="dxa"/>
            <w:gridSpan w:val="4"/>
          </w:tcPr>
          <w:p w14:paraId="6A2B5B16" w14:textId="77777777" w:rsidR="005E692D" w:rsidRPr="006D6A6D" w:rsidRDefault="005E692D" w:rsidP="00D73973">
            <w:pPr>
              <w:spacing w:line="276" w:lineRule="auto"/>
              <w:jc w:val="center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 w:rsidRPr="00E87FB9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Flow Rate Percentage (%)</w:t>
            </w:r>
          </w:p>
        </w:tc>
      </w:tr>
      <w:tr w:rsidR="005E692D" w:rsidRPr="006D6A6D" w14:paraId="4C5AD209" w14:textId="77777777" w:rsidTr="005E692D">
        <w:trPr>
          <w:trHeight w:val="300"/>
          <w:jc w:val="center"/>
        </w:trPr>
        <w:tc>
          <w:tcPr>
            <w:tcW w:w="3145" w:type="dxa"/>
            <w:hideMark/>
          </w:tcPr>
          <w:p w14:paraId="19FDD2D4" w14:textId="77777777" w:rsidR="005E692D" w:rsidRPr="006D6A6D" w:rsidRDefault="005E692D" w:rsidP="00D73973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 xml:space="preserve">Feed </w:t>
            </w:r>
          </w:p>
        </w:tc>
        <w:tc>
          <w:tcPr>
            <w:tcW w:w="1360" w:type="dxa"/>
            <w:hideMark/>
          </w:tcPr>
          <w:p w14:paraId="398DC916" w14:textId="77777777" w:rsidR="005E692D" w:rsidRPr="006D6A6D" w:rsidRDefault="005E692D" w:rsidP="00D73973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Design Case 1</w:t>
            </w:r>
          </w:p>
        </w:tc>
        <w:tc>
          <w:tcPr>
            <w:tcW w:w="1440" w:type="dxa"/>
          </w:tcPr>
          <w:p w14:paraId="0F682211" w14:textId="77777777" w:rsidR="005E692D" w:rsidRPr="006D6A6D" w:rsidRDefault="00F227B2" w:rsidP="00D7397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Design Case 2</w:t>
            </w:r>
          </w:p>
        </w:tc>
        <w:tc>
          <w:tcPr>
            <w:tcW w:w="1170" w:type="dxa"/>
          </w:tcPr>
          <w:p w14:paraId="28EFAE2F" w14:textId="77777777" w:rsidR="005E692D" w:rsidRPr="006D6A6D" w:rsidRDefault="002F0D39" w:rsidP="00D7397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 w:rsidRPr="002F0D39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Scenario 3</w:t>
            </w:r>
          </w:p>
        </w:tc>
        <w:tc>
          <w:tcPr>
            <w:tcW w:w="1160" w:type="dxa"/>
          </w:tcPr>
          <w:p w14:paraId="0DFA09E8" w14:textId="77777777" w:rsidR="005E692D" w:rsidRPr="006D6A6D" w:rsidRDefault="002F0D39" w:rsidP="00D7397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 w:rsidRPr="002F0D39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Scenario 4</w:t>
            </w:r>
          </w:p>
        </w:tc>
      </w:tr>
      <w:tr w:rsidR="005E692D" w:rsidRPr="006D6A6D" w14:paraId="0DDC4336" w14:textId="77777777" w:rsidTr="005E692D">
        <w:trPr>
          <w:trHeight w:val="318"/>
          <w:jc w:val="center"/>
        </w:trPr>
        <w:tc>
          <w:tcPr>
            <w:tcW w:w="3145" w:type="dxa"/>
            <w:hideMark/>
          </w:tcPr>
          <w:p w14:paraId="53388B6B" w14:textId="77777777" w:rsidR="005E692D" w:rsidRPr="004E0D71" w:rsidRDefault="005E692D" w:rsidP="005E692D">
            <w:pPr>
              <w:rPr>
                <w:rFonts w:asciiTheme="minorHAnsi" w:hAnsiTheme="minorHAnsi" w:cstheme="minorHAnsi"/>
                <w:sz w:val="20"/>
              </w:rPr>
            </w:pPr>
            <w:r w:rsidRPr="004E0D71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acuum Residue</w:t>
            </w:r>
          </w:p>
        </w:tc>
        <w:tc>
          <w:tcPr>
            <w:tcW w:w="1360" w:type="dxa"/>
          </w:tcPr>
          <w:p w14:paraId="3B497425" w14:textId="77777777" w:rsidR="005E692D" w:rsidRPr="006D6A6D" w:rsidRDefault="005E692D" w:rsidP="00D73973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85</w:t>
            </w:r>
          </w:p>
        </w:tc>
        <w:tc>
          <w:tcPr>
            <w:tcW w:w="1440" w:type="dxa"/>
          </w:tcPr>
          <w:p w14:paraId="0BF974FA" w14:textId="77777777" w:rsidR="005E692D" w:rsidRPr="006D6A6D" w:rsidRDefault="005E692D" w:rsidP="00D73973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85</w:t>
            </w:r>
          </w:p>
        </w:tc>
        <w:tc>
          <w:tcPr>
            <w:tcW w:w="1170" w:type="dxa"/>
          </w:tcPr>
          <w:p w14:paraId="7C0963DF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83</w:t>
            </w:r>
          </w:p>
        </w:tc>
        <w:tc>
          <w:tcPr>
            <w:tcW w:w="1160" w:type="dxa"/>
          </w:tcPr>
          <w:p w14:paraId="0F49660A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85</w:t>
            </w:r>
          </w:p>
        </w:tc>
      </w:tr>
      <w:tr w:rsidR="005E692D" w:rsidRPr="006D6A6D" w14:paraId="150D284F" w14:textId="77777777" w:rsidTr="005E692D">
        <w:trPr>
          <w:trHeight w:val="255"/>
          <w:jc w:val="center"/>
        </w:trPr>
        <w:tc>
          <w:tcPr>
            <w:tcW w:w="3145" w:type="dxa"/>
            <w:hideMark/>
          </w:tcPr>
          <w:p w14:paraId="560B1D39" w14:textId="77777777" w:rsidR="005E692D" w:rsidRPr="004E0D71" w:rsidRDefault="005E692D" w:rsidP="00D73973">
            <w:pPr>
              <w:rPr>
                <w:rFonts w:asciiTheme="minorHAnsi" w:hAnsiTheme="minorHAnsi" w:cstheme="minorHAnsi"/>
                <w:sz w:val="20"/>
              </w:rPr>
            </w:pPr>
            <w:r w:rsidRPr="004E0D71">
              <w:rPr>
                <w:rFonts w:asciiTheme="minorHAnsi" w:hAnsiTheme="minorHAnsi" w:cstheme="minorHAnsi"/>
                <w:sz w:val="20"/>
              </w:rPr>
              <w:t>RFCC Slurry</w:t>
            </w:r>
            <w:r>
              <w:rPr>
                <w:rFonts w:asciiTheme="minorHAnsi" w:hAnsiTheme="minorHAnsi" w:cstheme="minorHAnsi"/>
                <w:sz w:val="20"/>
              </w:rPr>
              <w:t xml:space="preserve"> (0.1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% S)</w:t>
            </w:r>
          </w:p>
        </w:tc>
        <w:tc>
          <w:tcPr>
            <w:tcW w:w="1360" w:type="dxa"/>
          </w:tcPr>
          <w:p w14:paraId="036CECCD" w14:textId="77777777" w:rsidR="005E692D" w:rsidRPr="006D6A6D" w:rsidRDefault="005E692D" w:rsidP="00D73973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15</w:t>
            </w:r>
          </w:p>
        </w:tc>
        <w:tc>
          <w:tcPr>
            <w:tcW w:w="1440" w:type="dxa"/>
          </w:tcPr>
          <w:p w14:paraId="04C526D4" w14:textId="77777777" w:rsidR="005E692D" w:rsidRPr="006D6A6D" w:rsidRDefault="005E692D" w:rsidP="00D73973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-</w:t>
            </w:r>
          </w:p>
        </w:tc>
        <w:tc>
          <w:tcPr>
            <w:tcW w:w="1170" w:type="dxa"/>
          </w:tcPr>
          <w:p w14:paraId="1A6F48E4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</w:p>
        </w:tc>
        <w:tc>
          <w:tcPr>
            <w:tcW w:w="1160" w:type="dxa"/>
          </w:tcPr>
          <w:p w14:paraId="3A4C1D4F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</w:p>
        </w:tc>
      </w:tr>
      <w:tr w:rsidR="005E692D" w:rsidRPr="006D6A6D" w14:paraId="40EB3A33" w14:textId="77777777" w:rsidTr="005E692D">
        <w:trPr>
          <w:trHeight w:val="255"/>
          <w:jc w:val="center"/>
        </w:trPr>
        <w:tc>
          <w:tcPr>
            <w:tcW w:w="3145" w:type="dxa"/>
          </w:tcPr>
          <w:p w14:paraId="34D0128D" w14:textId="77777777" w:rsidR="005E692D" w:rsidRPr="004E0D71" w:rsidRDefault="005E692D" w:rsidP="00D73973">
            <w:pPr>
              <w:rPr>
                <w:rFonts w:asciiTheme="minorHAnsi" w:hAnsiTheme="minorHAnsi" w:cstheme="minorHAnsi"/>
                <w:sz w:val="20"/>
              </w:rPr>
            </w:pPr>
            <w:r w:rsidRPr="004E0D71">
              <w:rPr>
                <w:rFonts w:asciiTheme="minorHAnsi" w:hAnsiTheme="minorHAnsi" w:cstheme="minorHAnsi"/>
                <w:sz w:val="20"/>
              </w:rPr>
              <w:t>RFCC Slurry</w:t>
            </w:r>
            <w:r w:rsidR="00CF3B48">
              <w:rPr>
                <w:rFonts w:asciiTheme="minorHAnsi" w:hAnsiTheme="minorHAnsi" w:cstheme="minorHAnsi"/>
                <w:sz w:val="20"/>
              </w:rPr>
              <w:t xml:space="preserve"> (0.2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% S)</w:t>
            </w:r>
          </w:p>
        </w:tc>
        <w:tc>
          <w:tcPr>
            <w:tcW w:w="1360" w:type="dxa"/>
          </w:tcPr>
          <w:p w14:paraId="2D647960" w14:textId="77777777" w:rsidR="005E692D" w:rsidRDefault="005E692D" w:rsidP="00D73973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40" w:type="dxa"/>
          </w:tcPr>
          <w:p w14:paraId="02911CAA" w14:textId="77777777" w:rsidR="005E692D" w:rsidRDefault="005E692D" w:rsidP="00D73973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15</w:t>
            </w:r>
          </w:p>
        </w:tc>
        <w:tc>
          <w:tcPr>
            <w:tcW w:w="1170" w:type="dxa"/>
          </w:tcPr>
          <w:p w14:paraId="14054F7F" w14:textId="77777777" w:rsidR="005E692D" w:rsidRDefault="007002AE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</w:p>
        </w:tc>
        <w:tc>
          <w:tcPr>
            <w:tcW w:w="1160" w:type="dxa"/>
          </w:tcPr>
          <w:p w14:paraId="2AC77549" w14:textId="77777777" w:rsidR="005E692D" w:rsidRDefault="007002AE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</w:p>
        </w:tc>
      </w:tr>
      <w:tr w:rsidR="005E692D" w:rsidRPr="006D6A6D" w14:paraId="0D4440DD" w14:textId="77777777" w:rsidTr="005E692D">
        <w:trPr>
          <w:trHeight w:val="300"/>
          <w:jc w:val="center"/>
        </w:trPr>
        <w:tc>
          <w:tcPr>
            <w:tcW w:w="3145" w:type="dxa"/>
            <w:hideMark/>
          </w:tcPr>
          <w:p w14:paraId="1B2497B6" w14:textId="77777777" w:rsidR="005E692D" w:rsidRPr="004E0D71" w:rsidRDefault="005E692D" w:rsidP="00D7397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Hydrotreated Atmospheric Residue</w:t>
            </w:r>
          </w:p>
        </w:tc>
        <w:tc>
          <w:tcPr>
            <w:tcW w:w="1360" w:type="dxa"/>
          </w:tcPr>
          <w:p w14:paraId="65DCEB25" w14:textId="77777777" w:rsidR="005E692D" w:rsidRPr="006D6A6D" w:rsidRDefault="005E692D" w:rsidP="00D73973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</w:p>
        </w:tc>
        <w:tc>
          <w:tcPr>
            <w:tcW w:w="1440" w:type="dxa"/>
          </w:tcPr>
          <w:p w14:paraId="6735D5F6" w14:textId="77777777" w:rsidR="005E692D" w:rsidRPr="006D6A6D" w:rsidRDefault="005E692D" w:rsidP="00D73973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-</w:t>
            </w:r>
          </w:p>
        </w:tc>
        <w:tc>
          <w:tcPr>
            <w:tcW w:w="1170" w:type="dxa"/>
          </w:tcPr>
          <w:p w14:paraId="175E314F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17</w:t>
            </w:r>
          </w:p>
        </w:tc>
        <w:tc>
          <w:tcPr>
            <w:tcW w:w="1160" w:type="dxa"/>
          </w:tcPr>
          <w:p w14:paraId="13966F9B" w14:textId="77777777" w:rsidR="005E692D" w:rsidRPr="006D6A6D" w:rsidRDefault="005E692D" w:rsidP="00D7397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15</w:t>
            </w:r>
          </w:p>
        </w:tc>
      </w:tr>
    </w:tbl>
    <w:p w14:paraId="0E791091" w14:textId="77777777" w:rsidR="00EF141F" w:rsidRDefault="00EF141F" w:rsidP="00B76654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57D3994" w14:textId="77777777" w:rsidR="00704BDF" w:rsidRDefault="00704BDF" w:rsidP="000D18FB">
      <w:pPr>
        <w:snapToGrid w:val="0"/>
        <w:spacing w:before="24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016D7BB" w14:textId="77777777" w:rsidR="003D104E" w:rsidRPr="00290C7B" w:rsidRDefault="00290C7B" w:rsidP="00290C7B">
      <w:pPr>
        <w:snapToGrid w:val="0"/>
        <w:spacing w:before="240" w:line="276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Tabulat</w:t>
      </w:r>
      <w:r w:rsidR="00EF14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ed below are results for these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predicted scenarios.</w:t>
      </w:r>
    </w:p>
    <w:p w14:paraId="475EE92A" w14:textId="77777777" w:rsidR="0068232A" w:rsidRPr="00693FFF" w:rsidRDefault="0068232A" w:rsidP="00290C7B">
      <w:pPr>
        <w:snapToGrid w:val="0"/>
        <w:spacing w:before="240" w:line="276" w:lineRule="auto"/>
        <w:jc w:val="center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68232A">
        <w:rPr>
          <w:rFonts w:asciiTheme="minorHAnsi" w:eastAsia="MS PGothic" w:hAnsiTheme="minorHAnsi"/>
          <w:b/>
          <w:color w:val="000000"/>
          <w:szCs w:val="18"/>
          <w:lang w:val="en-US"/>
        </w:rPr>
        <w:t>T</w:t>
      </w:r>
      <w:r w:rsidR="006D6A6D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able </w:t>
      </w:r>
      <w:r w:rsidR="008074D8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68232A">
        <w:rPr>
          <w:rFonts w:asciiTheme="minorHAnsi" w:eastAsia="MS PGothic" w:hAnsiTheme="minorHAnsi"/>
          <w:b/>
          <w:color w:val="000000"/>
          <w:szCs w:val="18"/>
          <w:lang w:val="en-US"/>
        </w:rPr>
        <w:t>:</w:t>
      </w:r>
      <w:r w:rsidRPr="0068232A">
        <w:rPr>
          <w:rFonts w:asciiTheme="minorHAnsi" w:eastAsia="MS PGothic" w:hAnsiTheme="minorHAnsi"/>
          <w:bCs/>
          <w:color w:val="000000"/>
          <w:szCs w:val="18"/>
          <w:lang w:val="en-US"/>
        </w:rPr>
        <w:t xml:space="preserve"> </w:t>
      </w:r>
      <w:r w:rsidR="006D6A6D">
        <w:rPr>
          <w:rFonts w:asciiTheme="minorHAnsi" w:eastAsia="MS PGothic" w:hAnsiTheme="minorHAnsi"/>
          <w:bCs/>
          <w:color w:val="000000"/>
          <w:szCs w:val="18"/>
          <w:lang w:val="en-US"/>
        </w:rPr>
        <w:t>Products yields simulation results for different feed scenarios compared to the calibrated case</w:t>
      </w:r>
    </w:p>
    <w:tbl>
      <w:tblPr>
        <w:tblStyle w:val="TableGrid1"/>
        <w:tblW w:w="7915" w:type="dxa"/>
        <w:jc w:val="center"/>
        <w:tblLook w:val="0420" w:firstRow="1" w:lastRow="0" w:firstColumn="0" w:lastColumn="0" w:noHBand="0" w:noVBand="1"/>
      </w:tblPr>
      <w:tblGrid>
        <w:gridCol w:w="2155"/>
        <w:gridCol w:w="1440"/>
        <w:gridCol w:w="1620"/>
        <w:gridCol w:w="1445"/>
        <w:gridCol w:w="1255"/>
      </w:tblGrid>
      <w:tr w:rsidR="00C95164" w:rsidRPr="00C24897" w14:paraId="611731D1" w14:textId="77777777" w:rsidTr="00290C7B">
        <w:trPr>
          <w:trHeight w:val="363"/>
          <w:jc w:val="center"/>
        </w:trPr>
        <w:tc>
          <w:tcPr>
            <w:tcW w:w="2155" w:type="dxa"/>
          </w:tcPr>
          <w:p w14:paraId="1F23CDFF" w14:textId="77777777" w:rsidR="00C95164" w:rsidRPr="006D6A6D" w:rsidRDefault="00C95164" w:rsidP="000D18FB">
            <w:pPr>
              <w:spacing w:line="276" w:lineRule="auto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</w:p>
        </w:tc>
        <w:tc>
          <w:tcPr>
            <w:tcW w:w="5760" w:type="dxa"/>
            <w:gridSpan w:val="4"/>
          </w:tcPr>
          <w:p w14:paraId="3BA26C08" w14:textId="77777777" w:rsidR="00C95164" w:rsidRPr="006D6A6D" w:rsidRDefault="00C95164" w:rsidP="003C52A9">
            <w:pPr>
              <w:spacing w:line="276" w:lineRule="auto"/>
              <w:jc w:val="center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 w:rsidRPr="006D6A6D"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Yields (</w:t>
            </w:r>
            <w:proofErr w:type="spellStart"/>
            <w:r w:rsidRPr="006D6A6D"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wt</w:t>
            </w:r>
            <w:proofErr w:type="spellEnd"/>
            <w:r w:rsidRPr="006D6A6D"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%)</w:t>
            </w:r>
          </w:p>
        </w:tc>
      </w:tr>
      <w:tr w:rsidR="00C95164" w:rsidRPr="00C24897" w14:paraId="4F2E776A" w14:textId="77777777" w:rsidTr="00290C7B">
        <w:trPr>
          <w:trHeight w:val="300"/>
          <w:jc w:val="center"/>
        </w:trPr>
        <w:tc>
          <w:tcPr>
            <w:tcW w:w="2155" w:type="dxa"/>
            <w:hideMark/>
          </w:tcPr>
          <w:p w14:paraId="51DF00A2" w14:textId="77777777" w:rsidR="00C95164" w:rsidRPr="006D6A6D" w:rsidRDefault="00C95164" w:rsidP="000D18FB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 xml:space="preserve">Products </w:t>
            </w:r>
          </w:p>
        </w:tc>
        <w:tc>
          <w:tcPr>
            <w:tcW w:w="1440" w:type="dxa"/>
            <w:hideMark/>
          </w:tcPr>
          <w:p w14:paraId="73281B4B" w14:textId="77777777" w:rsidR="00C95164" w:rsidRPr="006D6A6D" w:rsidRDefault="00C95164" w:rsidP="006D6A6D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Design Case 1</w:t>
            </w:r>
          </w:p>
        </w:tc>
        <w:tc>
          <w:tcPr>
            <w:tcW w:w="1620" w:type="dxa"/>
          </w:tcPr>
          <w:p w14:paraId="64AC0148" w14:textId="77777777" w:rsidR="00C95164" w:rsidRPr="006D6A6D" w:rsidRDefault="00C95164" w:rsidP="006D6A6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Design Case 2</w:t>
            </w:r>
          </w:p>
        </w:tc>
        <w:tc>
          <w:tcPr>
            <w:tcW w:w="1445" w:type="dxa"/>
          </w:tcPr>
          <w:p w14:paraId="35BA1CDF" w14:textId="77777777" w:rsidR="00C95164" w:rsidRPr="006D6A6D" w:rsidRDefault="00F227B2" w:rsidP="006D6A6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 xml:space="preserve">Scenario </w:t>
            </w:r>
            <w:r w:rsidR="00C95164"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3</w:t>
            </w:r>
          </w:p>
        </w:tc>
        <w:tc>
          <w:tcPr>
            <w:tcW w:w="1255" w:type="dxa"/>
          </w:tcPr>
          <w:p w14:paraId="3FF25833" w14:textId="77777777" w:rsidR="00C95164" w:rsidRPr="006D6A6D" w:rsidRDefault="00F227B2" w:rsidP="006D6A6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>Scenario</w:t>
            </w:r>
            <w:r w:rsidR="00C95164" w:rsidRPr="006D6A6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lang w:val="en-US"/>
              </w:rPr>
              <w:t xml:space="preserve"> 4</w:t>
            </w:r>
          </w:p>
        </w:tc>
      </w:tr>
      <w:tr w:rsidR="00C95164" w:rsidRPr="00C24897" w14:paraId="260E4D5F" w14:textId="77777777" w:rsidTr="00290C7B">
        <w:trPr>
          <w:trHeight w:val="318"/>
          <w:jc w:val="center"/>
        </w:trPr>
        <w:tc>
          <w:tcPr>
            <w:tcW w:w="2155" w:type="dxa"/>
            <w:hideMark/>
          </w:tcPr>
          <w:p w14:paraId="44A80402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 xml:space="preserve">Gas </w:t>
            </w:r>
          </w:p>
        </w:tc>
        <w:tc>
          <w:tcPr>
            <w:tcW w:w="1440" w:type="dxa"/>
            <w:hideMark/>
          </w:tcPr>
          <w:p w14:paraId="7CAEAD25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4.7</w:t>
            </w:r>
          </w:p>
        </w:tc>
        <w:tc>
          <w:tcPr>
            <w:tcW w:w="1620" w:type="dxa"/>
          </w:tcPr>
          <w:p w14:paraId="54355E46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4.7</w:t>
            </w:r>
          </w:p>
        </w:tc>
        <w:tc>
          <w:tcPr>
            <w:tcW w:w="1445" w:type="dxa"/>
          </w:tcPr>
          <w:p w14:paraId="1E6E8AC2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4.21</w:t>
            </w:r>
          </w:p>
        </w:tc>
        <w:tc>
          <w:tcPr>
            <w:tcW w:w="1255" w:type="dxa"/>
          </w:tcPr>
          <w:p w14:paraId="11CDFA76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4.191</w:t>
            </w:r>
          </w:p>
        </w:tc>
      </w:tr>
      <w:tr w:rsidR="00C95164" w:rsidRPr="00C24897" w14:paraId="5488586D" w14:textId="77777777" w:rsidTr="00290C7B">
        <w:trPr>
          <w:trHeight w:val="255"/>
          <w:jc w:val="center"/>
        </w:trPr>
        <w:tc>
          <w:tcPr>
            <w:tcW w:w="2155" w:type="dxa"/>
            <w:hideMark/>
          </w:tcPr>
          <w:p w14:paraId="0DBAFA73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LPG</w:t>
            </w:r>
          </w:p>
        </w:tc>
        <w:tc>
          <w:tcPr>
            <w:tcW w:w="1440" w:type="dxa"/>
            <w:hideMark/>
          </w:tcPr>
          <w:p w14:paraId="5926C573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4.82</w:t>
            </w:r>
          </w:p>
        </w:tc>
        <w:tc>
          <w:tcPr>
            <w:tcW w:w="1620" w:type="dxa"/>
          </w:tcPr>
          <w:p w14:paraId="3F71A50B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4.82</w:t>
            </w:r>
          </w:p>
        </w:tc>
        <w:tc>
          <w:tcPr>
            <w:tcW w:w="1445" w:type="dxa"/>
          </w:tcPr>
          <w:p w14:paraId="05D56FCA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5.64</w:t>
            </w:r>
          </w:p>
        </w:tc>
        <w:tc>
          <w:tcPr>
            <w:tcW w:w="1255" w:type="dxa"/>
          </w:tcPr>
          <w:p w14:paraId="682E5539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5.596</w:t>
            </w:r>
          </w:p>
        </w:tc>
      </w:tr>
      <w:tr w:rsidR="00C95164" w:rsidRPr="00C24897" w14:paraId="7FCCB9D6" w14:textId="77777777" w:rsidTr="00290C7B">
        <w:trPr>
          <w:trHeight w:val="300"/>
          <w:jc w:val="center"/>
        </w:trPr>
        <w:tc>
          <w:tcPr>
            <w:tcW w:w="2155" w:type="dxa"/>
            <w:hideMark/>
          </w:tcPr>
          <w:p w14:paraId="0DB53CF2" w14:textId="77777777" w:rsidR="00C95164" w:rsidRPr="006D6A6D" w:rsidRDefault="006D6A6D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 xml:space="preserve">Light </w:t>
            </w:r>
            <w:r w:rsidR="00C95164"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Coker Naphtha</w:t>
            </w:r>
          </w:p>
        </w:tc>
        <w:tc>
          <w:tcPr>
            <w:tcW w:w="1440" w:type="dxa"/>
            <w:hideMark/>
          </w:tcPr>
          <w:p w14:paraId="7CEFC03D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16.67</w:t>
            </w:r>
          </w:p>
        </w:tc>
        <w:tc>
          <w:tcPr>
            <w:tcW w:w="1620" w:type="dxa"/>
          </w:tcPr>
          <w:p w14:paraId="14AEEA6F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16.52</w:t>
            </w:r>
          </w:p>
        </w:tc>
        <w:tc>
          <w:tcPr>
            <w:tcW w:w="1445" w:type="dxa"/>
          </w:tcPr>
          <w:p w14:paraId="15646AFC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18.94</w:t>
            </w:r>
          </w:p>
        </w:tc>
        <w:tc>
          <w:tcPr>
            <w:tcW w:w="1255" w:type="dxa"/>
          </w:tcPr>
          <w:p w14:paraId="48690409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18.659</w:t>
            </w:r>
          </w:p>
        </w:tc>
      </w:tr>
      <w:tr w:rsidR="00C95164" w:rsidRPr="00C24897" w14:paraId="45B7D08A" w14:textId="77777777" w:rsidTr="00290C7B">
        <w:trPr>
          <w:trHeight w:val="345"/>
          <w:jc w:val="center"/>
        </w:trPr>
        <w:tc>
          <w:tcPr>
            <w:tcW w:w="2155" w:type="dxa"/>
            <w:hideMark/>
          </w:tcPr>
          <w:p w14:paraId="6C024E83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Heavy Coker Naphtha</w:t>
            </w:r>
          </w:p>
        </w:tc>
        <w:tc>
          <w:tcPr>
            <w:tcW w:w="1440" w:type="dxa"/>
            <w:hideMark/>
          </w:tcPr>
          <w:p w14:paraId="2F8AD686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8.71</w:t>
            </w:r>
          </w:p>
        </w:tc>
        <w:tc>
          <w:tcPr>
            <w:tcW w:w="1620" w:type="dxa"/>
          </w:tcPr>
          <w:p w14:paraId="7C54B1E9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8.623</w:t>
            </w:r>
          </w:p>
        </w:tc>
        <w:tc>
          <w:tcPr>
            <w:tcW w:w="1445" w:type="dxa"/>
          </w:tcPr>
          <w:p w14:paraId="583A32AD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9.8335</w:t>
            </w:r>
          </w:p>
        </w:tc>
        <w:tc>
          <w:tcPr>
            <w:tcW w:w="1255" w:type="dxa"/>
          </w:tcPr>
          <w:p w14:paraId="4BB6FA94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9.713</w:t>
            </w:r>
          </w:p>
        </w:tc>
      </w:tr>
      <w:tr w:rsidR="00C95164" w:rsidRPr="00C24897" w14:paraId="404D65C5" w14:textId="77777777" w:rsidTr="00290C7B">
        <w:trPr>
          <w:trHeight w:val="345"/>
          <w:jc w:val="center"/>
        </w:trPr>
        <w:tc>
          <w:tcPr>
            <w:tcW w:w="2155" w:type="dxa"/>
            <w:hideMark/>
          </w:tcPr>
          <w:p w14:paraId="37C810A1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Light Coker Gas Oil</w:t>
            </w:r>
          </w:p>
        </w:tc>
        <w:tc>
          <w:tcPr>
            <w:tcW w:w="1440" w:type="dxa"/>
            <w:hideMark/>
          </w:tcPr>
          <w:p w14:paraId="1132C9CE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26.53</w:t>
            </w:r>
          </w:p>
        </w:tc>
        <w:tc>
          <w:tcPr>
            <w:tcW w:w="1620" w:type="dxa"/>
          </w:tcPr>
          <w:p w14:paraId="6474AB17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26.29</w:t>
            </w:r>
          </w:p>
        </w:tc>
        <w:tc>
          <w:tcPr>
            <w:tcW w:w="1445" w:type="dxa"/>
          </w:tcPr>
          <w:p w14:paraId="6AD48797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29.93</w:t>
            </w:r>
          </w:p>
        </w:tc>
        <w:tc>
          <w:tcPr>
            <w:tcW w:w="1255" w:type="dxa"/>
          </w:tcPr>
          <w:p w14:paraId="76629DD2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29.68</w:t>
            </w:r>
          </w:p>
        </w:tc>
      </w:tr>
      <w:tr w:rsidR="00C95164" w:rsidRPr="00C24897" w14:paraId="7F7F571F" w14:textId="77777777" w:rsidTr="00290C7B">
        <w:trPr>
          <w:trHeight w:val="363"/>
          <w:jc w:val="center"/>
        </w:trPr>
        <w:tc>
          <w:tcPr>
            <w:tcW w:w="2155" w:type="dxa"/>
            <w:hideMark/>
          </w:tcPr>
          <w:p w14:paraId="7446005E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Heavy Coker Gas Oil</w:t>
            </w:r>
          </w:p>
        </w:tc>
        <w:tc>
          <w:tcPr>
            <w:tcW w:w="1440" w:type="dxa"/>
            <w:hideMark/>
          </w:tcPr>
          <w:p w14:paraId="3C891321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6.25</w:t>
            </w:r>
          </w:p>
        </w:tc>
        <w:tc>
          <w:tcPr>
            <w:tcW w:w="1620" w:type="dxa"/>
          </w:tcPr>
          <w:p w14:paraId="71AFB1ED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6.31</w:t>
            </w:r>
          </w:p>
        </w:tc>
        <w:tc>
          <w:tcPr>
            <w:tcW w:w="1445" w:type="dxa"/>
          </w:tcPr>
          <w:p w14:paraId="7C49C23C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5.68</w:t>
            </w:r>
          </w:p>
        </w:tc>
        <w:tc>
          <w:tcPr>
            <w:tcW w:w="1255" w:type="dxa"/>
          </w:tcPr>
          <w:p w14:paraId="34AD82CA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5.72</w:t>
            </w:r>
          </w:p>
        </w:tc>
      </w:tr>
      <w:tr w:rsidR="00C95164" w:rsidRPr="00C24897" w14:paraId="755AB939" w14:textId="77777777" w:rsidTr="00290C7B">
        <w:trPr>
          <w:trHeight w:val="345"/>
          <w:jc w:val="center"/>
        </w:trPr>
        <w:tc>
          <w:tcPr>
            <w:tcW w:w="2155" w:type="dxa"/>
            <w:hideMark/>
          </w:tcPr>
          <w:p w14:paraId="533E3500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lang w:val="en-US"/>
              </w:rPr>
              <w:t>Coke</w:t>
            </w:r>
          </w:p>
        </w:tc>
        <w:tc>
          <w:tcPr>
            <w:tcW w:w="1440" w:type="dxa"/>
            <w:hideMark/>
          </w:tcPr>
          <w:p w14:paraId="14841AD8" w14:textId="77777777" w:rsidR="00C95164" w:rsidRPr="006D6A6D" w:rsidRDefault="00C95164" w:rsidP="00C95164">
            <w:pPr>
              <w:spacing w:line="276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32.14</w:t>
            </w:r>
          </w:p>
        </w:tc>
        <w:tc>
          <w:tcPr>
            <w:tcW w:w="1620" w:type="dxa"/>
          </w:tcPr>
          <w:p w14:paraId="2B067BC7" w14:textId="77777777" w:rsidR="00C95164" w:rsidRPr="006D6A6D" w:rsidRDefault="00C95164" w:rsidP="00C95164">
            <w:pPr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</w:pPr>
            <w:r w:rsidRPr="006D6A6D">
              <w:rPr>
                <w:rFonts w:asciiTheme="minorHAnsi" w:hAnsiTheme="minorHAnsi" w:cstheme="minorHAnsi"/>
                <w:color w:val="000000" w:themeColor="dark1"/>
                <w:kern w:val="24"/>
                <w:sz w:val="20"/>
              </w:rPr>
              <w:t>32.7</w:t>
            </w:r>
          </w:p>
        </w:tc>
        <w:tc>
          <w:tcPr>
            <w:tcW w:w="1445" w:type="dxa"/>
          </w:tcPr>
          <w:p w14:paraId="32C75AAF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25.1</w:t>
            </w:r>
          </w:p>
        </w:tc>
        <w:tc>
          <w:tcPr>
            <w:tcW w:w="1255" w:type="dxa"/>
          </w:tcPr>
          <w:p w14:paraId="24EEB9CD" w14:textId="77777777" w:rsidR="00C95164" w:rsidRPr="006D6A6D" w:rsidRDefault="00C95164" w:rsidP="00C9516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D6A6D">
              <w:rPr>
                <w:rFonts w:asciiTheme="minorHAnsi" w:hAnsiTheme="minorHAnsi" w:cstheme="minorHAnsi"/>
                <w:sz w:val="20"/>
                <w:lang w:val="en-US"/>
              </w:rPr>
              <w:t>25.74</w:t>
            </w:r>
          </w:p>
        </w:tc>
      </w:tr>
    </w:tbl>
    <w:p w14:paraId="3480B20C" w14:textId="77777777" w:rsidR="00DF352A" w:rsidRDefault="00DF352A" w:rsidP="00DF352A">
      <w:pPr>
        <w:rPr>
          <w:sz w:val="20"/>
          <w:lang w:val="en-US"/>
        </w:rPr>
      </w:pPr>
    </w:p>
    <w:p w14:paraId="483B5764" w14:textId="77777777" w:rsidR="00CF31FF" w:rsidRPr="00CF31FF" w:rsidRDefault="00CF31FF" w:rsidP="00DF352A">
      <w:pP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The presentation will include a detailed discussion of these results and the source of these variations of the individual yields.</w:t>
      </w:r>
    </w:p>
    <w:p w14:paraId="279479C9" w14:textId="77777777" w:rsidR="00704BDF" w:rsidRDefault="00704BDF" w:rsidP="000D18FB">
      <w:pPr>
        <w:snapToGrid w:val="0"/>
        <w:spacing w:before="24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610E16D" w14:textId="77777777" w:rsidR="002070A3" w:rsidRPr="008D0BEB" w:rsidRDefault="002070A3" w:rsidP="00CF31FF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 commercial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Delayed Coker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uni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 was simulated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, whereby one</w:t>
      </w:r>
      <w:r w:rsidR="00290C7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set of d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esign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data w</w:t>
      </w:r>
      <w:r w:rsidR="00290C7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ere used to calibrate the </w:t>
      </w:r>
      <w:proofErr w:type="gramStart"/>
      <w:r w:rsidR="00290C7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model, and</w:t>
      </w:r>
      <w:proofErr w:type="gramEnd"/>
      <w:r w:rsidR="00290C7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validated using a second set of design data and actual operating data. 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P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arametric prediction cases were performed and validated directionally 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to provide operational guidelines to the refinery process engineers for assessing unit performance and limits of feed flexibility for the various feeding scenarios.</w:t>
      </w:r>
      <w:r w:rsidR="000D18FB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5E6D2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The coke product yield has been significantly impacted while using hydrotreated atmospheric resi</w:t>
      </w:r>
      <w:r w:rsidR="006C54B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due in the feed blend. 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These step-out predictions have also been made available for refinery production planning personnel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to generate Linear Programming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</w:t>
      </w:r>
      <w:r w:rsidR="00CF31F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(LP) </w:t>
      </w:r>
      <w:r w:rsidRPr="002070A3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vectors for input for production planning software. </w:t>
      </w:r>
    </w:p>
    <w:p w14:paraId="50A4B810" w14:textId="77777777" w:rsidR="00704BDF" w:rsidRPr="008D0BEB" w:rsidRDefault="00704BDF" w:rsidP="000D18FB">
      <w:pPr>
        <w:snapToGrid w:val="0"/>
        <w:spacing w:before="240" w:line="276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AA28B1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AA28B1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EEE5734" w14:textId="016C0B87" w:rsidR="00704BDF" w:rsidRPr="00513719" w:rsidRDefault="00CF3B98" w:rsidP="00513719">
      <w:pPr>
        <w:pStyle w:val="FirstParagraph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Theme="minorHAnsi" w:eastAsia="SimSun" w:hAnsiTheme="minorHAnsi"/>
          <w:lang w:eastAsia="zh-CN"/>
        </w:rPr>
      </w:pPr>
      <w:r w:rsidRPr="00CF3B98">
        <w:rPr>
          <w:rFonts w:asciiTheme="minorHAnsi" w:eastAsia="SimSun" w:hAnsiTheme="minorHAnsi"/>
          <w:lang w:eastAsia="zh-CN"/>
        </w:rPr>
        <w:t>Delayed Coker Operating Manual, ADNOC Refining, 2014</w:t>
      </w:r>
      <w:r>
        <w:rPr>
          <w:rFonts w:asciiTheme="minorHAnsi" w:eastAsia="SimSun" w:hAnsiTheme="minorHAnsi"/>
          <w:lang w:eastAsia="zh-CN"/>
        </w:rPr>
        <w:t>.</w:t>
      </w:r>
    </w:p>
    <w:sectPr w:rsidR="00704BDF" w:rsidRPr="0051371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FD8F" w14:textId="77777777" w:rsidR="005E7E09" w:rsidRDefault="005E7E09" w:rsidP="004F5E36">
      <w:r>
        <w:separator/>
      </w:r>
    </w:p>
  </w:endnote>
  <w:endnote w:type="continuationSeparator" w:id="0">
    <w:p w14:paraId="408BA721" w14:textId="77777777" w:rsidR="005E7E09" w:rsidRDefault="005E7E0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2B9E" w14:textId="77777777" w:rsidR="005E7E09" w:rsidRDefault="005E7E09" w:rsidP="004F5E36">
      <w:r>
        <w:separator/>
      </w:r>
    </w:p>
  </w:footnote>
  <w:footnote w:type="continuationSeparator" w:id="0">
    <w:p w14:paraId="065A32C4" w14:textId="77777777" w:rsidR="005E7E09" w:rsidRDefault="005E7E0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2686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BC4BD" wp14:editId="0FB726F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7CB2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05E4380" wp14:editId="3B503C5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25D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27FAAD" wp14:editId="68C886A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A250850" w14:textId="77777777" w:rsidR="00704BDF" w:rsidRDefault="00704BDF">
    <w:pPr>
      <w:pStyle w:val="Intestazione"/>
    </w:pPr>
  </w:p>
  <w:p w14:paraId="79BCE962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1A8C6" wp14:editId="3F14AF6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1C16C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6F1"/>
    <w:multiLevelType w:val="hybridMultilevel"/>
    <w:tmpl w:val="EC32EE8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72079D7"/>
    <w:multiLevelType w:val="hybridMultilevel"/>
    <w:tmpl w:val="F20E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112855AA"/>
    <w:multiLevelType w:val="hybridMultilevel"/>
    <w:tmpl w:val="5A96A97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41F15E8"/>
    <w:multiLevelType w:val="hybridMultilevel"/>
    <w:tmpl w:val="4D02998E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A441E6C"/>
    <w:multiLevelType w:val="hybridMultilevel"/>
    <w:tmpl w:val="B396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529AA"/>
    <w:multiLevelType w:val="multilevel"/>
    <w:tmpl w:val="2004B324"/>
    <w:lvl w:ilvl="0">
      <w:start w:val="1"/>
      <w:numFmt w:val="decimal"/>
      <w:lvlText w:val="%1"/>
      <w:lvlJc w:val="left"/>
      <w:pPr>
        <w:tabs>
          <w:tab w:val="num" w:pos="840"/>
        </w:tabs>
        <w:ind w:left="840" w:hanging="72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84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2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3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4440" w:hanging="1440"/>
      </w:pPr>
      <w:rPr>
        <w:rFonts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4F4AA4"/>
    <w:multiLevelType w:val="hybridMultilevel"/>
    <w:tmpl w:val="4F141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7"/>
  </w:num>
  <w:num w:numId="14">
    <w:abstractNumId w:val="21"/>
  </w:num>
  <w:num w:numId="15">
    <w:abstractNumId w:val="22"/>
  </w:num>
  <w:num w:numId="16">
    <w:abstractNumId w:val="23"/>
  </w:num>
  <w:num w:numId="17">
    <w:abstractNumId w:val="12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1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7D6F"/>
    <w:rsid w:val="00062A9A"/>
    <w:rsid w:val="00070F9C"/>
    <w:rsid w:val="000A03B2"/>
    <w:rsid w:val="000C5CF9"/>
    <w:rsid w:val="000D18FB"/>
    <w:rsid w:val="000D34BE"/>
    <w:rsid w:val="000E36F1"/>
    <w:rsid w:val="000E3A73"/>
    <w:rsid w:val="000E414A"/>
    <w:rsid w:val="000F47A2"/>
    <w:rsid w:val="0010304B"/>
    <w:rsid w:val="0013121F"/>
    <w:rsid w:val="00134DE4"/>
    <w:rsid w:val="00150E59"/>
    <w:rsid w:val="00165DD4"/>
    <w:rsid w:val="001727D0"/>
    <w:rsid w:val="00176C1E"/>
    <w:rsid w:val="00184AD6"/>
    <w:rsid w:val="001B65C1"/>
    <w:rsid w:val="001C684B"/>
    <w:rsid w:val="001D53FC"/>
    <w:rsid w:val="001F2EC7"/>
    <w:rsid w:val="002065DB"/>
    <w:rsid w:val="002070A3"/>
    <w:rsid w:val="002447EF"/>
    <w:rsid w:val="00251550"/>
    <w:rsid w:val="0027221A"/>
    <w:rsid w:val="00275B61"/>
    <w:rsid w:val="00290C7B"/>
    <w:rsid w:val="002D1F12"/>
    <w:rsid w:val="002D6DD1"/>
    <w:rsid w:val="002F0D39"/>
    <w:rsid w:val="003009B7"/>
    <w:rsid w:val="0030469C"/>
    <w:rsid w:val="00343A2E"/>
    <w:rsid w:val="00361326"/>
    <w:rsid w:val="003723D4"/>
    <w:rsid w:val="00384F4F"/>
    <w:rsid w:val="003A479A"/>
    <w:rsid w:val="003A7D1C"/>
    <w:rsid w:val="003B4544"/>
    <w:rsid w:val="003C434D"/>
    <w:rsid w:val="003C52A9"/>
    <w:rsid w:val="003C7ECB"/>
    <w:rsid w:val="003D104E"/>
    <w:rsid w:val="003F7AB2"/>
    <w:rsid w:val="00415078"/>
    <w:rsid w:val="00420C9B"/>
    <w:rsid w:val="0046164A"/>
    <w:rsid w:val="00462DCD"/>
    <w:rsid w:val="004D1162"/>
    <w:rsid w:val="004D3E2E"/>
    <w:rsid w:val="004E0D71"/>
    <w:rsid w:val="004E4DD6"/>
    <w:rsid w:val="004F5312"/>
    <w:rsid w:val="004F5E36"/>
    <w:rsid w:val="00501C80"/>
    <w:rsid w:val="0050278D"/>
    <w:rsid w:val="005119A5"/>
    <w:rsid w:val="00513719"/>
    <w:rsid w:val="005278B7"/>
    <w:rsid w:val="005346C8"/>
    <w:rsid w:val="0055733B"/>
    <w:rsid w:val="00571FA8"/>
    <w:rsid w:val="005728AD"/>
    <w:rsid w:val="005877E6"/>
    <w:rsid w:val="00594E9F"/>
    <w:rsid w:val="005975C8"/>
    <w:rsid w:val="005B61E6"/>
    <w:rsid w:val="005B7D39"/>
    <w:rsid w:val="005C77E1"/>
    <w:rsid w:val="005D6A2F"/>
    <w:rsid w:val="005E0A2E"/>
    <w:rsid w:val="005E1A82"/>
    <w:rsid w:val="005E5D3E"/>
    <w:rsid w:val="005E692D"/>
    <w:rsid w:val="005E6D21"/>
    <w:rsid w:val="005E7E09"/>
    <w:rsid w:val="005F0A28"/>
    <w:rsid w:val="005F0E5E"/>
    <w:rsid w:val="00604CCA"/>
    <w:rsid w:val="00620DEE"/>
    <w:rsid w:val="00625639"/>
    <w:rsid w:val="00627E5B"/>
    <w:rsid w:val="0064184D"/>
    <w:rsid w:val="00660E3E"/>
    <w:rsid w:val="00662E74"/>
    <w:rsid w:val="00675E69"/>
    <w:rsid w:val="0068232A"/>
    <w:rsid w:val="00693FFF"/>
    <w:rsid w:val="006A58D2"/>
    <w:rsid w:val="006C54B9"/>
    <w:rsid w:val="006C5579"/>
    <w:rsid w:val="006D6A6D"/>
    <w:rsid w:val="007002AE"/>
    <w:rsid w:val="00704BDF"/>
    <w:rsid w:val="00736B13"/>
    <w:rsid w:val="007372CA"/>
    <w:rsid w:val="007447F3"/>
    <w:rsid w:val="007661C8"/>
    <w:rsid w:val="0078050B"/>
    <w:rsid w:val="007A281A"/>
    <w:rsid w:val="007D52CD"/>
    <w:rsid w:val="0080109C"/>
    <w:rsid w:val="008034B7"/>
    <w:rsid w:val="008074D8"/>
    <w:rsid w:val="00813288"/>
    <w:rsid w:val="008168FC"/>
    <w:rsid w:val="0084033E"/>
    <w:rsid w:val="008479A2"/>
    <w:rsid w:val="0087637F"/>
    <w:rsid w:val="008A1512"/>
    <w:rsid w:val="008D0BEB"/>
    <w:rsid w:val="008D5C3C"/>
    <w:rsid w:val="008E566E"/>
    <w:rsid w:val="00901EB6"/>
    <w:rsid w:val="009450CE"/>
    <w:rsid w:val="0095164B"/>
    <w:rsid w:val="00953A42"/>
    <w:rsid w:val="00981E4A"/>
    <w:rsid w:val="00996483"/>
    <w:rsid w:val="009D398E"/>
    <w:rsid w:val="009E788A"/>
    <w:rsid w:val="00A1763D"/>
    <w:rsid w:val="00A17CEC"/>
    <w:rsid w:val="00A27EF0"/>
    <w:rsid w:val="00A76EFC"/>
    <w:rsid w:val="00A9626B"/>
    <w:rsid w:val="00A97F29"/>
    <w:rsid w:val="00AA28B1"/>
    <w:rsid w:val="00AB0964"/>
    <w:rsid w:val="00AC6CEA"/>
    <w:rsid w:val="00AE377D"/>
    <w:rsid w:val="00B61DBF"/>
    <w:rsid w:val="00B656CE"/>
    <w:rsid w:val="00B76654"/>
    <w:rsid w:val="00BC30C9"/>
    <w:rsid w:val="00BC5C01"/>
    <w:rsid w:val="00BE3E58"/>
    <w:rsid w:val="00C01616"/>
    <w:rsid w:val="00C0162B"/>
    <w:rsid w:val="00C125EC"/>
    <w:rsid w:val="00C345B1"/>
    <w:rsid w:val="00C40142"/>
    <w:rsid w:val="00C44147"/>
    <w:rsid w:val="00C57182"/>
    <w:rsid w:val="00C655FD"/>
    <w:rsid w:val="00C66DAA"/>
    <w:rsid w:val="00C867B1"/>
    <w:rsid w:val="00C94434"/>
    <w:rsid w:val="00C95164"/>
    <w:rsid w:val="00CA1C95"/>
    <w:rsid w:val="00CA5A9C"/>
    <w:rsid w:val="00CB3896"/>
    <w:rsid w:val="00CD5FE2"/>
    <w:rsid w:val="00CF31FF"/>
    <w:rsid w:val="00CF3B48"/>
    <w:rsid w:val="00CF3B98"/>
    <w:rsid w:val="00D02B4C"/>
    <w:rsid w:val="00D831D5"/>
    <w:rsid w:val="00D84576"/>
    <w:rsid w:val="00DD5BFC"/>
    <w:rsid w:val="00DE0019"/>
    <w:rsid w:val="00DE264A"/>
    <w:rsid w:val="00DF352A"/>
    <w:rsid w:val="00E041E7"/>
    <w:rsid w:val="00E23CA1"/>
    <w:rsid w:val="00E25898"/>
    <w:rsid w:val="00E32685"/>
    <w:rsid w:val="00E409A8"/>
    <w:rsid w:val="00E7209D"/>
    <w:rsid w:val="00E87FB9"/>
    <w:rsid w:val="00EA50E1"/>
    <w:rsid w:val="00EC5D61"/>
    <w:rsid w:val="00EE0131"/>
    <w:rsid w:val="00EF141F"/>
    <w:rsid w:val="00F227B2"/>
    <w:rsid w:val="00F30C64"/>
    <w:rsid w:val="00F352D2"/>
    <w:rsid w:val="00FB1AC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067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C66DA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aliases w:val="1"/>
    <w:basedOn w:val="CETHeading1"/>
    <w:next w:val="Normale"/>
    <w:link w:val="Titolo1Carattere"/>
    <w:qFormat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1.1.1"/>
    <w:basedOn w:val="Normale"/>
    <w:next w:val="Normale"/>
    <w:link w:val="Titolo3Carattere"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aliases w:val="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aliases w:val="1.1.1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table" w:customStyle="1" w:styleId="TableGrid1">
    <w:name w:val="Table Grid1"/>
    <w:basedOn w:val="Tabellanormale"/>
    <w:next w:val="Grigliatabella"/>
    <w:uiPriority w:val="59"/>
    <w:rsid w:val="005728AD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locked/>
    <w:rsid w:val="003B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4A45-1BDC-4E35-A913-5E9A6E87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</cp:revision>
  <cp:lastPrinted>2019-01-10T08:10:00Z</cp:lastPrinted>
  <dcterms:created xsi:type="dcterms:W3CDTF">2019-01-14T06:57:00Z</dcterms:created>
  <dcterms:modified xsi:type="dcterms:W3CDTF">2019-08-22T12:01:00Z</dcterms:modified>
</cp:coreProperties>
</file>