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54D05"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6E08B1C0" w14:textId="1F09F2CF" w:rsidR="00704BDF" w:rsidRDefault="00A418BF" w:rsidP="00704BDF">
      <w:pPr>
        <w:snapToGrid w:val="0"/>
        <w:spacing w:after="360"/>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t xml:space="preserve">Intensification </w:t>
      </w:r>
      <w:r w:rsidR="009E050E">
        <w:rPr>
          <w:rFonts w:asciiTheme="minorHAnsi" w:eastAsia="MS PGothic" w:hAnsiTheme="minorHAnsi"/>
          <w:b/>
          <w:bCs/>
          <w:sz w:val="28"/>
          <w:szCs w:val="28"/>
          <w:lang w:val="en-US"/>
        </w:rPr>
        <w:t>of Fatty Acid Epoxidation in a Loop Reactor in the Presence of Microwave Radiation and Heterogeneous Catalysts.</w:t>
      </w:r>
      <w:bookmarkStart w:id="0" w:name="_GoBack"/>
      <w:bookmarkEnd w:id="0"/>
    </w:p>
    <w:p w14:paraId="5E97F32E" w14:textId="77777777" w:rsidR="00A418BF" w:rsidRDefault="00A418BF" w:rsidP="00A418BF">
      <w:pPr>
        <w:jc w:val="center"/>
        <w:rPr>
          <w:rFonts w:asciiTheme="minorHAnsi" w:hAnsiTheme="minorHAnsi"/>
          <w:sz w:val="24"/>
          <w:szCs w:val="24"/>
          <w:lang w:val="es-VE"/>
        </w:rPr>
      </w:pPr>
      <w:r w:rsidRPr="00923E5D">
        <w:rPr>
          <w:rFonts w:asciiTheme="minorHAnsi" w:hAnsiTheme="minorHAnsi"/>
          <w:sz w:val="24"/>
          <w:szCs w:val="24"/>
          <w:u w:val="single"/>
          <w:lang w:val="es-VE"/>
        </w:rPr>
        <w:t>Adriana Freites Aguilera</w:t>
      </w:r>
      <w:r>
        <w:rPr>
          <w:rFonts w:asciiTheme="minorHAnsi" w:hAnsiTheme="minorHAnsi"/>
          <w:sz w:val="24"/>
          <w:szCs w:val="24"/>
          <w:u w:val="single"/>
          <w:vertAlign w:val="superscript"/>
          <w:lang w:val="es-VE"/>
        </w:rPr>
        <w:t>1*</w:t>
      </w:r>
      <w:r w:rsidRPr="00923E5D">
        <w:rPr>
          <w:rFonts w:asciiTheme="minorHAnsi" w:hAnsiTheme="minorHAnsi"/>
          <w:sz w:val="24"/>
          <w:szCs w:val="24"/>
          <w:lang w:val="es-VE"/>
        </w:rPr>
        <w:t>, Pasi Tolvanen</w:t>
      </w:r>
      <w:r>
        <w:rPr>
          <w:rFonts w:asciiTheme="minorHAnsi" w:hAnsiTheme="minorHAnsi"/>
          <w:sz w:val="24"/>
          <w:szCs w:val="24"/>
          <w:vertAlign w:val="superscript"/>
          <w:lang w:val="es-VE"/>
        </w:rPr>
        <w:t>1</w:t>
      </w:r>
      <w:r w:rsidRPr="00923E5D">
        <w:rPr>
          <w:rFonts w:asciiTheme="minorHAnsi" w:hAnsiTheme="minorHAnsi"/>
          <w:sz w:val="24"/>
          <w:szCs w:val="24"/>
          <w:lang w:val="es-VE"/>
        </w:rPr>
        <w:t>, Kari Eränen</w:t>
      </w:r>
      <w:r w:rsidRPr="00923E5D">
        <w:rPr>
          <w:rFonts w:asciiTheme="minorHAnsi" w:hAnsiTheme="minorHAnsi"/>
          <w:sz w:val="24"/>
          <w:szCs w:val="24"/>
          <w:vertAlign w:val="superscript"/>
          <w:lang w:val="es-VE"/>
        </w:rPr>
        <w:t>1</w:t>
      </w:r>
      <w:r>
        <w:rPr>
          <w:rFonts w:asciiTheme="minorHAnsi" w:hAnsiTheme="minorHAnsi"/>
          <w:sz w:val="24"/>
          <w:szCs w:val="24"/>
          <w:lang w:val="es-VE"/>
        </w:rPr>
        <w:t>, Johan Wä</w:t>
      </w:r>
      <w:r w:rsidRPr="00923E5D">
        <w:rPr>
          <w:rFonts w:asciiTheme="minorHAnsi" w:hAnsiTheme="minorHAnsi"/>
          <w:sz w:val="24"/>
          <w:szCs w:val="24"/>
          <w:lang w:val="es-VE"/>
        </w:rPr>
        <w:t>rn</w:t>
      </w:r>
      <w:r>
        <w:rPr>
          <w:rFonts w:asciiTheme="minorHAnsi" w:hAnsiTheme="minorHAnsi"/>
          <w:sz w:val="24"/>
          <w:szCs w:val="24"/>
          <w:lang w:val="es-VE"/>
        </w:rPr>
        <w:t>å</w:t>
      </w:r>
      <w:r w:rsidRPr="00923E5D">
        <w:rPr>
          <w:rFonts w:asciiTheme="minorHAnsi" w:hAnsiTheme="minorHAnsi"/>
          <w:sz w:val="24"/>
          <w:szCs w:val="24"/>
          <w:vertAlign w:val="superscript"/>
          <w:lang w:val="es-VE"/>
        </w:rPr>
        <w:t>1</w:t>
      </w:r>
      <w:r w:rsidRPr="00923E5D">
        <w:rPr>
          <w:rFonts w:asciiTheme="minorHAnsi" w:hAnsiTheme="minorHAnsi"/>
          <w:sz w:val="24"/>
          <w:szCs w:val="24"/>
          <w:lang w:val="es-VE"/>
        </w:rPr>
        <w:t>, S</w:t>
      </w:r>
      <w:r>
        <w:rPr>
          <w:rFonts w:asciiTheme="minorHAnsi" w:hAnsiTheme="minorHAnsi"/>
          <w:sz w:val="24"/>
          <w:szCs w:val="24"/>
          <w:lang w:val="es-VE"/>
        </w:rPr>
        <w:t>é</w:t>
      </w:r>
      <w:r w:rsidRPr="00923E5D">
        <w:rPr>
          <w:rFonts w:asciiTheme="minorHAnsi" w:hAnsiTheme="minorHAnsi"/>
          <w:sz w:val="24"/>
          <w:szCs w:val="24"/>
          <w:lang w:val="es-VE"/>
        </w:rPr>
        <w:t>bastien Leveneur</w:t>
      </w:r>
      <w:r>
        <w:rPr>
          <w:rFonts w:asciiTheme="minorHAnsi" w:hAnsiTheme="minorHAnsi"/>
          <w:sz w:val="24"/>
          <w:szCs w:val="24"/>
          <w:vertAlign w:val="superscript"/>
          <w:lang w:val="es-VE"/>
        </w:rPr>
        <w:t>1,2</w:t>
      </w:r>
      <w:r w:rsidRPr="00923E5D">
        <w:rPr>
          <w:rFonts w:asciiTheme="minorHAnsi" w:hAnsiTheme="minorHAnsi"/>
          <w:sz w:val="24"/>
          <w:szCs w:val="24"/>
          <w:lang w:val="es-VE"/>
        </w:rPr>
        <w:t>,  Tapio Salmi</w:t>
      </w:r>
      <w:r>
        <w:rPr>
          <w:rFonts w:asciiTheme="minorHAnsi" w:hAnsiTheme="minorHAnsi"/>
          <w:sz w:val="24"/>
          <w:szCs w:val="24"/>
          <w:vertAlign w:val="superscript"/>
          <w:lang w:val="es-VE"/>
        </w:rPr>
        <w:t>1</w:t>
      </w:r>
      <w:r w:rsidRPr="00923E5D">
        <w:rPr>
          <w:rFonts w:asciiTheme="minorHAnsi" w:hAnsiTheme="minorHAnsi"/>
          <w:sz w:val="24"/>
          <w:szCs w:val="24"/>
          <w:lang w:val="es-VE"/>
        </w:rPr>
        <w:t>.</w:t>
      </w:r>
    </w:p>
    <w:p w14:paraId="0659233A" w14:textId="77777777" w:rsidR="00A418BF" w:rsidRPr="00923E5D" w:rsidRDefault="00A418BF" w:rsidP="00A418BF">
      <w:pPr>
        <w:jc w:val="center"/>
        <w:rPr>
          <w:rFonts w:asciiTheme="minorHAnsi" w:hAnsiTheme="minorHAnsi"/>
          <w:sz w:val="24"/>
          <w:szCs w:val="24"/>
          <w:lang w:val="es-VE"/>
        </w:rPr>
      </w:pPr>
    </w:p>
    <w:p w14:paraId="24A910AF" w14:textId="77777777" w:rsidR="00A418BF" w:rsidRPr="00307D6D" w:rsidRDefault="00A418BF" w:rsidP="00A418BF">
      <w:pPr>
        <w:jc w:val="center"/>
        <w:rPr>
          <w:rFonts w:asciiTheme="minorHAnsi" w:hAnsiTheme="minorHAnsi"/>
          <w:i/>
        </w:rPr>
      </w:pPr>
      <w:r w:rsidRPr="00307D6D">
        <w:rPr>
          <w:rFonts w:asciiTheme="minorHAnsi" w:hAnsiTheme="minorHAnsi"/>
          <w:i/>
        </w:rPr>
        <w:t>1 Laboratory of Industrial Chemistry &amp; Reaction Engineering, Department of Chemical Engineering, Johan Gadolin Process Chemistry Centre, Åbo Akademi University, FI-20500 Åbo-Turku, Finland</w:t>
      </w:r>
    </w:p>
    <w:p w14:paraId="04F1CE4A" w14:textId="77777777" w:rsidR="00A418BF" w:rsidRPr="00307D6D" w:rsidRDefault="00A418BF" w:rsidP="00A418BF">
      <w:pPr>
        <w:jc w:val="center"/>
        <w:rPr>
          <w:rFonts w:asciiTheme="minorHAnsi" w:hAnsiTheme="minorHAnsi"/>
          <w:i/>
        </w:rPr>
      </w:pPr>
      <w:r w:rsidRPr="00307D6D">
        <w:rPr>
          <w:rFonts w:asciiTheme="minorHAnsi" w:hAnsiTheme="minorHAnsi"/>
          <w:i/>
        </w:rPr>
        <w:t>2 Laboratoire de Sécurité des Procédés Chimiques, Institut National des Sciences Appliquées de Rouen, FR-76800 Saint-Étienne-du-Rouvray, France. Email: sebastien.leveneur@insa-rouen.fr</w:t>
      </w:r>
    </w:p>
    <w:p w14:paraId="4B838FA6" w14:textId="77777777" w:rsidR="00A418BF" w:rsidRDefault="00A418BF" w:rsidP="00A418BF">
      <w:pPr>
        <w:snapToGrid w:val="0"/>
        <w:jc w:val="center"/>
        <w:rPr>
          <w:rFonts w:asciiTheme="minorHAnsi" w:eastAsia="MS PGothic" w:hAnsiTheme="minorHAnsi"/>
          <w:bCs/>
          <w:i/>
          <w:iCs/>
          <w:color w:val="000000"/>
          <w:sz w:val="20"/>
          <w:lang w:val="en-US"/>
        </w:rPr>
      </w:pPr>
    </w:p>
    <w:p w14:paraId="112AB7F0" w14:textId="77777777" w:rsidR="00A418BF" w:rsidRDefault="00A418BF" w:rsidP="00A418B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Pr>
          <w:rFonts w:asciiTheme="minorHAnsi" w:eastAsia="MS PGothic" w:hAnsiTheme="minorHAnsi"/>
          <w:bCs/>
          <w:i/>
          <w:iCs/>
          <w:sz w:val="20"/>
          <w:lang w:val="en-US"/>
        </w:rPr>
        <w:t>adriana.freites@abo.fi</w:t>
      </w:r>
    </w:p>
    <w:p w14:paraId="2EDF237E" w14:textId="77777777" w:rsidR="00A418BF" w:rsidRPr="00EC66CC" w:rsidRDefault="00A418BF" w:rsidP="00A418B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4161602E" w14:textId="77777777" w:rsidR="00A418BF" w:rsidRDefault="00A418BF" w:rsidP="00A418BF">
      <w:pPr>
        <w:pStyle w:val="AbstractBody"/>
        <w:numPr>
          <w:ilvl w:val="0"/>
          <w:numId w:val="16"/>
        </w:numPr>
        <w:rPr>
          <w:rFonts w:asciiTheme="minorHAnsi" w:hAnsiTheme="minorHAnsi"/>
        </w:rPr>
      </w:pPr>
      <w:r>
        <w:rPr>
          <w:rFonts w:asciiTheme="minorHAnsi" w:hAnsiTheme="minorHAnsi"/>
        </w:rPr>
        <w:t xml:space="preserve">Epoxidized vegetable oils are environmentally friendly chemical intermediates </w:t>
      </w:r>
    </w:p>
    <w:p w14:paraId="4FB3A285" w14:textId="77777777" w:rsidR="00A418BF" w:rsidRDefault="00A418BF" w:rsidP="00A418BF">
      <w:pPr>
        <w:pStyle w:val="AbstractBody"/>
        <w:numPr>
          <w:ilvl w:val="0"/>
          <w:numId w:val="16"/>
        </w:numPr>
        <w:rPr>
          <w:rFonts w:asciiTheme="minorHAnsi" w:hAnsiTheme="minorHAnsi"/>
        </w:rPr>
      </w:pPr>
      <w:r>
        <w:rPr>
          <w:rFonts w:asciiTheme="minorHAnsi" w:hAnsiTheme="minorHAnsi"/>
        </w:rPr>
        <w:t xml:space="preserve">An extensive study of the epoxidation kinetics of vegetable oils was conducted in a loop reactor </w:t>
      </w:r>
    </w:p>
    <w:p w14:paraId="396EB20A" w14:textId="77777777" w:rsidR="00A418BF" w:rsidRDefault="00A418BF" w:rsidP="00A418BF">
      <w:pPr>
        <w:pStyle w:val="AbstractBody"/>
        <w:numPr>
          <w:ilvl w:val="0"/>
          <w:numId w:val="16"/>
        </w:numPr>
        <w:rPr>
          <w:rFonts w:asciiTheme="minorHAnsi" w:hAnsiTheme="minorHAnsi"/>
        </w:rPr>
      </w:pPr>
      <w:r>
        <w:rPr>
          <w:rFonts w:asciiTheme="minorHAnsi" w:hAnsiTheme="minorHAnsi"/>
        </w:rPr>
        <w:t>Microwave irradiation and heterogeneous catalysts enhanced the process considerably</w:t>
      </w:r>
    </w:p>
    <w:p w14:paraId="66B10EC9" w14:textId="77777777" w:rsidR="00A418BF" w:rsidRDefault="00A418BF" w:rsidP="00A418BF">
      <w:pPr>
        <w:pStyle w:val="AbstractBody"/>
        <w:numPr>
          <w:ilvl w:val="0"/>
          <w:numId w:val="16"/>
        </w:numPr>
        <w:rPr>
          <w:rFonts w:asciiTheme="minorHAnsi" w:hAnsiTheme="minorHAnsi"/>
        </w:rPr>
      </w:pPr>
      <w:r>
        <w:rPr>
          <w:rFonts w:asciiTheme="minorHAnsi" w:hAnsiTheme="minorHAnsi"/>
        </w:rPr>
        <w:t>A detailed mathematical model for the multiphase system was developed</w:t>
      </w:r>
    </w:p>
    <w:p w14:paraId="3191171A" w14:textId="77777777" w:rsidR="00A418BF" w:rsidRPr="00544B19" w:rsidRDefault="00A418BF" w:rsidP="00A418BF">
      <w:pPr>
        <w:pStyle w:val="Paragrafoelenco"/>
        <w:numPr>
          <w:ilvl w:val="0"/>
          <w:numId w:val="18"/>
        </w:numPr>
        <w:snapToGrid w:val="0"/>
        <w:spacing w:before="240" w:line="300" w:lineRule="auto"/>
        <w:ind w:left="357" w:hanging="357"/>
        <w:rPr>
          <w:rFonts w:eastAsia="MS PGothic"/>
          <w:b/>
          <w:bCs/>
          <w:color w:val="000000"/>
          <w:lang w:val="en-US"/>
        </w:rPr>
      </w:pPr>
      <w:r w:rsidRPr="00544B19">
        <w:rPr>
          <w:rFonts w:eastAsia="MS PGothic"/>
          <w:b/>
          <w:bCs/>
          <w:color w:val="000000"/>
          <w:lang w:val="en-US"/>
        </w:rPr>
        <w:t>Introduction</w:t>
      </w:r>
    </w:p>
    <w:p w14:paraId="2630115F" w14:textId="77777777" w:rsidR="00A418BF" w:rsidRDefault="00A418BF" w:rsidP="00A418BF">
      <w:pPr>
        <w:snapToGrid w:val="0"/>
        <w:rPr>
          <w:rFonts w:asciiTheme="minorHAnsi" w:hAnsiTheme="minorHAnsi"/>
          <w:sz w:val="22"/>
          <w:szCs w:val="22"/>
        </w:rPr>
      </w:pPr>
      <w:r>
        <w:rPr>
          <w:rFonts w:asciiTheme="minorHAnsi" w:hAnsiTheme="minorHAnsi"/>
          <w:sz w:val="22"/>
          <w:szCs w:val="22"/>
        </w:rPr>
        <w:t xml:space="preserve">Epoxidized vegetable oils are </w:t>
      </w:r>
      <w:r w:rsidRPr="00544B19">
        <w:rPr>
          <w:rFonts w:asciiTheme="minorHAnsi" w:hAnsiTheme="minorHAnsi"/>
          <w:sz w:val="22"/>
          <w:szCs w:val="22"/>
        </w:rPr>
        <w:t xml:space="preserve">chemical intermediates to valuable products, such as lubricants, plasticizers or non-isocyanate polyurethanes </w:t>
      </w:r>
      <w:r>
        <w:rPr>
          <w:rFonts w:asciiTheme="minorHAnsi" w:hAnsiTheme="minorHAnsi"/>
          <w:sz w:val="22"/>
          <w:szCs w:val="22"/>
        </w:rPr>
        <w:t>[1]</w:t>
      </w:r>
      <w:r w:rsidRPr="00544B19">
        <w:rPr>
          <w:rFonts w:asciiTheme="minorHAnsi" w:hAnsiTheme="minorHAnsi"/>
          <w:sz w:val="22"/>
          <w:szCs w:val="22"/>
        </w:rPr>
        <w:t xml:space="preserve">. </w:t>
      </w:r>
      <w:r>
        <w:rPr>
          <w:rFonts w:asciiTheme="minorHAnsi" w:hAnsiTheme="minorHAnsi"/>
          <w:sz w:val="22"/>
          <w:szCs w:val="22"/>
        </w:rPr>
        <w:t xml:space="preserve">Tall oil obtained from forest biomass is a good source for vegetable oils, because it does not compete with the food chain. </w:t>
      </w:r>
      <w:r w:rsidRPr="00D17C19">
        <w:rPr>
          <w:rFonts w:asciiTheme="minorHAnsi" w:hAnsiTheme="minorHAnsi"/>
          <w:sz w:val="22"/>
          <w:szCs w:val="22"/>
        </w:rPr>
        <w:t xml:space="preserve">Epoxidation by the Prileschajew method </w:t>
      </w:r>
      <w:r>
        <w:rPr>
          <w:rFonts w:asciiTheme="minorHAnsi" w:hAnsiTheme="minorHAnsi"/>
          <w:sz w:val="22"/>
          <w:szCs w:val="22"/>
        </w:rPr>
        <w:t xml:space="preserve">implies </w:t>
      </w:r>
      <w:r w:rsidRPr="00D17C19">
        <w:rPr>
          <w:rFonts w:asciiTheme="minorHAnsi" w:hAnsiTheme="minorHAnsi"/>
          <w:sz w:val="22"/>
          <w:szCs w:val="22"/>
        </w:rPr>
        <w:t xml:space="preserve">the substitution of </w:t>
      </w:r>
      <w:r>
        <w:rPr>
          <w:rFonts w:asciiTheme="minorHAnsi" w:hAnsiTheme="minorHAnsi"/>
          <w:sz w:val="22"/>
          <w:szCs w:val="22"/>
        </w:rPr>
        <w:t>a double bond</w:t>
      </w:r>
      <w:r w:rsidRPr="00D17C19">
        <w:rPr>
          <w:rFonts w:asciiTheme="minorHAnsi" w:hAnsiTheme="minorHAnsi"/>
          <w:sz w:val="22"/>
          <w:szCs w:val="22"/>
        </w:rPr>
        <w:t xml:space="preserve"> by an oxirane ring caused by a percarboxylic acid that is formed </w:t>
      </w:r>
      <w:r w:rsidRPr="00D17C19">
        <w:rPr>
          <w:rFonts w:asciiTheme="minorHAnsi" w:hAnsiTheme="minorHAnsi"/>
          <w:i/>
          <w:sz w:val="22"/>
          <w:szCs w:val="22"/>
        </w:rPr>
        <w:t>in situ</w:t>
      </w:r>
      <w:r w:rsidRPr="00D17C19">
        <w:rPr>
          <w:rFonts w:asciiTheme="minorHAnsi" w:hAnsiTheme="minorHAnsi"/>
          <w:sz w:val="22"/>
          <w:szCs w:val="22"/>
        </w:rPr>
        <w:t xml:space="preserve"> </w:t>
      </w:r>
      <w:r>
        <w:rPr>
          <w:rFonts w:asciiTheme="minorHAnsi" w:hAnsiTheme="minorHAnsi"/>
          <w:sz w:val="22"/>
          <w:szCs w:val="22"/>
        </w:rPr>
        <w:t xml:space="preserve">from a carboxylic acid and hydrogen peroxide. </w:t>
      </w:r>
      <w:r w:rsidRPr="00D17C19">
        <w:rPr>
          <w:rFonts w:asciiTheme="minorHAnsi" w:hAnsiTheme="minorHAnsi"/>
          <w:sz w:val="22"/>
          <w:szCs w:val="22"/>
        </w:rPr>
        <w:t xml:space="preserve">Two liquid phases are present (oil and aqueous phases) and four reactions </w:t>
      </w:r>
      <w:r>
        <w:rPr>
          <w:rFonts w:asciiTheme="minorHAnsi" w:hAnsiTheme="minorHAnsi"/>
          <w:sz w:val="22"/>
          <w:szCs w:val="22"/>
        </w:rPr>
        <w:t xml:space="preserve">proceed </w:t>
      </w:r>
      <w:r w:rsidRPr="00D17C19">
        <w:rPr>
          <w:rFonts w:asciiTheme="minorHAnsi" w:hAnsiTheme="minorHAnsi"/>
          <w:sz w:val="22"/>
          <w:szCs w:val="22"/>
        </w:rPr>
        <w:t>simultaneously: formation of percarboxylic acid (perhydrolysis</w:t>
      </w:r>
      <w:r>
        <w:rPr>
          <w:rFonts w:asciiTheme="minorHAnsi" w:hAnsiTheme="minorHAnsi"/>
          <w:sz w:val="22"/>
          <w:szCs w:val="22"/>
        </w:rPr>
        <w:t xml:space="preserve"> in aqueous phase</w:t>
      </w:r>
      <w:r w:rsidRPr="00D17C19">
        <w:rPr>
          <w:rFonts w:asciiTheme="minorHAnsi" w:hAnsiTheme="minorHAnsi"/>
          <w:sz w:val="22"/>
          <w:szCs w:val="22"/>
        </w:rPr>
        <w:t xml:space="preserve">), decomposition of </w:t>
      </w:r>
      <w:r>
        <w:rPr>
          <w:rFonts w:asciiTheme="minorHAnsi" w:hAnsiTheme="minorHAnsi"/>
          <w:sz w:val="22"/>
          <w:szCs w:val="22"/>
        </w:rPr>
        <w:t xml:space="preserve">the </w:t>
      </w:r>
      <w:r w:rsidRPr="00D17C19">
        <w:rPr>
          <w:rFonts w:asciiTheme="minorHAnsi" w:hAnsiTheme="minorHAnsi"/>
          <w:sz w:val="22"/>
          <w:szCs w:val="22"/>
        </w:rPr>
        <w:t>percarboxylic acid</w:t>
      </w:r>
      <w:r>
        <w:rPr>
          <w:rFonts w:asciiTheme="minorHAnsi" w:hAnsiTheme="minorHAnsi"/>
          <w:sz w:val="22"/>
          <w:szCs w:val="22"/>
        </w:rPr>
        <w:t xml:space="preserve"> (aqueous phase)</w:t>
      </w:r>
      <w:r w:rsidRPr="00D17C19">
        <w:rPr>
          <w:rFonts w:asciiTheme="minorHAnsi" w:hAnsiTheme="minorHAnsi"/>
          <w:sz w:val="22"/>
          <w:szCs w:val="22"/>
        </w:rPr>
        <w:t xml:space="preserve">, epoxidation </w:t>
      </w:r>
      <w:r>
        <w:rPr>
          <w:rFonts w:asciiTheme="minorHAnsi" w:hAnsiTheme="minorHAnsi"/>
          <w:sz w:val="22"/>
          <w:szCs w:val="22"/>
        </w:rPr>
        <w:t xml:space="preserve">of fatty acid (oil phase) </w:t>
      </w:r>
      <w:r w:rsidRPr="00D17C19">
        <w:rPr>
          <w:rFonts w:asciiTheme="minorHAnsi" w:hAnsiTheme="minorHAnsi"/>
          <w:sz w:val="22"/>
          <w:szCs w:val="22"/>
        </w:rPr>
        <w:t xml:space="preserve">and </w:t>
      </w:r>
      <w:r>
        <w:rPr>
          <w:rFonts w:asciiTheme="minorHAnsi" w:hAnsiTheme="minorHAnsi"/>
          <w:sz w:val="22"/>
          <w:szCs w:val="22"/>
        </w:rPr>
        <w:t xml:space="preserve">opening of the </w:t>
      </w:r>
      <w:r w:rsidRPr="00D17C19">
        <w:rPr>
          <w:rFonts w:asciiTheme="minorHAnsi" w:hAnsiTheme="minorHAnsi"/>
          <w:sz w:val="22"/>
          <w:szCs w:val="22"/>
        </w:rPr>
        <w:t>oxirane ring</w:t>
      </w:r>
      <w:r>
        <w:rPr>
          <w:rFonts w:asciiTheme="minorHAnsi" w:hAnsiTheme="minorHAnsi"/>
          <w:sz w:val="22"/>
          <w:szCs w:val="22"/>
        </w:rPr>
        <w:t xml:space="preserve"> (oil phase) [2]. The principal method for vegetable oil epoxidation is well known but most of the studies published hitherto are qualitative in their character. Only few modelling studies have been published e.g. [3-4]. For process design, a detailed mathematical model for the complex multiphase system is necessary. The principles of the model and the essential modelling results are reported here.</w:t>
      </w:r>
    </w:p>
    <w:p w14:paraId="1D172395" w14:textId="77777777" w:rsidR="00A418BF" w:rsidRPr="008D0BEB" w:rsidRDefault="00A418BF" w:rsidP="00A418B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1BBCDC34" w14:textId="77777777" w:rsidR="00A418BF" w:rsidRDefault="00A418BF" w:rsidP="00A418BF">
      <w:pPr>
        <w:snapToGrid w:val="0"/>
        <w:spacing w:after="120"/>
        <w:rPr>
          <w:rFonts w:asciiTheme="minorHAnsi" w:eastAsia="MS PGothic" w:hAnsiTheme="minorHAnsi"/>
          <w:color w:val="000000"/>
          <w:sz w:val="22"/>
          <w:szCs w:val="22"/>
          <w:lang w:val="en-US"/>
        </w:rPr>
      </w:pPr>
      <w:r>
        <w:rPr>
          <w:rFonts w:asciiTheme="minorHAnsi" w:hAnsiTheme="minorHAnsi"/>
          <w:sz w:val="22"/>
          <w:szCs w:val="22"/>
        </w:rPr>
        <w:t>A tailored recycle reactor system consisting of a vigorously stirred tank reactor, a circulation loop and a microwave source was constructed (Figure 1)</w:t>
      </w:r>
      <w:r w:rsidRPr="00544B19">
        <w:rPr>
          <w:rFonts w:asciiTheme="minorHAnsi" w:hAnsiTheme="minorHAnsi"/>
          <w:sz w:val="22"/>
          <w:szCs w:val="22"/>
        </w:rPr>
        <w:t xml:space="preserve">. The glass reactor </w:t>
      </w:r>
      <w:r>
        <w:rPr>
          <w:rFonts w:asciiTheme="minorHAnsi" w:hAnsiTheme="minorHAnsi"/>
          <w:sz w:val="22"/>
          <w:szCs w:val="22"/>
        </w:rPr>
        <w:t xml:space="preserve">was </w:t>
      </w:r>
      <w:r w:rsidRPr="00544B19">
        <w:rPr>
          <w:rFonts w:asciiTheme="minorHAnsi" w:hAnsiTheme="minorHAnsi"/>
          <w:sz w:val="22"/>
          <w:szCs w:val="22"/>
        </w:rPr>
        <w:t xml:space="preserve">connected to a loop including a microwave cavity (Sairem) and a heat exchanger. </w:t>
      </w:r>
      <w:r>
        <w:rPr>
          <w:rFonts w:asciiTheme="minorHAnsi" w:eastAsia="MS PGothic" w:hAnsiTheme="minorHAnsi"/>
          <w:color w:val="000000"/>
          <w:sz w:val="22"/>
          <w:szCs w:val="22"/>
          <w:lang w:val="en-US"/>
        </w:rPr>
        <w:t xml:space="preserve">Experiments were carried out both in the absence and presence of heterogeneous catalysts to reveal the potential intensifying effect of the catalysts. The cation exchanger Amberlite IR-120 was used as the main heterogeneous </w:t>
      </w:r>
      <w:r>
        <w:rPr>
          <w:rFonts w:asciiTheme="minorHAnsi" w:eastAsia="MS PGothic" w:hAnsiTheme="minorHAnsi"/>
          <w:color w:val="000000"/>
          <w:sz w:val="22"/>
          <w:szCs w:val="22"/>
          <w:lang w:val="en-US"/>
        </w:rPr>
        <w:lastRenderedPageBreak/>
        <w:t xml:space="preserve">catalyst.  The reaction temperatures were </w:t>
      </w:r>
      <w:r>
        <w:t>4</w:t>
      </w:r>
      <w:r w:rsidRPr="006C2803">
        <w:rPr>
          <w:rFonts w:hint="eastAsia"/>
        </w:rPr>
        <w:t>0–70</w:t>
      </w:r>
      <w:r>
        <w:t>°</w:t>
      </w:r>
      <w:r>
        <w:rPr>
          <w:rFonts w:hint="eastAsia"/>
        </w:rPr>
        <w:t>C</w:t>
      </w:r>
      <w:r>
        <w:rPr>
          <w:rFonts w:asciiTheme="minorHAnsi" w:eastAsia="MS PGothic" w:hAnsiTheme="minorHAnsi"/>
          <w:color w:val="000000"/>
          <w:sz w:val="22"/>
          <w:szCs w:val="22"/>
          <w:lang w:val="en-US"/>
        </w:rPr>
        <w:t xml:space="preserve"> and the oil-H</w:t>
      </w:r>
      <w:r w:rsidRPr="00C906B9">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O</w:t>
      </w:r>
      <w:r w:rsidRPr="00C906B9">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acetic acid ratio was varied in the experiments. </w:t>
      </w:r>
      <w:r w:rsidRPr="0061318B">
        <w:rPr>
          <w:rFonts w:asciiTheme="minorHAnsi" w:hAnsiTheme="minorHAnsi"/>
          <w:sz w:val="22"/>
          <w:szCs w:val="22"/>
        </w:rPr>
        <w:t>The organic phase content was 32–45 %v/v</w:t>
      </w:r>
      <w:r>
        <w:rPr>
          <w:rFonts w:asciiTheme="minorHAnsi" w:hAnsiTheme="minorHAnsi"/>
          <w:sz w:val="22"/>
          <w:szCs w:val="22"/>
        </w:rPr>
        <w:t>.</w:t>
      </w:r>
    </w:p>
    <w:p w14:paraId="37587EE6" w14:textId="77777777" w:rsidR="00A418BF" w:rsidRPr="008D0BEB" w:rsidRDefault="00A418BF" w:rsidP="00A418B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59090662" w14:textId="77777777" w:rsidR="00A418BF" w:rsidRPr="002126EC" w:rsidRDefault="00A418BF" w:rsidP="00A418BF">
      <w:pPr>
        <w:rPr>
          <w:rFonts w:asciiTheme="minorHAnsi" w:eastAsia="MS PGothic" w:hAnsiTheme="minorHAnsi"/>
          <w:color w:val="000000"/>
          <w:sz w:val="22"/>
          <w:szCs w:val="22"/>
        </w:rPr>
      </w:pPr>
      <w:r>
        <w:rPr>
          <w:rFonts w:asciiTheme="minorHAnsi" w:eastAsia="MS PGothic" w:hAnsiTheme="minorHAnsi"/>
          <w:color w:val="000000"/>
          <w:sz w:val="22"/>
          <w:szCs w:val="22"/>
          <w:lang w:val="en-US"/>
        </w:rPr>
        <w:t xml:space="preserve">The main observations from the experiments were: epoxidation of vegetable oils (e.g. model component oleic acid) occurs spontaneously in the absence of the catalyst, but the reaction rate can be considerably enhanced by exposing the system to microwave irradiation and incorporating a catalyst. The benefit of the use of a heterogeneous catalyst (ion-exchange resin) is obvious compared to a homogeneous catalyst (e.g. mineral acid), because the catalyst separation problem is completely avoided when the heterogeneous catalyst is used.  An example of an </w:t>
      </w:r>
      <w:r w:rsidRPr="002126EC">
        <w:rPr>
          <w:rFonts w:asciiTheme="minorHAnsi" w:eastAsia="MS PGothic" w:hAnsiTheme="minorHAnsi"/>
          <w:color w:val="000000"/>
          <w:sz w:val="22"/>
          <w:szCs w:val="22"/>
          <w:lang w:val="en-US"/>
        </w:rPr>
        <w:t xml:space="preserve">epoxidation experiment is given in Figure 1.  A detailed mathematical model was developed for the system, consisting of mass balances of all the reacting components in both aqueous and oil phases. The set of differential equations </w:t>
      </w:r>
      <w:r>
        <w:rPr>
          <w:rFonts w:asciiTheme="minorHAnsi" w:eastAsia="MS PGothic" w:hAnsiTheme="minorHAnsi"/>
          <w:color w:val="000000"/>
          <w:sz w:val="22"/>
          <w:szCs w:val="22"/>
          <w:lang w:val="en-US"/>
        </w:rPr>
        <w:t xml:space="preserve">in the model </w:t>
      </w:r>
      <w:r w:rsidRPr="002126EC">
        <w:rPr>
          <w:rFonts w:asciiTheme="minorHAnsi" w:eastAsia="MS PGothic" w:hAnsiTheme="minorHAnsi"/>
          <w:color w:val="000000"/>
          <w:sz w:val="22"/>
          <w:szCs w:val="22"/>
          <w:lang w:val="en-US"/>
        </w:rPr>
        <w:t xml:space="preserve">was solved numerically during parameter estimation.  </w:t>
      </w:r>
      <w:r w:rsidRPr="002126EC">
        <w:rPr>
          <w:rFonts w:asciiTheme="minorHAnsi" w:hAnsiTheme="minorHAnsi"/>
          <w:sz w:val="22"/>
          <w:szCs w:val="22"/>
        </w:rPr>
        <w:t>The accuracy of the parameters was checked by standard mathematical analysis and a Markov Chain Monte Carlo (MCMC) method.</w:t>
      </w:r>
      <w:r>
        <w:rPr>
          <w:rFonts w:asciiTheme="minorHAnsi" w:hAnsiTheme="minorHAnsi"/>
          <w:sz w:val="22"/>
          <w:szCs w:val="22"/>
        </w:rPr>
        <w:t xml:space="preserve"> </w:t>
      </w:r>
      <w:r w:rsidRPr="002126EC">
        <w:rPr>
          <w:rFonts w:asciiTheme="minorHAnsi" w:eastAsia="MS PGothic" w:hAnsiTheme="minorHAnsi"/>
          <w:color w:val="000000"/>
          <w:sz w:val="22"/>
          <w:szCs w:val="22"/>
          <w:lang w:val="en-US"/>
        </w:rPr>
        <w:t>An example of experimental data and model fit is provided in Figure 2. In general, the model fit was good and the estimated parameters had a good accuracy.</w:t>
      </w:r>
      <w:r>
        <w:rPr>
          <w:rFonts w:asciiTheme="minorHAnsi" w:eastAsia="MS PGothic" w:hAnsiTheme="minorHAnsi"/>
          <w:color w:val="000000"/>
          <w:sz w:val="22"/>
          <w:szCs w:val="22"/>
          <w:lang w:val="en-US"/>
        </w:rPr>
        <w:t xml:space="preserve"> The model can be used for prediction of the progress of epoxidation in the absence and presence of microwave irradiation and catalysts.</w:t>
      </w:r>
    </w:p>
    <w:p w14:paraId="4A46CCB8" w14:textId="77777777" w:rsidR="00A418BF" w:rsidRPr="00DE0019" w:rsidRDefault="00A418BF" w:rsidP="00A418BF">
      <w:pPr>
        <w:snapToGrid w:val="0"/>
        <w:spacing w:after="120"/>
        <w:jc w:val="left"/>
        <w:rPr>
          <w:rFonts w:asciiTheme="minorHAnsi" w:eastAsia="MS PGothic" w:hAnsiTheme="minorHAnsi"/>
          <w:color w:val="000000"/>
        </w:rPr>
      </w:pPr>
      <w:r w:rsidRPr="009D25FD">
        <w:rPr>
          <w:noProof/>
          <w:lang w:val="sv-FI" w:eastAsia="sv-FI"/>
        </w:rPr>
        <w:drawing>
          <wp:inline distT="0" distB="0" distL="0" distR="0" wp14:anchorId="22D388EE" wp14:editId="2838DFCA">
            <wp:extent cx="3066561" cy="1777779"/>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TUP.tif"/>
                    <pic:cNvPicPr/>
                  </pic:nvPicPr>
                  <pic:blipFill rotWithShape="1">
                    <a:blip r:embed="rId10" cstate="print">
                      <a:extLst>
                        <a:ext uri="{28A0092B-C50C-407E-A947-70E740481C1C}">
                          <a14:useLocalDpi xmlns:a14="http://schemas.microsoft.com/office/drawing/2010/main" val="0"/>
                        </a:ext>
                      </a:extLst>
                    </a:blip>
                    <a:srcRect l="16700" t="20709" r="21254" b="15343"/>
                    <a:stretch/>
                  </pic:blipFill>
                  <pic:spPr bwMode="auto">
                    <a:xfrm>
                      <a:off x="0" y="0"/>
                      <a:ext cx="3074162" cy="1782185"/>
                    </a:xfrm>
                    <a:prstGeom prst="rect">
                      <a:avLst/>
                    </a:prstGeom>
                    <a:ln>
                      <a:noFill/>
                    </a:ln>
                    <a:extLst>
                      <a:ext uri="{53640926-AAD7-44D8-BBD7-CCE9431645EC}">
                        <a14:shadowObscured xmlns:a14="http://schemas.microsoft.com/office/drawing/2010/main"/>
                      </a:ext>
                    </a:extLst>
                  </pic:spPr>
                </pic:pic>
              </a:graphicData>
            </a:graphic>
          </wp:inline>
        </w:drawing>
      </w:r>
      <w:r w:rsidRPr="00B77B03">
        <w:rPr>
          <w:noProof/>
          <w:lang w:val="sv-FI" w:eastAsia="sv-FI"/>
        </w:rPr>
        <w:drawing>
          <wp:inline distT="0" distB="0" distL="0" distR="0" wp14:anchorId="28EE0D3E" wp14:editId="4F7EDA97">
            <wp:extent cx="2305050" cy="1727141"/>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8998" cy="1752578"/>
                    </a:xfrm>
                    <a:prstGeom prst="rect">
                      <a:avLst/>
                    </a:prstGeom>
                    <a:noFill/>
                    <a:ln>
                      <a:noFill/>
                    </a:ln>
                  </pic:spPr>
                </pic:pic>
              </a:graphicData>
            </a:graphic>
          </wp:inline>
        </w:drawing>
      </w:r>
    </w:p>
    <w:p w14:paraId="192896FF" w14:textId="77777777" w:rsidR="00A418BF" w:rsidRPr="00800040" w:rsidRDefault="00A418BF" w:rsidP="00A418B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hAnsiTheme="minorHAnsi"/>
          <w:lang w:val="en-US"/>
        </w:rPr>
        <w:t>Tailored loop reactor system (left), model fit to experimental data (right); microwaves, 50</w:t>
      </w:r>
      <w:r w:rsidRPr="002F012E">
        <w:rPr>
          <w:rFonts w:asciiTheme="minorHAnsi" w:hAnsiTheme="minorHAnsi"/>
          <w:vertAlign w:val="superscript"/>
          <w:lang w:val="en-US"/>
        </w:rPr>
        <w:t>o</w:t>
      </w:r>
      <w:r>
        <w:rPr>
          <w:rFonts w:asciiTheme="minorHAnsi" w:hAnsiTheme="minorHAnsi"/>
          <w:lang w:val="en-US"/>
        </w:rPr>
        <w:t xml:space="preserve">C. </w:t>
      </w:r>
      <w:r w:rsidRPr="00800040">
        <w:rPr>
          <w:rFonts w:asciiTheme="minorHAnsi" w:hAnsiTheme="minorHAnsi"/>
          <w:lang w:val="en-US"/>
        </w:rPr>
        <w:t xml:space="preserve">In </w:t>
      </w:r>
      <w:r w:rsidRPr="00800040">
        <w:rPr>
          <w:rFonts w:asciiTheme="minorHAnsi" w:hAnsiTheme="minorHAnsi"/>
          <w:b/>
          <w:lang w:val="en-US"/>
        </w:rPr>
        <w:t>black</w:t>
      </w:r>
      <w:r w:rsidRPr="00800040">
        <w:rPr>
          <w:rFonts w:asciiTheme="minorHAnsi" w:hAnsiTheme="minorHAnsi"/>
          <w:lang w:val="en-US"/>
        </w:rPr>
        <w:t xml:space="preserve">: </w:t>
      </w:r>
      <w:r>
        <w:rPr>
          <w:rFonts w:asciiTheme="minorHAnsi" w:hAnsiTheme="minorHAnsi"/>
          <w:lang w:val="en-US"/>
        </w:rPr>
        <w:t xml:space="preserve">epoxidized </w:t>
      </w:r>
      <w:r w:rsidRPr="00800040">
        <w:rPr>
          <w:rFonts w:asciiTheme="minorHAnsi" w:hAnsiTheme="minorHAnsi"/>
          <w:lang w:val="en-US"/>
        </w:rPr>
        <w:t xml:space="preserve">oleic acid, </w:t>
      </w:r>
      <w:r w:rsidRPr="00800040">
        <w:rPr>
          <w:rFonts w:asciiTheme="minorHAnsi" w:hAnsiTheme="minorHAnsi"/>
          <w:color w:val="FF00FF"/>
          <w:lang w:val="en-US"/>
        </w:rPr>
        <w:t>pink</w:t>
      </w:r>
      <w:r w:rsidRPr="00800040">
        <w:rPr>
          <w:rFonts w:asciiTheme="minorHAnsi" w:hAnsiTheme="minorHAnsi"/>
          <w:lang w:val="en-US"/>
        </w:rPr>
        <w:t xml:space="preserve">: peracetic acid, </w:t>
      </w:r>
      <w:r w:rsidRPr="00800040">
        <w:rPr>
          <w:rFonts w:asciiTheme="minorHAnsi" w:hAnsiTheme="minorHAnsi"/>
          <w:color w:val="FF0000"/>
          <w:lang w:val="en-US"/>
        </w:rPr>
        <w:t>red</w:t>
      </w:r>
      <w:r w:rsidRPr="00800040">
        <w:rPr>
          <w:rFonts w:asciiTheme="minorHAnsi" w:hAnsiTheme="minorHAnsi"/>
          <w:lang w:val="en-US"/>
        </w:rPr>
        <w:t xml:space="preserve">: oleic acid, </w:t>
      </w:r>
      <w:r w:rsidRPr="00800040">
        <w:rPr>
          <w:rFonts w:asciiTheme="minorHAnsi" w:hAnsiTheme="minorHAnsi"/>
          <w:color w:val="00FF00"/>
          <w:lang w:val="en-US"/>
        </w:rPr>
        <w:t>green</w:t>
      </w:r>
      <w:r w:rsidRPr="00800040">
        <w:rPr>
          <w:rFonts w:asciiTheme="minorHAnsi" w:hAnsiTheme="minorHAnsi"/>
          <w:lang w:val="en-US"/>
        </w:rPr>
        <w:t xml:space="preserve">: hydrogen peroxide and </w:t>
      </w:r>
      <w:r w:rsidRPr="00800040">
        <w:rPr>
          <w:rFonts w:asciiTheme="minorHAnsi" w:hAnsiTheme="minorHAnsi"/>
          <w:color w:val="0000FF"/>
          <w:lang w:val="en-US"/>
        </w:rPr>
        <w:t>blue</w:t>
      </w:r>
      <w:r w:rsidRPr="00800040">
        <w:rPr>
          <w:rFonts w:asciiTheme="minorHAnsi" w:hAnsiTheme="minorHAnsi"/>
          <w:lang w:val="en-US"/>
        </w:rPr>
        <w:t>: acetic acid.</w:t>
      </w:r>
    </w:p>
    <w:p w14:paraId="45357A8B" w14:textId="77777777" w:rsidR="00A418BF" w:rsidRPr="008D0BEB" w:rsidRDefault="00A418BF" w:rsidP="00A418B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2FAB1265" w14:textId="77777777" w:rsidR="00A418BF" w:rsidRDefault="00A418BF" w:rsidP="00A418B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An extensive set of kinetic experiments were carried out for the epoxidation of vegetable oils in a tailored reactor system. Microwaves and heterogeneous catalysts were successfully used to enhance the epoxidation process of a model compound, oleic acid and real tall oil mixtures. A multiphase reactor model was developed and applied to the experimental data. The model gave a good description of the experimental data and thus provides a perspective for process scale-up.</w:t>
      </w:r>
    </w:p>
    <w:p w14:paraId="50ED75BF" w14:textId="77777777" w:rsidR="00A418BF" w:rsidRDefault="00A418BF" w:rsidP="00A418BF">
      <w:pPr>
        <w:snapToGrid w:val="0"/>
        <w:spacing w:before="240" w:line="300"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r>
        <w:rPr>
          <w:rFonts w:asciiTheme="minorHAnsi" w:eastAsia="MS PGothic" w:hAnsiTheme="minorHAnsi"/>
          <w:b/>
          <w:bCs/>
          <w:color w:val="000000"/>
          <w:sz w:val="20"/>
          <w:lang w:val="en-US"/>
        </w:rPr>
        <w:t xml:space="preserve"> </w:t>
      </w:r>
    </w:p>
    <w:p w14:paraId="40CAFE0C" w14:textId="77777777" w:rsidR="00A418BF" w:rsidRPr="00C906B9" w:rsidRDefault="00A418BF" w:rsidP="00A418BF">
      <w:pPr>
        <w:pStyle w:val="EndNoteBibliography"/>
        <w:spacing w:after="0"/>
        <w:rPr>
          <w:sz w:val="20"/>
          <w:szCs w:val="20"/>
        </w:rPr>
      </w:pPr>
      <w:r>
        <w:rPr>
          <w:sz w:val="20"/>
          <w:szCs w:val="20"/>
        </w:rPr>
        <w:t>[</w:t>
      </w:r>
      <w:r w:rsidRPr="00C906B9">
        <w:rPr>
          <w:sz w:val="20"/>
          <w:szCs w:val="20"/>
        </w:rPr>
        <w:t xml:space="preserve">1] </w:t>
      </w:r>
      <w:r>
        <w:rPr>
          <w:sz w:val="20"/>
          <w:szCs w:val="20"/>
        </w:rPr>
        <w:t>S.G. Tan</w:t>
      </w:r>
      <w:r w:rsidRPr="00C906B9">
        <w:rPr>
          <w:sz w:val="20"/>
          <w:szCs w:val="20"/>
        </w:rPr>
        <w:t xml:space="preserve">, </w:t>
      </w:r>
      <w:r>
        <w:rPr>
          <w:sz w:val="20"/>
          <w:szCs w:val="20"/>
        </w:rPr>
        <w:t xml:space="preserve">W.S. </w:t>
      </w:r>
      <w:r w:rsidRPr="00C906B9">
        <w:rPr>
          <w:sz w:val="20"/>
          <w:szCs w:val="20"/>
        </w:rPr>
        <w:t>Chow</w:t>
      </w:r>
      <w:r>
        <w:rPr>
          <w:sz w:val="20"/>
          <w:szCs w:val="20"/>
        </w:rPr>
        <w:t>,</w:t>
      </w:r>
      <w:r w:rsidRPr="00C906B9">
        <w:rPr>
          <w:sz w:val="20"/>
          <w:szCs w:val="20"/>
        </w:rPr>
        <w:t xml:space="preserve"> Polymer-Plastics Technology and Engineering. </w:t>
      </w:r>
      <w:r>
        <w:rPr>
          <w:sz w:val="20"/>
          <w:szCs w:val="20"/>
        </w:rPr>
        <w:t xml:space="preserve">49 (2010)  </w:t>
      </w:r>
      <w:r w:rsidRPr="00C906B9">
        <w:rPr>
          <w:sz w:val="20"/>
          <w:szCs w:val="20"/>
        </w:rPr>
        <w:t>1581-90.</w:t>
      </w:r>
    </w:p>
    <w:p w14:paraId="4680EE25" w14:textId="77777777" w:rsidR="00A418BF" w:rsidRDefault="00A418BF" w:rsidP="00A418BF">
      <w:pPr>
        <w:pStyle w:val="EndNoteBibliography"/>
        <w:spacing w:after="0"/>
        <w:rPr>
          <w:sz w:val="20"/>
          <w:szCs w:val="20"/>
        </w:rPr>
      </w:pPr>
      <w:r w:rsidRPr="00C906B9">
        <w:rPr>
          <w:sz w:val="20"/>
          <w:szCs w:val="20"/>
        </w:rPr>
        <w:t xml:space="preserve">[2] </w:t>
      </w:r>
      <w:r>
        <w:rPr>
          <w:sz w:val="20"/>
          <w:szCs w:val="20"/>
        </w:rPr>
        <w:t>A. Campanella, M.A.Baltanás,</w:t>
      </w:r>
      <w:r w:rsidRPr="00C906B9">
        <w:rPr>
          <w:sz w:val="20"/>
          <w:szCs w:val="20"/>
        </w:rPr>
        <w:t xml:space="preserve"> European Journal of Lipid Science and Technology</w:t>
      </w:r>
      <w:r>
        <w:rPr>
          <w:sz w:val="20"/>
          <w:szCs w:val="20"/>
        </w:rPr>
        <w:t xml:space="preserve"> 106 (2004) </w:t>
      </w:r>
      <w:r w:rsidRPr="00C906B9">
        <w:rPr>
          <w:sz w:val="20"/>
          <w:szCs w:val="20"/>
        </w:rPr>
        <w:t xml:space="preserve"> 524-30.</w:t>
      </w:r>
    </w:p>
    <w:p w14:paraId="5B3CEED6" w14:textId="77777777" w:rsidR="00A418BF" w:rsidRPr="00DE7412" w:rsidRDefault="00A418BF" w:rsidP="00A418BF">
      <w:pPr>
        <w:pStyle w:val="EndNoteBibliography"/>
        <w:spacing w:after="0" w:line="264" w:lineRule="auto"/>
        <w:rPr>
          <w:sz w:val="20"/>
          <w:szCs w:val="20"/>
        </w:rPr>
      </w:pPr>
      <w:r>
        <w:rPr>
          <w:sz w:val="20"/>
          <w:szCs w:val="20"/>
        </w:rPr>
        <w:t>[3] E. Santacesaria</w:t>
      </w:r>
      <w:r w:rsidRPr="00DE7412">
        <w:rPr>
          <w:sz w:val="20"/>
          <w:szCs w:val="20"/>
        </w:rPr>
        <w:t xml:space="preserve">, </w:t>
      </w:r>
      <w:r>
        <w:rPr>
          <w:sz w:val="20"/>
          <w:szCs w:val="20"/>
        </w:rPr>
        <w:t>R. Tesser</w:t>
      </w:r>
      <w:r w:rsidRPr="00DE7412">
        <w:rPr>
          <w:sz w:val="20"/>
          <w:szCs w:val="20"/>
        </w:rPr>
        <w:t xml:space="preserve">, </w:t>
      </w:r>
      <w:r>
        <w:rPr>
          <w:sz w:val="20"/>
          <w:szCs w:val="20"/>
        </w:rPr>
        <w:t>M. Di Serio</w:t>
      </w:r>
      <w:r w:rsidRPr="00DE7412">
        <w:rPr>
          <w:sz w:val="20"/>
          <w:szCs w:val="20"/>
        </w:rPr>
        <w:t xml:space="preserve">, </w:t>
      </w:r>
      <w:r>
        <w:rPr>
          <w:sz w:val="20"/>
          <w:szCs w:val="20"/>
        </w:rPr>
        <w:t xml:space="preserve">R. </w:t>
      </w:r>
      <w:r w:rsidRPr="00DE7412">
        <w:rPr>
          <w:sz w:val="20"/>
          <w:szCs w:val="20"/>
        </w:rPr>
        <w:t xml:space="preserve">Turco, </w:t>
      </w:r>
      <w:r>
        <w:rPr>
          <w:sz w:val="20"/>
          <w:szCs w:val="20"/>
        </w:rPr>
        <w:t xml:space="preserve">V. </w:t>
      </w:r>
      <w:r w:rsidRPr="00DE7412">
        <w:rPr>
          <w:sz w:val="20"/>
          <w:szCs w:val="20"/>
        </w:rPr>
        <w:t xml:space="preserve">Russo V, </w:t>
      </w:r>
      <w:r>
        <w:rPr>
          <w:sz w:val="20"/>
          <w:szCs w:val="20"/>
        </w:rPr>
        <w:t xml:space="preserve">D. </w:t>
      </w:r>
      <w:r w:rsidRPr="00DE7412">
        <w:rPr>
          <w:sz w:val="20"/>
          <w:szCs w:val="20"/>
        </w:rPr>
        <w:t>Verde</w:t>
      </w:r>
      <w:r>
        <w:rPr>
          <w:sz w:val="20"/>
          <w:szCs w:val="20"/>
        </w:rPr>
        <w:t>,</w:t>
      </w:r>
      <w:r w:rsidR="009B17E8">
        <w:rPr>
          <w:sz w:val="20"/>
          <w:szCs w:val="20"/>
        </w:rPr>
        <w:t xml:space="preserve"> Chemical Engineering Journal 173 (2011) </w:t>
      </w:r>
      <w:r w:rsidRPr="00DE7412">
        <w:rPr>
          <w:sz w:val="20"/>
          <w:szCs w:val="20"/>
        </w:rPr>
        <w:t>198-209.</w:t>
      </w:r>
    </w:p>
    <w:p w14:paraId="4BA36913" w14:textId="77777777" w:rsidR="00A418BF" w:rsidRDefault="00A418BF" w:rsidP="00A418BF">
      <w:pPr>
        <w:pStyle w:val="EndNoteBibliography"/>
        <w:spacing w:after="0" w:line="264" w:lineRule="auto"/>
        <w:rPr>
          <w:sz w:val="20"/>
          <w:szCs w:val="20"/>
        </w:rPr>
      </w:pPr>
      <w:r>
        <w:rPr>
          <w:sz w:val="20"/>
          <w:szCs w:val="20"/>
        </w:rPr>
        <w:t xml:space="preserve">[4]  Z </w:t>
      </w:r>
      <w:r w:rsidRPr="00DE7412">
        <w:rPr>
          <w:sz w:val="20"/>
          <w:szCs w:val="20"/>
        </w:rPr>
        <w:t xml:space="preserve">Wu, </w:t>
      </w:r>
      <w:r>
        <w:rPr>
          <w:sz w:val="20"/>
          <w:szCs w:val="20"/>
        </w:rPr>
        <w:t xml:space="preserve">J </w:t>
      </w:r>
      <w:r w:rsidRPr="00DE7412">
        <w:rPr>
          <w:sz w:val="20"/>
          <w:szCs w:val="20"/>
        </w:rPr>
        <w:t xml:space="preserve">Fang, </w:t>
      </w:r>
      <w:r>
        <w:rPr>
          <w:sz w:val="20"/>
          <w:szCs w:val="20"/>
        </w:rPr>
        <w:t>Q. Xie</w:t>
      </w:r>
      <w:r w:rsidRPr="00DE7412">
        <w:rPr>
          <w:sz w:val="20"/>
          <w:szCs w:val="20"/>
        </w:rPr>
        <w:t xml:space="preserve">, </w:t>
      </w:r>
      <w:r>
        <w:rPr>
          <w:sz w:val="20"/>
          <w:szCs w:val="20"/>
        </w:rPr>
        <w:t>T. Zheng</w:t>
      </w:r>
      <w:r w:rsidRPr="00DE7412">
        <w:rPr>
          <w:sz w:val="20"/>
          <w:szCs w:val="20"/>
        </w:rPr>
        <w:t xml:space="preserve">, </w:t>
      </w:r>
      <w:r>
        <w:rPr>
          <w:sz w:val="20"/>
          <w:szCs w:val="20"/>
        </w:rPr>
        <w:t>L. Wu</w:t>
      </w:r>
      <w:r w:rsidRPr="00DE7412">
        <w:rPr>
          <w:sz w:val="20"/>
          <w:szCs w:val="20"/>
        </w:rPr>
        <w:t xml:space="preserve">, </w:t>
      </w:r>
      <w:r>
        <w:rPr>
          <w:sz w:val="20"/>
          <w:szCs w:val="20"/>
        </w:rPr>
        <w:t>M. Lu</w:t>
      </w:r>
      <w:r w:rsidRPr="00DE7412">
        <w:rPr>
          <w:sz w:val="20"/>
          <w:szCs w:val="20"/>
        </w:rPr>
        <w:t>, et al. Industrial Crops and Products</w:t>
      </w:r>
      <w:r>
        <w:rPr>
          <w:sz w:val="20"/>
          <w:szCs w:val="20"/>
        </w:rPr>
        <w:t xml:space="preserve"> 122 (</w:t>
      </w:r>
      <w:r w:rsidRPr="00DE7412">
        <w:rPr>
          <w:sz w:val="20"/>
          <w:szCs w:val="20"/>
        </w:rPr>
        <w:t>2018</w:t>
      </w:r>
      <w:r>
        <w:rPr>
          <w:sz w:val="20"/>
          <w:szCs w:val="20"/>
        </w:rPr>
        <w:t xml:space="preserve">) </w:t>
      </w:r>
      <w:r w:rsidRPr="00DE7412">
        <w:rPr>
          <w:sz w:val="20"/>
          <w:szCs w:val="20"/>
        </w:rPr>
        <w:t>266-76.</w:t>
      </w:r>
    </w:p>
    <w:p w14:paraId="5702D5DE" w14:textId="77777777" w:rsidR="00A418BF" w:rsidRPr="00DE0019" w:rsidRDefault="00A418BF" w:rsidP="00704BDF">
      <w:pPr>
        <w:snapToGrid w:val="0"/>
        <w:spacing w:after="360"/>
        <w:jc w:val="center"/>
        <w:rPr>
          <w:rFonts w:asciiTheme="minorHAnsi" w:eastAsia="MS PGothic" w:hAnsiTheme="minorHAnsi"/>
          <w:b/>
          <w:bCs/>
          <w:sz w:val="28"/>
          <w:szCs w:val="28"/>
          <w:lang w:val="en-US" w:eastAsia="ko-KR"/>
        </w:rPr>
      </w:pPr>
    </w:p>
    <w:sectPr w:rsidR="00A418BF" w:rsidRPr="00DE0019"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B85D5" w14:textId="77777777" w:rsidR="00466129" w:rsidRDefault="00466129" w:rsidP="004F5E36">
      <w:r>
        <w:separator/>
      </w:r>
    </w:p>
  </w:endnote>
  <w:endnote w:type="continuationSeparator" w:id="0">
    <w:p w14:paraId="36F685DD" w14:textId="77777777" w:rsidR="00466129" w:rsidRDefault="0046612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11D76" w14:textId="77777777" w:rsidR="00466129" w:rsidRDefault="00466129" w:rsidP="004F5E36">
      <w:r>
        <w:separator/>
      </w:r>
    </w:p>
  </w:footnote>
  <w:footnote w:type="continuationSeparator" w:id="0">
    <w:p w14:paraId="30ABECA7" w14:textId="77777777" w:rsidR="00466129" w:rsidRDefault="00466129"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5867" w14:textId="77777777" w:rsidR="004D1162" w:rsidRDefault="00594E9F">
    <w:pPr>
      <w:pStyle w:val="Intestazione"/>
    </w:pPr>
    <w:r>
      <w:rPr>
        <w:noProof/>
        <w:lang w:val="sv-FI" w:eastAsia="sv-FI"/>
      </w:rPr>
      <mc:AlternateContent>
        <mc:Choice Requires="wps">
          <w:drawing>
            <wp:anchor distT="0" distB="0" distL="114300" distR="114300" simplePos="0" relativeHeight="251666432" behindDoc="0" locked="0" layoutInCell="1" allowOverlap="1" wp14:anchorId="777F84E8" wp14:editId="721ABD34">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CB362AD"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sv-FI" w:eastAsia="sv-FI"/>
      </w:rPr>
      <w:drawing>
        <wp:anchor distT="0" distB="0" distL="114300" distR="114300" simplePos="0" relativeHeight="251662336" behindDoc="0" locked="0" layoutInCell="1" allowOverlap="1" wp14:anchorId="06D956BA" wp14:editId="5AE0C129">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C94FA"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sv-FI" w:eastAsia="sv-FI"/>
      </w:rPr>
      <w:drawing>
        <wp:anchor distT="0" distB="0" distL="114300" distR="114300" simplePos="0" relativeHeight="251659264" behindDoc="0" locked="0" layoutInCell="1" allowOverlap="1" wp14:anchorId="7B5F2672" wp14:editId="0C52DA7B">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508C11A9" w14:textId="77777777" w:rsidR="00704BDF" w:rsidRDefault="00704BDF">
    <w:pPr>
      <w:pStyle w:val="Intestazione"/>
    </w:pPr>
  </w:p>
  <w:p w14:paraId="288E6E3E" w14:textId="77777777" w:rsidR="00704BDF" w:rsidRDefault="00704BDF">
    <w:pPr>
      <w:pStyle w:val="Intestazione"/>
    </w:pPr>
    <w:r>
      <w:rPr>
        <w:noProof/>
        <w:lang w:val="sv-FI" w:eastAsia="sv-FI"/>
      </w:rPr>
      <mc:AlternateContent>
        <mc:Choice Requires="wps">
          <w:drawing>
            <wp:anchor distT="0" distB="0" distL="114300" distR="114300" simplePos="0" relativeHeight="251660288" behindDoc="0" locked="0" layoutInCell="1" allowOverlap="1" wp14:anchorId="619445EC" wp14:editId="104B5324">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44AA3DD"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C255439"/>
    <w:multiLevelType w:val="hybridMultilevel"/>
    <w:tmpl w:val="F066197E"/>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6"/>
  </w:num>
  <w:num w:numId="16">
    <w:abstractNumId w:val="17"/>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4A"/>
    <w:rsid w:val="000027C0"/>
    <w:rsid w:val="000117CB"/>
    <w:rsid w:val="0003148D"/>
    <w:rsid w:val="00061CD5"/>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66129"/>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C5579"/>
    <w:rsid w:val="00704BDF"/>
    <w:rsid w:val="00736B13"/>
    <w:rsid w:val="007447F3"/>
    <w:rsid w:val="007661C8"/>
    <w:rsid w:val="007D52CD"/>
    <w:rsid w:val="00813288"/>
    <w:rsid w:val="008168FC"/>
    <w:rsid w:val="008479A2"/>
    <w:rsid w:val="0087637F"/>
    <w:rsid w:val="008A1512"/>
    <w:rsid w:val="008D0BEB"/>
    <w:rsid w:val="008D7326"/>
    <w:rsid w:val="008E566E"/>
    <w:rsid w:val="00901EB6"/>
    <w:rsid w:val="009450CE"/>
    <w:rsid w:val="0095164B"/>
    <w:rsid w:val="00981C00"/>
    <w:rsid w:val="00996483"/>
    <w:rsid w:val="009B17E8"/>
    <w:rsid w:val="009E050E"/>
    <w:rsid w:val="009E788A"/>
    <w:rsid w:val="00A1763D"/>
    <w:rsid w:val="00A17CEC"/>
    <w:rsid w:val="00A27EF0"/>
    <w:rsid w:val="00A418BF"/>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A61DF"/>
  <w15:docId w15:val="{789B163F-BD6E-49FB-8939-734F222B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semiHidden="1" w:uiPriority="59" w:unhideWhenUsed="1"/>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A418BF"/>
    <w:pPr>
      <w:tabs>
        <w:tab w:val="clear" w:pos="7100"/>
      </w:tabs>
      <w:spacing w:after="160" w:line="259" w:lineRule="auto"/>
      <w:ind w:left="720"/>
      <w:contextualSpacing/>
      <w:jc w:val="left"/>
    </w:pPr>
    <w:rPr>
      <w:rFonts w:asciiTheme="minorHAnsi" w:eastAsiaTheme="minorHAnsi" w:hAnsiTheme="minorHAnsi" w:cstheme="minorBidi"/>
      <w:sz w:val="22"/>
      <w:szCs w:val="22"/>
      <w:lang w:val="sv-FI"/>
    </w:rPr>
  </w:style>
  <w:style w:type="paragraph" w:customStyle="1" w:styleId="EndNoteBibliography">
    <w:name w:val="EndNote Bibliography"/>
    <w:basedOn w:val="Normale"/>
    <w:link w:val="EndNoteBibliographyChar"/>
    <w:rsid w:val="00A418BF"/>
    <w:pPr>
      <w:tabs>
        <w:tab w:val="clear" w:pos="7100"/>
      </w:tabs>
      <w:spacing w:after="200" w:line="240" w:lineRule="auto"/>
      <w:jc w:val="left"/>
    </w:pPr>
    <w:rPr>
      <w:rFonts w:ascii="Calibri" w:eastAsiaTheme="minorEastAsia" w:hAnsi="Calibri" w:cstheme="minorBidi"/>
      <w:noProof/>
      <w:sz w:val="22"/>
      <w:szCs w:val="22"/>
      <w:lang w:val="en-AU" w:eastAsia="zh-CN"/>
    </w:rPr>
  </w:style>
  <w:style w:type="character" w:customStyle="1" w:styleId="EndNoteBibliographyChar">
    <w:name w:val="EndNote Bibliography Char"/>
    <w:basedOn w:val="Carpredefinitoparagrafo"/>
    <w:link w:val="EndNoteBibliography"/>
    <w:rsid w:val="00A418BF"/>
    <w:rPr>
      <w:rFonts w:ascii="Calibri" w:eastAsiaTheme="minorEastAsia" w:hAnsi="Calibri"/>
      <w:noProof/>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65466-B5FF-4796-991F-7AD4FD98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787</Words>
  <Characters>4489</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4</cp:revision>
  <cp:lastPrinted>2018-11-18T13:04:00Z</cp:lastPrinted>
  <dcterms:created xsi:type="dcterms:W3CDTF">2018-11-18T13:05:00Z</dcterms:created>
  <dcterms:modified xsi:type="dcterms:W3CDTF">2019-08-22T09:26:00Z</dcterms:modified>
</cp:coreProperties>
</file>